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9DD52" w14:textId="03ABE22E" w:rsidR="007911E2" w:rsidRPr="002C3180" w:rsidRDefault="00DE5614" w:rsidP="007911E2">
      <w:pPr>
        <w:rPr>
          <w:rFonts w:ascii="Calibri" w:hAnsi="Calibri" w:cs="Calibri"/>
          <w:b/>
          <w:color w:val="808080"/>
          <w:sz w:val="44"/>
          <w:szCs w:val="44"/>
        </w:rPr>
      </w:pPr>
      <w:r>
        <w:rPr>
          <w:rFonts w:ascii="Fedra Sans Std Demi" w:hAnsi="Fedra Sans Std Demi" w:cs="Calibri"/>
          <w:noProof/>
          <w:color w:val="071D49"/>
        </w:rPr>
        <w:drawing>
          <wp:anchor distT="0" distB="0" distL="114300" distR="114300" simplePos="0" relativeHeight="251657216" behindDoc="0" locked="0" layoutInCell="1" allowOverlap="1" wp14:anchorId="07395659" wp14:editId="7410B69B">
            <wp:simplePos x="0" y="0"/>
            <wp:positionH relativeFrom="column">
              <wp:posOffset>-308610</wp:posOffset>
            </wp:positionH>
            <wp:positionV relativeFrom="paragraph">
              <wp:posOffset>-167640</wp:posOffset>
            </wp:positionV>
            <wp:extent cx="2880995" cy="524510"/>
            <wp:effectExtent l="0" t="0" r="0" b="0"/>
            <wp:wrapSquare wrapText="bothSides"/>
            <wp:docPr id="2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0995" cy="5245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edra Sans Std Demi" w:hAnsi="Fedra Sans Std Demi" w:cs="Calibri"/>
          <w:noProof/>
          <w:color w:val="071D49"/>
        </w:rPr>
        <w:drawing>
          <wp:anchor distT="0" distB="0" distL="114300" distR="114300" simplePos="0" relativeHeight="251658240" behindDoc="0" locked="0" layoutInCell="1" allowOverlap="1" wp14:anchorId="3DB250E0" wp14:editId="621AF00C">
            <wp:simplePos x="0" y="0"/>
            <wp:positionH relativeFrom="column">
              <wp:posOffset>2733040</wp:posOffset>
            </wp:positionH>
            <wp:positionV relativeFrom="paragraph">
              <wp:posOffset>-139065</wp:posOffset>
            </wp:positionV>
            <wp:extent cx="2961640" cy="457200"/>
            <wp:effectExtent l="0" t="0" r="0" b="0"/>
            <wp:wrapSquare wrapText="bothSides"/>
            <wp:docPr id="2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1640" cy="457200"/>
                    </a:xfrm>
                    <a:prstGeom prst="rect">
                      <a:avLst/>
                    </a:prstGeom>
                    <a:noFill/>
                  </pic:spPr>
                </pic:pic>
              </a:graphicData>
            </a:graphic>
            <wp14:sizeRelH relativeFrom="page">
              <wp14:pctWidth>0</wp14:pctWidth>
            </wp14:sizeRelH>
            <wp14:sizeRelV relativeFrom="page">
              <wp14:pctHeight>0</wp14:pctHeight>
            </wp14:sizeRelV>
          </wp:anchor>
        </w:drawing>
      </w:r>
      <w:r w:rsidR="00F70736">
        <w:rPr>
          <w:rFonts w:ascii="Calibri" w:hAnsi="Calibri" w:cs="Calibri"/>
          <w:b/>
          <w:color w:val="808080"/>
          <w:sz w:val="44"/>
          <w:szCs w:val="44"/>
        </w:rPr>
        <w:t xml:space="preserve"> </w:t>
      </w:r>
    </w:p>
    <w:p w14:paraId="663C5087" w14:textId="77777777" w:rsidR="007911E2" w:rsidRPr="00FC1836" w:rsidRDefault="007911E2" w:rsidP="00FC1836">
      <w:pPr>
        <w:pBdr>
          <w:bottom w:val="single" w:sz="4" w:space="1" w:color="auto"/>
        </w:pBdr>
        <w:rPr>
          <w:rFonts w:ascii="Calibri" w:hAnsi="Calibri" w:cs="Calibri"/>
          <w:b/>
          <w:noProof/>
          <w:sz w:val="2"/>
          <w:szCs w:val="2"/>
        </w:rPr>
      </w:pPr>
    </w:p>
    <w:p w14:paraId="32EA3EA9" w14:textId="77777777" w:rsidR="007911E2" w:rsidRPr="002C7D2F" w:rsidRDefault="007911E2" w:rsidP="007911E2">
      <w:pPr>
        <w:rPr>
          <w:rFonts w:ascii="Calibri" w:hAnsi="Calibri" w:cs="Calibri"/>
          <w:b/>
          <w:noProof/>
          <w:sz w:val="16"/>
          <w:szCs w:val="16"/>
        </w:rPr>
      </w:pPr>
    </w:p>
    <w:p w14:paraId="2E6249C4" w14:textId="2F75ABE1" w:rsidR="002F426C" w:rsidRPr="00424EB4" w:rsidRDefault="002F426C" w:rsidP="0044468A">
      <w:pPr>
        <w:spacing w:after="240"/>
        <w:rPr>
          <w:rFonts w:ascii="Calibri" w:hAnsi="Calibri" w:cs="Calibri"/>
          <w:b/>
          <w:bCs/>
          <w:sz w:val="36"/>
          <w:szCs w:val="36"/>
        </w:rPr>
      </w:pPr>
      <w:r>
        <w:rPr>
          <w:rFonts w:ascii="Calibri" w:hAnsi="Calibri" w:cs="Calibri"/>
          <w:b/>
          <w:bCs/>
          <w:sz w:val="36"/>
          <w:szCs w:val="36"/>
        </w:rPr>
        <w:t>COMMERCIO ESTERO – PRIMO SEMESTRE</w:t>
      </w:r>
      <w:r w:rsidRPr="0087221A">
        <w:rPr>
          <w:rFonts w:ascii="Calibri" w:hAnsi="Calibri" w:cs="Calibri"/>
          <w:b/>
          <w:bCs/>
          <w:sz w:val="36"/>
          <w:szCs w:val="36"/>
        </w:rPr>
        <w:t xml:space="preserve"> 202</w:t>
      </w:r>
      <w:r w:rsidR="00B1608A">
        <w:rPr>
          <w:rFonts w:ascii="Calibri" w:hAnsi="Calibri" w:cs="Calibri"/>
          <w:b/>
          <w:bCs/>
          <w:sz w:val="36"/>
          <w:szCs w:val="36"/>
        </w:rPr>
        <w:t>6</w:t>
      </w:r>
    </w:p>
    <w:p w14:paraId="0BB4C025" w14:textId="77777777" w:rsidR="00EC0BDB" w:rsidRPr="005432D1" w:rsidRDefault="00EC0BDB" w:rsidP="00EC0BDB">
      <w:pPr>
        <w:pBdr>
          <w:top w:val="nil"/>
          <w:left w:val="nil"/>
          <w:bottom w:val="nil"/>
          <w:right w:val="nil"/>
          <w:between w:val="nil"/>
        </w:pBdr>
        <w:rPr>
          <w:rFonts w:ascii="Calibri" w:hAnsi="Calibri"/>
          <w:b/>
        </w:rPr>
      </w:pPr>
      <w:r w:rsidRPr="005432D1">
        <w:rPr>
          <w:rFonts w:ascii="Calibri" w:hAnsi="Calibri"/>
          <w:b/>
        </w:rPr>
        <w:t>L’andamento generale</w:t>
      </w:r>
    </w:p>
    <w:p w14:paraId="49EDF7F8" w14:textId="05A6E309" w:rsidR="005519BB" w:rsidRPr="00013496" w:rsidRDefault="00013496" w:rsidP="00150998">
      <w:pPr>
        <w:jc w:val="both"/>
        <w:rPr>
          <w:rFonts w:ascii="Calibri" w:hAnsi="Calibri" w:cs="Calibri Light"/>
        </w:rPr>
      </w:pPr>
      <w:r>
        <w:rPr>
          <w:rFonts w:ascii="Calibri" w:hAnsi="Calibri" w:cs="Calibri Light"/>
        </w:rPr>
        <w:t>N</w:t>
      </w:r>
      <w:r w:rsidRPr="005519BB">
        <w:rPr>
          <w:rFonts w:ascii="Calibri" w:hAnsi="Calibri" w:cs="Calibri Light"/>
        </w:rPr>
        <w:t xml:space="preserve">ei primi sei mesi del 2026 </w:t>
      </w:r>
      <w:r>
        <w:rPr>
          <w:rFonts w:ascii="Calibri" w:hAnsi="Calibri" w:cs="Calibri Light"/>
        </w:rPr>
        <w:t>l</w:t>
      </w:r>
      <w:r w:rsidR="005519BB" w:rsidRPr="005519BB">
        <w:rPr>
          <w:rFonts w:ascii="Calibri" w:hAnsi="Calibri" w:cs="Calibri Light"/>
        </w:rPr>
        <w:t xml:space="preserve">'andamento del commercio </w:t>
      </w:r>
      <w:r>
        <w:rPr>
          <w:rFonts w:ascii="Calibri" w:hAnsi="Calibri" w:cs="Calibri Light"/>
        </w:rPr>
        <w:t xml:space="preserve">mondiale </w:t>
      </w:r>
      <w:r w:rsidR="005519BB" w:rsidRPr="005519BB">
        <w:rPr>
          <w:rFonts w:ascii="Calibri" w:hAnsi="Calibri" w:cs="Calibri Light"/>
        </w:rPr>
        <w:t xml:space="preserve">è risultato più vivace delle attese. </w:t>
      </w:r>
      <w:r w:rsidR="005519BB" w:rsidRPr="00013496">
        <w:rPr>
          <w:rFonts w:ascii="Calibri" w:hAnsi="Calibri" w:cs="Calibri Light"/>
        </w:rPr>
        <w:t>L</w:t>
      </w:r>
      <w:r w:rsidR="005519BB" w:rsidRPr="005519BB">
        <w:rPr>
          <w:rFonts w:ascii="Calibri" w:hAnsi="Calibri" w:cs="Calibri Light"/>
        </w:rPr>
        <w:t>'Organizzazione mondiale del commercio, nelle stime di marzo, indicava per l'anno in corso una crescita dei volumi scambiati dell'1,9%, contro il 4,6% del 2025. I dati infrannuali mostra</w:t>
      </w:r>
      <w:r w:rsidR="005519BB" w:rsidRPr="00013496">
        <w:rPr>
          <w:rFonts w:ascii="Calibri" w:hAnsi="Calibri" w:cs="Calibri Light"/>
        </w:rPr>
        <w:t>n</w:t>
      </w:r>
      <w:r w:rsidR="005519BB" w:rsidRPr="005519BB">
        <w:rPr>
          <w:rFonts w:ascii="Calibri" w:hAnsi="Calibri" w:cs="Calibri Light"/>
        </w:rPr>
        <w:t xml:space="preserve">o </w:t>
      </w:r>
      <w:r w:rsidR="005519BB" w:rsidRPr="00013496">
        <w:rPr>
          <w:rFonts w:ascii="Calibri" w:hAnsi="Calibri" w:cs="Calibri Light"/>
        </w:rPr>
        <w:t xml:space="preserve">invece </w:t>
      </w:r>
      <w:r w:rsidR="005519BB" w:rsidRPr="005519BB">
        <w:rPr>
          <w:rFonts w:ascii="Calibri" w:hAnsi="Calibri" w:cs="Calibri Light"/>
        </w:rPr>
        <w:t xml:space="preserve">una dinamica più sostenuta, con l'indice del CPB Netherlands Bureau for </w:t>
      </w:r>
      <w:proofErr w:type="spellStart"/>
      <w:r w:rsidR="005519BB" w:rsidRPr="005519BB">
        <w:rPr>
          <w:rFonts w:ascii="Calibri" w:hAnsi="Calibri" w:cs="Calibri Light"/>
        </w:rPr>
        <w:t>Economic</w:t>
      </w:r>
      <w:proofErr w:type="spellEnd"/>
      <w:r w:rsidR="005519BB" w:rsidRPr="005519BB">
        <w:rPr>
          <w:rFonts w:ascii="Calibri" w:hAnsi="Calibri" w:cs="Calibri Light"/>
        </w:rPr>
        <w:t xml:space="preserve"> Policy Analysis che nella media del primo semestre segna una crescita dei volumi </w:t>
      </w:r>
      <w:r w:rsidR="005519BB" w:rsidRPr="00013496">
        <w:rPr>
          <w:rFonts w:ascii="Calibri" w:hAnsi="Calibri" w:cs="Calibri Light"/>
        </w:rPr>
        <w:t xml:space="preserve">del </w:t>
      </w:r>
      <w:r w:rsidR="005519BB" w:rsidRPr="005519BB">
        <w:rPr>
          <w:rFonts w:ascii="Calibri" w:hAnsi="Calibri" w:cs="Calibri Light"/>
        </w:rPr>
        <w:t>5,5% su base annua, sostenuta dagli investimenti legati all'intelligenza artificiale, dalla riorganizzazione dei flussi commerciali e dagli accumuli di scorte seguiti al conflitto iraniano. Lo scenario</w:t>
      </w:r>
      <w:r w:rsidR="005519BB" w:rsidRPr="00013496">
        <w:rPr>
          <w:rFonts w:ascii="Calibri" w:hAnsi="Calibri" w:cs="Calibri Light"/>
        </w:rPr>
        <w:t xml:space="preserve"> economico</w:t>
      </w:r>
      <w:r w:rsidR="005519BB" w:rsidRPr="005519BB">
        <w:rPr>
          <w:rFonts w:ascii="Calibri" w:hAnsi="Calibri" w:cs="Calibri Light"/>
        </w:rPr>
        <w:t xml:space="preserve"> è stato infatti condizionato dalla guerra nell'area del Golfo e dal blocco dello stretto di Hormuz, che a marzo hanno determinato una contrazione del commercio mondiale del 2,1% rispetto al mese precedente, con cali particolarmente pesanti per le importazioni e le esportazioni di Africa e Medio Oriente, seguita però da un rapido recupero.</w:t>
      </w:r>
    </w:p>
    <w:p w14:paraId="27FDFE9E" w14:textId="34B213F8" w:rsidR="00150998" w:rsidRDefault="005519BB" w:rsidP="00150998">
      <w:pPr>
        <w:jc w:val="both"/>
        <w:rPr>
          <w:rFonts w:ascii="Calibri" w:hAnsi="Calibri" w:cs="Calibri Light"/>
        </w:rPr>
      </w:pPr>
      <w:r w:rsidRPr="005519BB">
        <w:rPr>
          <w:rFonts w:ascii="Calibri" w:hAnsi="Calibri" w:cs="Calibri Light"/>
        </w:rPr>
        <w:t>In questo scenario, secondo Istat, l'export italiano è cresciuto del 4,5% in valore nel primo semestre 2026, raggiungendo i 337,2 miliardi di euro, con un aumento assai più contenuto in volume (+0,7%) e una dinamica simile verso i mercati dell'Unione europea (+4,6%) e verso quelli extra-Ue (+4,4%). All'interno del quadro nazionale la Toscana si è confermata tra le regioni più dinamiche, con un incremento del 23,8%, secondo solo a quello della Basilicata (+29,5%). La crescita</w:t>
      </w:r>
      <w:r w:rsidRPr="005519BB">
        <w:rPr>
          <w:rFonts w:ascii="Calibri" w:hAnsi="Calibri" w:cs="Calibri Light"/>
          <w:b/>
          <w:bCs/>
        </w:rPr>
        <w:t xml:space="preserve"> r</w:t>
      </w:r>
      <w:r w:rsidRPr="005519BB">
        <w:rPr>
          <w:rFonts w:ascii="Calibri" w:hAnsi="Calibri" w:cs="Calibri Light"/>
        </w:rPr>
        <w:t>egionale è stata trainata dai metalli</w:t>
      </w:r>
      <w:r w:rsidR="009E371D">
        <w:rPr>
          <w:rFonts w:ascii="Calibri" w:hAnsi="Calibri" w:cs="Calibri Light"/>
        </w:rPr>
        <w:t xml:space="preserve"> di base</w:t>
      </w:r>
      <w:r w:rsidRPr="005519BB">
        <w:rPr>
          <w:rFonts w:ascii="Calibri" w:hAnsi="Calibri" w:cs="Calibri Light"/>
        </w:rPr>
        <w:t xml:space="preserve"> </w:t>
      </w:r>
      <w:r w:rsidR="0018545D">
        <w:rPr>
          <w:rFonts w:ascii="Calibri" w:hAnsi="Calibri" w:cs="Calibri Light"/>
        </w:rPr>
        <w:t>preziosi</w:t>
      </w:r>
      <w:r w:rsidRPr="005519BB">
        <w:rPr>
          <w:rFonts w:ascii="Calibri" w:hAnsi="Calibri" w:cs="Calibri Light"/>
        </w:rPr>
        <w:t>, che da soli spiegano 2,4 punti percentuali dell'aumento dell'export nazionale, e dagli articoli farmaceutici e chimico-medicinali.</w:t>
      </w:r>
      <w:r w:rsidR="00150998">
        <w:rPr>
          <w:rFonts w:ascii="Calibri" w:hAnsi="Calibri" w:cs="Calibri Light"/>
        </w:rPr>
        <w:t xml:space="preserve"> </w:t>
      </w:r>
      <w:r w:rsidR="0018545D" w:rsidRPr="00150998">
        <w:rPr>
          <w:rFonts w:ascii="Calibri" w:hAnsi="Calibri" w:cs="Calibri Light"/>
        </w:rPr>
        <w:t>Si tratta di u</w:t>
      </w:r>
      <w:r w:rsidRPr="00150998">
        <w:rPr>
          <w:rFonts w:ascii="Calibri" w:hAnsi="Calibri" w:cs="Calibri Light"/>
        </w:rPr>
        <w:t>na crescita concentrata in poche filiere e in poche province</w:t>
      </w:r>
      <w:r w:rsidR="00150998">
        <w:rPr>
          <w:rFonts w:ascii="Calibri" w:hAnsi="Calibri" w:cs="Calibri Light"/>
        </w:rPr>
        <w:t>.</w:t>
      </w:r>
      <w:r w:rsidRPr="00150998">
        <w:rPr>
          <w:rFonts w:ascii="Calibri" w:hAnsi="Calibri" w:cs="Calibri Light"/>
        </w:rPr>
        <w:t xml:space="preserve"> </w:t>
      </w:r>
    </w:p>
    <w:p w14:paraId="3D80A185" w14:textId="685A734D" w:rsidR="005D5698" w:rsidRPr="0077050B" w:rsidRDefault="00150998" w:rsidP="00150998">
      <w:pPr>
        <w:jc w:val="both"/>
        <w:rPr>
          <w:rFonts w:asciiTheme="minorHAnsi" w:hAnsiTheme="minorHAnsi" w:cstheme="minorHAnsi"/>
        </w:rPr>
      </w:pPr>
      <w:r>
        <w:rPr>
          <w:rFonts w:ascii="Calibri" w:hAnsi="Calibri" w:cs="Calibri Light"/>
        </w:rPr>
        <w:t>N</w:t>
      </w:r>
      <w:r w:rsidR="005519BB" w:rsidRPr="00150998">
        <w:rPr>
          <w:rFonts w:ascii="Calibri" w:hAnsi="Calibri" w:cs="Calibri Light"/>
        </w:rPr>
        <w:t xml:space="preserve">ell'area della Toscana Nord-Ovest </w:t>
      </w:r>
      <w:r w:rsidRPr="00150998">
        <w:rPr>
          <w:rFonts w:ascii="Calibri" w:hAnsi="Calibri" w:cs="Calibri Light"/>
        </w:rPr>
        <w:t>l'export è cresciuto comunque del 13,6% rispetto allo stesso periodo del 2025 e del 10,9% rispetto al primo semestre 2024, raggiungendo i 6.373 milioni di euro</w:t>
      </w:r>
      <w:r>
        <w:rPr>
          <w:rFonts w:ascii="Calibri" w:hAnsi="Calibri" w:cs="Calibri Light"/>
        </w:rPr>
        <w:t xml:space="preserve">. </w:t>
      </w:r>
      <w:r w:rsidRPr="00150998">
        <w:rPr>
          <w:rFonts w:ascii="Calibri" w:hAnsi="Calibri" w:cs="Calibri Light"/>
        </w:rPr>
        <w:t xml:space="preserve">Lucca resta il primo territorio esportatore con 2.714,8 milioni di euro e una quota del 42,6%, seguita da Massa-Carrara con 1.889,6 milioni (29,6%) e da Pisa con 1.768,7 milioni (27,8%). Il risultato complessivo è però quasi interamente attribuibile a Massa-Carrara, che con un aumento di 809 milioni ha </w:t>
      </w:r>
      <w:r w:rsidRPr="0077050B">
        <w:rPr>
          <w:rFonts w:asciiTheme="minorHAnsi" w:hAnsiTheme="minorHAnsi" w:cstheme="minorHAnsi"/>
        </w:rPr>
        <w:t>apportato da sola 14,4 punti percentuali alla variazione dell'area, a fronte del contributo negativo di Lucca (-1,2 punti) e di quello marginale di Pisa (+0,4 punti). Al netto del solo comparto apuano delle altre macchine di impiego generale, l'export dell'area sarebbe rimasto invariato (-0,3%).</w:t>
      </w:r>
      <w:r w:rsidR="00425BDA" w:rsidRPr="0077050B">
        <w:rPr>
          <w:rFonts w:asciiTheme="minorHAnsi" w:hAnsiTheme="minorHAnsi" w:cstheme="minorHAnsi"/>
        </w:rPr>
        <w:t xml:space="preserve"> </w:t>
      </w:r>
      <w:r w:rsidR="0077050B" w:rsidRPr="0077050B">
        <w:rPr>
          <w:rFonts w:asciiTheme="minorHAnsi" w:hAnsiTheme="minorHAnsi" w:cstheme="minorHAnsi"/>
        </w:rPr>
        <w:t>L’export verso il Medio Oriente è calato, soprattutto per la flessione della cantieristica lucchese, ma nei dati del primo semestre non emergono ancora effetti evidenti delle tensioni nell’area e nello Stretto di Hormuz.</w:t>
      </w:r>
    </w:p>
    <w:p w14:paraId="31C67561" w14:textId="77777777" w:rsidR="005D5698" w:rsidRDefault="005D5698" w:rsidP="00150998">
      <w:pPr>
        <w:jc w:val="both"/>
      </w:pPr>
    </w:p>
    <w:p w14:paraId="6BA3EA26" w14:textId="77777777" w:rsidR="00B1608A" w:rsidRDefault="00B1608A" w:rsidP="00150998">
      <w:pPr>
        <w:tabs>
          <w:tab w:val="left" w:pos="1845"/>
        </w:tabs>
        <w:spacing w:before="240" w:after="240"/>
        <w:rPr>
          <w:rFonts w:ascii="Calibri" w:hAnsi="Calibri" w:cs="Calibri"/>
          <w:b/>
          <w:bCs/>
          <w:sz w:val="28"/>
          <w:szCs w:val="28"/>
        </w:rPr>
      </w:pPr>
      <w:r>
        <w:rPr>
          <w:rFonts w:ascii="Calibri" w:hAnsi="Calibri" w:cs="Calibri"/>
          <w:b/>
          <w:bCs/>
          <w:sz w:val="28"/>
          <w:szCs w:val="28"/>
        </w:rPr>
        <w:t>L’ANDAMENTO DELL’EXPORT DELLA PROVINCIA DI LUCCA</w:t>
      </w:r>
    </w:p>
    <w:p w14:paraId="5E6D88F6" w14:textId="77777777" w:rsidR="004B4CB7" w:rsidRPr="00192FB8" w:rsidRDefault="004B4CB7" w:rsidP="004B4CB7">
      <w:pPr>
        <w:rPr>
          <w:rFonts w:ascii="Calibri" w:hAnsi="Calibri"/>
          <w:b/>
        </w:rPr>
      </w:pPr>
      <w:r w:rsidRPr="00192FB8">
        <w:rPr>
          <w:rFonts w:ascii="Calibri" w:hAnsi="Calibri"/>
          <w:b/>
        </w:rPr>
        <w:t>L’andamento generale</w:t>
      </w:r>
    </w:p>
    <w:p w14:paraId="52799C56" w14:textId="431879EA" w:rsidR="00B1608A" w:rsidRDefault="00B1608A" w:rsidP="00B1608A">
      <w:pPr>
        <w:jc w:val="both"/>
        <w:rPr>
          <w:rFonts w:ascii="Calibri" w:hAnsi="Calibri" w:cs="Calibri Light"/>
        </w:rPr>
      </w:pPr>
      <w:r w:rsidRPr="0027717A">
        <w:rPr>
          <w:rFonts w:ascii="Calibri" w:hAnsi="Calibri" w:cs="Calibri Light"/>
        </w:rPr>
        <w:t xml:space="preserve">Nei primi sei mesi del 2026 l’export dalla provincia di Lucca si è attestato a 2 </w:t>
      </w:r>
      <w:r w:rsidRPr="0077050B">
        <w:rPr>
          <w:rFonts w:ascii="Calibri" w:hAnsi="Calibri" w:cs="Calibri Light"/>
        </w:rPr>
        <w:t xml:space="preserve">miliardi e 715 milioni di euro, segnando una flessione del 2,4% rispetto allo stesso periodo del 2025. </w:t>
      </w:r>
      <w:r w:rsidR="00C64FDD" w:rsidRPr="0077050B">
        <w:rPr>
          <w:rFonts w:ascii="Calibri" w:hAnsi="Calibri" w:cs="Calibri Light"/>
        </w:rPr>
        <w:t xml:space="preserve">È il secondo calo consecutivo nel raffronto fra primi semestri, ma l'export lucchese resta su livelli storicamente elevati: il valore è inferiore del 3,7% al record del 2024 e supera quello </w:t>
      </w:r>
      <w:r w:rsidR="00C64FDD" w:rsidRPr="0077050B">
        <w:rPr>
          <w:rFonts w:ascii="Calibri" w:hAnsi="Calibri" w:cs="Calibri Light"/>
        </w:rPr>
        <w:lastRenderedPageBreak/>
        <w:t xml:space="preserve">di tutti i primi semestri precedenti. </w:t>
      </w:r>
      <w:r w:rsidR="00707F77" w:rsidRPr="0077050B">
        <w:rPr>
          <w:rFonts w:ascii="Calibri" w:hAnsi="Calibri" w:cs="Calibri Light"/>
        </w:rPr>
        <w:t>I</w:t>
      </w:r>
      <w:r w:rsidRPr="0077050B">
        <w:rPr>
          <w:rFonts w:ascii="Calibri" w:hAnsi="Calibri" w:cs="Calibri Light"/>
        </w:rPr>
        <w:t xml:space="preserve">l dato complessivo sintetizza </w:t>
      </w:r>
      <w:r w:rsidR="00707F77" w:rsidRPr="0077050B">
        <w:rPr>
          <w:rFonts w:ascii="Calibri" w:hAnsi="Calibri" w:cs="Calibri Light"/>
        </w:rPr>
        <w:t xml:space="preserve">però </w:t>
      </w:r>
      <w:r w:rsidRPr="0077050B">
        <w:rPr>
          <w:rFonts w:ascii="Calibri" w:hAnsi="Calibri" w:cs="Calibri Light"/>
        </w:rPr>
        <w:t>andamenti settoriali fortemente divaricati. A determinare il segno negativo è stata soprattutto la cantieristica</w:t>
      </w:r>
      <w:r w:rsidRPr="0027717A">
        <w:rPr>
          <w:rFonts w:ascii="Calibri" w:hAnsi="Calibri" w:cs="Calibri Light"/>
        </w:rPr>
        <w:t xml:space="preserve"> navale che, pur restando di gran lunga il primo settore provinciale, ha perso il 13,9% sottraendo da sola 3,4 punti percentuali alla variazione complessiva, insieme al comparto cartario nel suo insieme, sceso dell’11%</w:t>
      </w:r>
      <w:r>
        <w:rPr>
          <w:rFonts w:ascii="Calibri" w:hAnsi="Calibri" w:cs="Calibri Light"/>
        </w:rPr>
        <w:t>, e alle macchine per impieghi speciali in flessione del 6,9% nei primi sei mesi dell’anno.</w:t>
      </w:r>
      <w:r w:rsidR="008C5D96">
        <w:rPr>
          <w:rFonts w:ascii="Calibri" w:hAnsi="Calibri" w:cs="Calibri Light"/>
        </w:rPr>
        <w:t xml:space="preserve"> </w:t>
      </w:r>
      <w:r w:rsidRPr="00E3557D">
        <w:rPr>
          <w:rFonts w:ascii="Calibri" w:hAnsi="Calibri" w:cs="Calibri Light"/>
        </w:rPr>
        <w:t>In direzione opposta hanno agito i medicinali e preparati farmaceutici, raddoppiati rispetto al primo semestre 2025, che da soli hanno aggiunto 2,9 punti percentuali alla variazione complessiva, insieme alle buone prove delle apparecchiature di cablaggio e dei metalli non ferrosi, entrambe in crescita di circa il 20%.</w:t>
      </w:r>
      <w:r w:rsidRPr="0027717A">
        <w:rPr>
          <w:rFonts w:ascii="Calibri" w:hAnsi="Calibri" w:cs="Calibri Light"/>
        </w:rPr>
        <w:t xml:space="preserve"> Al netto della sola cantieristica, l’export provinciale sarebbe risultato in aumento dell’1,3%.</w:t>
      </w:r>
    </w:p>
    <w:p w14:paraId="1E6F822F" w14:textId="77777777" w:rsidR="00B1608A" w:rsidRPr="00F13B83" w:rsidRDefault="00B1608A" w:rsidP="00B1608A">
      <w:pPr>
        <w:spacing w:after="240"/>
        <w:jc w:val="both"/>
        <w:rPr>
          <w:rFonts w:ascii="Calibri" w:hAnsi="Calibri" w:cs="Calibri Light"/>
        </w:rPr>
      </w:pPr>
      <w:r>
        <w:rPr>
          <w:rFonts w:ascii="Calibri" w:hAnsi="Calibri" w:cs="Calibri Light"/>
        </w:rPr>
        <w:t>Le importazioni della provincia di Lucca sono invece tornate a crescere nello stesso periodo, seppure di poco (+1,4%), con un valore complessivo di un miliardo e 206 milioni di euro.</w:t>
      </w:r>
    </w:p>
    <w:p w14:paraId="36E210FA" w14:textId="77777777" w:rsidR="00B1608A" w:rsidRPr="00AA1F2B" w:rsidRDefault="00B1608A" w:rsidP="00B1608A">
      <w:pPr>
        <w:rPr>
          <w:rFonts w:ascii="Calibri" w:hAnsi="Calibri"/>
          <w:b/>
        </w:rPr>
      </w:pPr>
      <w:r w:rsidRPr="00AA1F2B">
        <w:rPr>
          <w:rFonts w:ascii="Calibri" w:hAnsi="Calibri"/>
          <w:b/>
        </w:rPr>
        <w:t>Gli andamenti settoriali</w:t>
      </w:r>
    </w:p>
    <w:p w14:paraId="07A348E8" w14:textId="696735FF" w:rsidR="00B1608A" w:rsidRDefault="00B1608A" w:rsidP="008C5D96">
      <w:pPr>
        <w:jc w:val="both"/>
        <w:rPr>
          <w:rFonts w:ascii="Calibri" w:hAnsi="Calibri" w:cs="Calibri"/>
        </w:rPr>
      </w:pPr>
      <w:r w:rsidRPr="00EF4707">
        <w:rPr>
          <w:rFonts w:ascii="Calibri" w:hAnsi="Calibri" w:cs="Calibri"/>
        </w:rPr>
        <w:t xml:space="preserve">La </w:t>
      </w:r>
      <w:r w:rsidRPr="00EF4707">
        <w:rPr>
          <w:rFonts w:ascii="Calibri" w:hAnsi="Calibri" w:cs="Calibri"/>
          <w:b/>
          <w:i/>
        </w:rPr>
        <w:t>cantieristica navale</w:t>
      </w:r>
      <w:r w:rsidRPr="00EF4707">
        <w:rPr>
          <w:rFonts w:ascii="Calibri" w:hAnsi="Calibri" w:cs="Calibri"/>
        </w:rPr>
        <w:t xml:space="preserve"> ha interrotto la serie positiva degli ultimi anni: </w:t>
      </w:r>
      <w:r w:rsidR="00C64FDD" w:rsidRPr="00C64FDD">
        <w:rPr>
          <w:rFonts w:ascii="Calibri" w:hAnsi="Calibri" w:cs="Calibri"/>
        </w:rPr>
        <w:t xml:space="preserve">nei primi sei mesi del 2026 le esportazioni di navi e </w:t>
      </w:r>
      <w:r w:rsidR="00C64FDD" w:rsidRPr="0077050B">
        <w:rPr>
          <w:rFonts w:ascii="Calibri" w:hAnsi="Calibri" w:cs="Calibri"/>
        </w:rPr>
        <w:t>imbarcazioni si sono fermate a 590,5 milioni di euro, il 13,9% in meno rispetto al primo semestre 2025, quando aveva toccato il valore storicamente più elevato.</w:t>
      </w:r>
      <w:r w:rsidRPr="0077050B">
        <w:rPr>
          <w:rFonts w:ascii="Calibri" w:hAnsi="Calibri" w:cs="Calibri"/>
        </w:rPr>
        <w:t xml:space="preserve"> Il settore resta comunque il primo della provincia, con una quota del 21,8% dell’export complessivo, ma la flessione di 95,6 milioni ha sottratto da sola 3,4 punti percentuali alla variazione provinciale. Le Isole Cayman sono tornate in testa tra i mercati di destinazione con 108,1 milioni di euro, nonostante un calo del 9,5%. Segue Malta, che ha aumentato gli acquisti del 47,2% superando gli 80 milioni, mentre il Regno Unito, primo mercato un anno fa, ha ridotto le importazioni del 40,7% scendendo a 78,6 milioni: questo solo arretramento è valso quasi otto punti della flessione settoriale. In calo anche le Isole Marshall (-25,5%, 74,2 milioni), mentre la Francia ha aumentato gli acquisti</w:t>
      </w:r>
      <w:r w:rsidRPr="00EF4707">
        <w:rPr>
          <w:rFonts w:ascii="Calibri" w:hAnsi="Calibri" w:cs="Calibri"/>
        </w:rPr>
        <w:t xml:space="preserve"> del 62,9% portandosi a 60 milioni e gli Stati Uniti si sono mantenuti stabili a 53,2 milioni. Seguono le Isole Vergini britanniche, assenti nel primo semestre 2025 e salite a 32,3 milioni, e il Montenegro con 21,9 milioni. Come di consueto la graduatoria dei mercati del settore risente dei tempi di consegna e di fatturazione delle singole imbarcazioni più che di tendenze strutturali della domanda.</w:t>
      </w:r>
      <w:r w:rsidR="008C5D96">
        <w:rPr>
          <w:rFonts w:ascii="Calibri" w:hAnsi="Calibri" w:cs="Calibri"/>
        </w:rPr>
        <w:t xml:space="preserve"> </w:t>
      </w:r>
      <w:r w:rsidRPr="00C566B4">
        <w:rPr>
          <w:rFonts w:ascii="Calibri" w:hAnsi="Calibri" w:cs="Calibri"/>
        </w:rPr>
        <w:t xml:space="preserve">Gli </w:t>
      </w:r>
      <w:r w:rsidRPr="00C566B4">
        <w:rPr>
          <w:rFonts w:ascii="Calibri" w:hAnsi="Calibri" w:cs="Calibri"/>
          <w:b/>
          <w:i/>
        </w:rPr>
        <w:t>articoli di carta e di cartone</w:t>
      </w:r>
      <w:r w:rsidRPr="00C566B4">
        <w:rPr>
          <w:rFonts w:ascii="Calibri" w:hAnsi="Calibri" w:cs="Calibri"/>
        </w:rPr>
        <w:t>, secondo settore provinciale con una quota del 13,4%, hanno esportato per 363,8 milioni di euro, il 6,8% in meno rispetto al primo semestre 2025. La Francia si conferma di gran lunga il primo mercato con 109,6 milioni, pur in calo del 7,5%, seguita dalla Germania (53,7 milioni, -7,1%). Flessioni anche per Spagna (22 milioni, -6%), Svizzera (19,9 milioni, -14,9%), Regno Unito (16,5 milioni, -8,2%) e soprattutto Austria (14,7 milioni, -18,9%). In controtendenza i Paesi Bassi (18,2 milioni, +7,5%) e l’Ungheria (8,1 milioni, +18,9%).</w:t>
      </w:r>
      <w:r w:rsidR="008C5D96">
        <w:rPr>
          <w:rFonts w:ascii="Calibri" w:hAnsi="Calibri" w:cs="Calibri"/>
        </w:rPr>
        <w:t xml:space="preserve"> </w:t>
      </w:r>
      <w:r w:rsidRPr="00C566B4">
        <w:rPr>
          <w:rFonts w:ascii="Calibri" w:hAnsi="Calibri" w:cs="Calibri"/>
        </w:rPr>
        <w:t xml:space="preserve">Le </w:t>
      </w:r>
      <w:r w:rsidRPr="00C566B4">
        <w:rPr>
          <w:rFonts w:ascii="Calibri" w:hAnsi="Calibri" w:cs="Calibri"/>
          <w:b/>
          <w:i/>
        </w:rPr>
        <w:t>altre macchine per impieghi speciali</w:t>
      </w:r>
      <w:r w:rsidRPr="00C566B4">
        <w:rPr>
          <w:rFonts w:ascii="Calibri" w:hAnsi="Calibri" w:cs="Calibri"/>
        </w:rPr>
        <w:t>, comparto che comprende in larga parte i macchinari per l’industria cartaria, hanno esportato per 248,6 milioni di euro, con un calo del 6,9% che conferma il settore al terzo posto provinciale. Gli Stati Uniti restano il primo mercato e sono cresciuti del 12,8% a 41,2 milioni. Il dato più vistoso riguarda l’Algeria, sostanzialmente assente un anno fa e salita a 17,4 milioni, che da sola è valsa 6,5 punti percentuali della dinamica settoriale. In forte aumento anche Arabia Saudita (12,5 milioni, +252,4%), Perù (11,3 milioni), Australia (10,9 milioni) e Brasile (9,8 milioni, +61,6%). Sul fronte opposto il Regno Unito ha quasi dimezzato gli acquisti fermandosi a 16,1 milioni (-48,9%), mentre Francia e Svezia hanno ridotto la domanda rispettivamente di 21,6 e 20,2 milioni di euro e il Messico di quasi 14 milioni.</w:t>
      </w:r>
      <w:r w:rsidR="008C5D96">
        <w:rPr>
          <w:rFonts w:ascii="Calibri" w:hAnsi="Calibri" w:cs="Calibri"/>
        </w:rPr>
        <w:t xml:space="preserve"> </w:t>
      </w:r>
      <w:r w:rsidRPr="00C566B4">
        <w:rPr>
          <w:rFonts w:ascii="Calibri" w:hAnsi="Calibri" w:cs="Calibri"/>
        </w:rPr>
        <w:t xml:space="preserve">Le esportazioni di </w:t>
      </w:r>
      <w:r w:rsidRPr="00C566B4">
        <w:rPr>
          <w:rFonts w:ascii="Calibri" w:hAnsi="Calibri" w:cs="Calibri"/>
          <w:b/>
          <w:i/>
        </w:rPr>
        <w:t>pasta-carta, carta e cartone</w:t>
      </w:r>
      <w:r w:rsidRPr="00C566B4">
        <w:rPr>
          <w:rFonts w:ascii="Calibri" w:hAnsi="Calibri" w:cs="Calibri"/>
        </w:rPr>
        <w:t xml:space="preserve"> sono scese a 207,4 milioni di euro, in flessione del 17,6% rispetto al primo semestre 2025. Il calo è concentrato quasi per intero su due mercati: la Polonia, che dopo il picco dello scorso anno ha ridotto gli acquisti di 25 milioni fermandosi a 12 milioni (-67,7%), e gli Stati Uniti, in arretramento di oltre 10 milioni. La Francia ha invece conquistato il primo posto con 44,5 milioni (+27,7%), </w:t>
      </w:r>
      <w:r w:rsidRPr="00C566B4">
        <w:rPr>
          <w:rFonts w:ascii="Calibri" w:hAnsi="Calibri" w:cs="Calibri"/>
        </w:rPr>
        <w:lastRenderedPageBreak/>
        <w:t>superando la Germania (34,9 milioni, -9,2%). In crescita anche Regno Unito (21,2 milioni, +10,9%), Spagna (18,9 milioni, +4,3%) e Belgio (1</w:t>
      </w:r>
      <w:r w:rsidRPr="00E3557D">
        <w:rPr>
          <w:rFonts w:ascii="Calibri" w:hAnsi="Calibri" w:cs="Calibri"/>
        </w:rPr>
        <w:t>1,8 milioni, +18,8%), mentre hanno segnato cali marcati Grecia (-26,7%) e Croazia (-53,4%). Considerando insieme le due voci del cartario, articoli di carta e pasta-carta, il comparto è sceso a 571,3 milioni di euro, l’11% in meno rispetto a un anno fa.</w:t>
      </w:r>
      <w:r w:rsidR="008C5D96">
        <w:rPr>
          <w:rFonts w:ascii="Calibri" w:hAnsi="Calibri" w:cs="Calibri"/>
        </w:rPr>
        <w:t xml:space="preserve"> </w:t>
      </w:r>
      <w:r w:rsidRPr="005A1663">
        <w:rPr>
          <w:rFonts w:ascii="Calibri" w:hAnsi="Calibri" w:cs="Calibri"/>
        </w:rPr>
        <w:t xml:space="preserve">Le </w:t>
      </w:r>
      <w:r w:rsidRPr="005A1663">
        <w:rPr>
          <w:rFonts w:ascii="Calibri" w:hAnsi="Calibri" w:cs="Calibri"/>
          <w:b/>
          <w:i/>
        </w:rPr>
        <w:t>apparecchiature di cablaggio</w:t>
      </w:r>
      <w:r w:rsidRPr="005A1663">
        <w:rPr>
          <w:rFonts w:ascii="Calibri" w:hAnsi="Calibri" w:cs="Calibri"/>
        </w:rPr>
        <w:t xml:space="preserve"> sono il quinto settore provinciale e tra i più dinamici del semestre, con 195,3 milioni di euro di export e una crescita del 20%. La Francia assorbe da sola quasi la metà delle vendite del comparto, con 87,4 milioni (+28,7%), e ha contribuito per dodici punti alla crescita settoriale. Seguono il Belgio (28,2 milioni, +20,3%), la Germania sostanzialmente stabile (24 milioni, +1,3%) e la Svizzera (23,9 milioni, +16,4%). Crescite elevate, ma su valori ancora contenuti, per Paesi Bassi (+36,4%), Polonia (+192,1%) e Slovenia (+120%); in controtendenza la Libia, che ha ridotto gli acquisti di 4 milioni.</w:t>
      </w:r>
      <w:r w:rsidR="008C5D96">
        <w:rPr>
          <w:rFonts w:ascii="Calibri" w:hAnsi="Calibri" w:cs="Calibri"/>
        </w:rPr>
        <w:t xml:space="preserve"> </w:t>
      </w:r>
      <w:r w:rsidRPr="00511F8D">
        <w:rPr>
          <w:rFonts w:ascii="Calibri" w:hAnsi="Calibri" w:cs="Calibri"/>
        </w:rPr>
        <w:t xml:space="preserve">Il risultato più vistoso del semestre è quello dei </w:t>
      </w:r>
      <w:r w:rsidRPr="00511F8D">
        <w:rPr>
          <w:rFonts w:ascii="Calibri" w:hAnsi="Calibri" w:cs="Calibri"/>
          <w:b/>
          <w:i/>
        </w:rPr>
        <w:t>medicinali e preparati farmaceutici</w:t>
      </w:r>
      <w:r w:rsidRPr="00511F8D">
        <w:rPr>
          <w:rFonts w:ascii="Calibri" w:hAnsi="Calibri" w:cs="Calibri"/>
        </w:rPr>
        <w:t>, le cui vendite all’estero sono raddoppiate (+99,3%) raggiungendo i 162,9 milioni di euro. L’incremento di 81 milioni è valso 2,9 punti percentuali della variazione provinciale e ha portato il settore dall’ottavo al sesto posto della graduatoria. Determinante è stato il mercato statunitense, passato da 1,5 a 64 milioni di euro, seguito dalla Turchia che ha più che triplicato gli acquisti raggiungendo i 36,9 milioni (+220,5%). L’Iran, primo mercato un anno fa, è sceso a 18,2 milioni (-10,9%). In crescita anche Brasile (6,7 milioni, +42,2%) e Russia (5,6 milioni, +146,5%), mentre sono arretrati il Canada (4,3 milioni, -53,6%) e soprattutto il Messico (2,3 milioni, -84,3%).</w:t>
      </w:r>
      <w:r w:rsidR="008C5D96">
        <w:rPr>
          <w:rFonts w:ascii="Calibri" w:hAnsi="Calibri" w:cs="Calibri"/>
        </w:rPr>
        <w:t xml:space="preserve"> </w:t>
      </w:r>
      <w:r w:rsidRPr="00824539">
        <w:rPr>
          <w:rFonts w:ascii="Calibri" w:hAnsi="Calibri" w:cs="Calibri"/>
        </w:rPr>
        <w:t xml:space="preserve">I </w:t>
      </w:r>
      <w:r w:rsidRPr="00824539">
        <w:rPr>
          <w:rFonts w:ascii="Calibri" w:hAnsi="Calibri" w:cs="Calibri"/>
          <w:b/>
          <w:i/>
        </w:rPr>
        <w:t>metalli di base preziosi e altri metalli non ferrosi</w:t>
      </w:r>
      <w:r w:rsidRPr="00824539">
        <w:rPr>
          <w:rFonts w:ascii="Calibri" w:hAnsi="Calibri" w:cs="Calibri"/>
        </w:rPr>
        <w:t xml:space="preserve"> hanno proseguito il percorso di crescita avviato lo scorso anno, salendo a 160,8 milioni di euro (+20,4%, pari a 27 milioni in più). La Francia si conferma primo mercato ed è cresciuta del 27,7% a 40,7 milioni, seguita dalla Germania (32 milioni, +7,2%) e dalla Svizzera (19,3 milioni, +33,3%). Il contributo più rilevante in termini relativi è arrivato dai Paesi Bassi, più che raddoppiati a 11,4 milioni (+140,9%). In aumento anche la Repubblica Ceca (8,2 milioni, +12,6%), Danimarca (+75,7%) e Belgio (+44,4%), mentre il Regno Unito ha perso il 17,9%.</w:t>
      </w:r>
    </w:p>
    <w:p w14:paraId="139C7FCF" w14:textId="77777777" w:rsidR="008C5D96" w:rsidRDefault="008C5D96" w:rsidP="008C5D96">
      <w:pPr>
        <w:jc w:val="both"/>
        <w:rPr>
          <w:rFonts w:ascii="Calibri" w:hAnsi="Calibri" w:cs="Calibri"/>
        </w:rPr>
      </w:pPr>
    </w:p>
    <w:tbl>
      <w:tblPr>
        <w:tblW w:w="9345" w:type="dxa"/>
        <w:tblInd w:w="70" w:type="dxa"/>
        <w:tblCellMar>
          <w:left w:w="70" w:type="dxa"/>
          <w:right w:w="70" w:type="dxa"/>
        </w:tblCellMar>
        <w:tblLook w:val="04A0" w:firstRow="1" w:lastRow="0" w:firstColumn="1" w:lastColumn="0" w:noHBand="0" w:noVBand="1"/>
      </w:tblPr>
      <w:tblGrid>
        <w:gridCol w:w="3686"/>
        <w:gridCol w:w="1315"/>
        <w:gridCol w:w="1314"/>
        <w:gridCol w:w="881"/>
        <w:gridCol w:w="107"/>
        <w:gridCol w:w="893"/>
        <w:gridCol w:w="107"/>
        <w:gridCol w:w="968"/>
        <w:gridCol w:w="74"/>
      </w:tblGrid>
      <w:tr w:rsidR="00B1608A" w14:paraId="1FD82A56" w14:textId="77777777" w:rsidTr="005A6585">
        <w:trPr>
          <w:gridAfter w:val="1"/>
          <w:wAfter w:w="74" w:type="dxa"/>
          <w:trHeight w:val="255"/>
        </w:trPr>
        <w:tc>
          <w:tcPr>
            <w:tcW w:w="6315" w:type="dxa"/>
            <w:gridSpan w:val="3"/>
            <w:tcBorders>
              <w:top w:val="nil"/>
              <w:left w:val="nil"/>
              <w:bottom w:val="nil"/>
              <w:right w:val="nil"/>
            </w:tcBorders>
            <w:noWrap/>
            <w:vAlign w:val="center"/>
            <w:hideMark/>
          </w:tcPr>
          <w:p w14:paraId="4CBDCC82" w14:textId="77777777" w:rsidR="00B1608A" w:rsidRDefault="00B1608A" w:rsidP="004F1CBC">
            <w:pPr>
              <w:rPr>
                <w:rFonts w:ascii="Calibri" w:hAnsi="Calibri" w:cs="Calibri"/>
                <w:b/>
                <w:bCs/>
                <w:color w:val="000000"/>
                <w:sz w:val="20"/>
                <w:szCs w:val="20"/>
              </w:rPr>
            </w:pPr>
            <w:r>
              <w:rPr>
                <w:rFonts w:ascii="Calibri" w:hAnsi="Calibri" w:cs="Calibri"/>
                <w:b/>
                <w:bCs/>
                <w:color w:val="000000"/>
                <w:sz w:val="20"/>
                <w:szCs w:val="20"/>
              </w:rPr>
              <w:t>I principali settori esportatori della provincia di Lucca - I semestre 2026</w:t>
            </w:r>
          </w:p>
        </w:tc>
        <w:tc>
          <w:tcPr>
            <w:tcW w:w="881" w:type="dxa"/>
            <w:tcBorders>
              <w:top w:val="nil"/>
              <w:left w:val="nil"/>
              <w:bottom w:val="nil"/>
              <w:right w:val="nil"/>
            </w:tcBorders>
            <w:noWrap/>
            <w:vAlign w:val="center"/>
            <w:hideMark/>
          </w:tcPr>
          <w:p w14:paraId="285B6BAC" w14:textId="77777777" w:rsidR="00B1608A" w:rsidRDefault="00B1608A" w:rsidP="004F1CBC">
            <w:pPr>
              <w:rPr>
                <w:rFonts w:ascii="Calibri" w:hAnsi="Calibri" w:cs="Calibri"/>
                <w:b/>
                <w:bCs/>
                <w:color w:val="000000"/>
                <w:sz w:val="20"/>
                <w:szCs w:val="20"/>
              </w:rPr>
            </w:pPr>
          </w:p>
        </w:tc>
        <w:tc>
          <w:tcPr>
            <w:tcW w:w="1000" w:type="dxa"/>
            <w:gridSpan w:val="2"/>
            <w:tcBorders>
              <w:top w:val="nil"/>
              <w:left w:val="nil"/>
              <w:bottom w:val="nil"/>
              <w:right w:val="nil"/>
            </w:tcBorders>
            <w:noWrap/>
            <w:vAlign w:val="center"/>
            <w:hideMark/>
          </w:tcPr>
          <w:p w14:paraId="563E7428" w14:textId="77777777" w:rsidR="00B1608A" w:rsidRDefault="00B1608A" w:rsidP="004F1CBC">
            <w:pPr>
              <w:rPr>
                <w:sz w:val="20"/>
                <w:szCs w:val="20"/>
              </w:rPr>
            </w:pPr>
          </w:p>
        </w:tc>
        <w:tc>
          <w:tcPr>
            <w:tcW w:w="1075" w:type="dxa"/>
            <w:gridSpan w:val="2"/>
            <w:tcBorders>
              <w:top w:val="nil"/>
              <w:left w:val="nil"/>
              <w:bottom w:val="nil"/>
              <w:right w:val="nil"/>
            </w:tcBorders>
            <w:noWrap/>
            <w:vAlign w:val="center"/>
            <w:hideMark/>
          </w:tcPr>
          <w:p w14:paraId="34FB1818" w14:textId="77777777" w:rsidR="00B1608A" w:rsidRDefault="00B1608A" w:rsidP="004F1CBC">
            <w:pPr>
              <w:rPr>
                <w:sz w:val="20"/>
                <w:szCs w:val="20"/>
              </w:rPr>
            </w:pPr>
          </w:p>
        </w:tc>
      </w:tr>
      <w:tr w:rsidR="00B1608A" w14:paraId="09901FC0" w14:textId="77777777" w:rsidTr="005A6585">
        <w:trPr>
          <w:gridAfter w:val="1"/>
          <w:wAfter w:w="74" w:type="dxa"/>
          <w:trHeight w:val="255"/>
        </w:trPr>
        <w:tc>
          <w:tcPr>
            <w:tcW w:w="5001" w:type="dxa"/>
            <w:gridSpan w:val="2"/>
            <w:tcBorders>
              <w:top w:val="nil"/>
              <w:left w:val="nil"/>
              <w:bottom w:val="single" w:sz="4" w:space="0" w:color="auto"/>
              <w:right w:val="nil"/>
            </w:tcBorders>
            <w:noWrap/>
            <w:vAlign w:val="center"/>
            <w:hideMark/>
          </w:tcPr>
          <w:p w14:paraId="42DCE202" w14:textId="77777777" w:rsidR="00B1608A" w:rsidRDefault="00B1608A" w:rsidP="004F1CBC">
            <w:pPr>
              <w:rPr>
                <w:rFonts w:ascii="Calibri" w:hAnsi="Calibri" w:cs="Calibri"/>
                <w:i/>
                <w:iCs/>
                <w:color w:val="000000"/>
                <w:sz w:val="20"/>
                <w:szCs w:val="20"/>
              </w:rPr>
            </w:pPr>
            <w:r>
              <w:rPr>
                <w:rFonts w:ascii="Calibri" w:hAnsi="Calibri" w:cs="Calibri"/>
                <w:i/>
                <w:iCs/>
                <w:color w:val="000000"/>
                <w:sz w:val="20"/>
                <w:szCs w:val="20"/>
              </w:rPr>
              <w:t>Valori assoluti in euro, var. % e contributi % alla crescita </w:t>
            </w:r>
          </w:p>
        </w:tc>
        <w:tc>
          <w:tcPr>
            <w:tcW w:w="1314" w:type="dxa"/>
            <w:tcBorders>
              <w:top w:val="nil"/>
              <w:left w:val="nil"/>
              <w:bottom w:val="single" w:sz="4" w:space="0" w:color="auto"/>
              <w:right w:val="nil"/>
            </w:tcBorders>
            <w:noWrap/>
            <w:vAlign w:val="center"/>
            <w:hideMark/>
          </w:tcPr>
          <w:p w14:paraId="2ED74C7B" w14:textId="77777777" w:rsidR="00B1608A" w:rsidRDefault="00B1608A" w:rsidP="004F1CBC">
            <w:pPr>
              <w:rPr>
                <w:rFonts w:ascii="Calibri" w:hAnsi="Calibri" w:cs="Calibri"/>
                <w:i/>
                <w:iCs/>
                <w:color w:val="000000"/>
                <w:sz w:val="20"/>
                <w:szCs w:val="20"/>
              </w:rPr>
            </w:pPr>
          </w:p>
        </w:tc>
        <w:tc>
          <w:tcPr>
            <w:tcW w:w="881" w:type="dxa"/>
            <w:tcBorders>
              <w:top w:val="nil"/>
              <w:left w:val="nil"/>
              <w:bottom w:val="single" w:sz="4" w:space="0" w:color="auto"/>
              <w:right w:val="nil"/>
            </w:tcBorders>
            <w:noWrap/>
            <w:vAlign w:val="center"/>
            <w:hideMark/>
          </w:tcPr>
          <w:p w14:paraId="149DD7CA" w14:textId="77777777" w:rsidR="00B1608A" w:rsidRDefault="00B1608A" w:rsidP="004F1CBC">
            <w:pPr>
              <w:rPr>
                <w:sz w:val="20"/>
                <w:szCs w:val="20"/>
              </w:rPr>
            </w:pPr>
          </w:p>
        </w:tc>
        <w:tc>
          <w:tcPr>
            <w:tcW w:w="1000" w:type="dxa"/>
            <w:gridSpan w:val="2"/>
            <w:tcBorders>
              <w:top w:val="nil"/>
              <w:left w:val="nil"/>
              <w:bottom w:val="single" w:sz="4" w:space="0" w:color="auto"/>
              <w:right w:val="nil"/>
            </w:tcBorders>
            <w:noWrap/>
            <w:vAlign w:val="center"/>
            <w:hideMark/>
          </w:tcPr>
          <w:p w14:paraId="066C1057" w14:textId="77777777" w:rsidR="00B1608A" w:rsidRDefault="00B1608A" w:rsidP="004F1CBC">
            <w:pPr>
              <w:rPr>
                <w:sz w:val="20"/>
                <w:szCs w:val="20"/>
              </w:rPr>
            </w:pPr>
          </w:p>
        </w:tc>
        <w:tc>
          <w:tcPr>
            <w:tcW w:w="1075" w:type="dxa"/>
            <w:gridSpan w:val="2"/>
            <w:tcBorders>
              <w:top w:val="nil"/>
              <w:left w:val="nil"/>
              <w:bottom w:val="single" w:sz="4" w:space="0" w:color="auto"/>
              <w:right w:val="nil"/>
            </w:tcBorders>
            <w:noWrap/>
            <w:vAlign w:val="center"/>
            <w:hideMark/>
          </w:tcPr>
          <w:p w14:paraId="7ABB96AB" w14:textId="77777777" w:rsidR="00B1608A" w:rsidRDefault="00B1608A" w:rsidP="004F1CBC">
            <w:pPr>
              <w:rPr>
                <w:sz w:val="20"/>
                <w:szCs w:val="20"/>
              </w:rPr>
            </w:pPr>
          </w:p>
        </w:tc>
      </w:tr>
      <w:tr w:rsidR="00B1608A" w14:paraId="5297D781" w14:textId="77777777" w:rsidTr="005A6585">
        <w:trPr>
          <w:trHeight w:val="255"/>
        </w:trPr>
        <w:tc>
          <w:tcPr>
            <w:tcW w:w="3686" w:type="dxa"/>
            <w:vMerge w:val="restart"/>
            <w:tcBorders>
              <w:top w:val="single" w:sz="4" w:space="0" w:color="auto"/>
              <w:left w:val="nil"/>
              <w:bottom w:val="single" w:sz="4" w:space="0" w:color="auto"/>
            </w:tcBorders>
            <w:noWrap/>
            <w:vAlign w:val="center"/>
            <w:hideMark/>
          </w:tcPr>
          <w:p w14:paraId="791EC584" w14:textId="77777777" w:rsidR="00B1608A" w:rsidRDefault="00B1608A" w:rsidP="004F1CBC">
            <w:pPr>
              <w:rPr>
                <w:rFonts w:ascii="Calibri" w:hAnsi="Calibri" w:cs="Calibri"/>
                <w:b/>
                <w:bCs/>
                <w:color w:val="000000"/>
                <w:sz w:val="20"/>
                <w:szCs w:val="20"/>
              </w:rPr>
            </w:pPr>
            <w:r>
              <w:rPr>
                <w:rFonts w:ascii="Calibri" w:hAnsi="Calibri" w:cs="Calibri"/>
                <w:b/>
                <w:bCs/>
                <w:color w:val="000000"/>
                <w:sz w:val="20"/>
                <w:szCs w:val="20"/>
              </w:rPr>
              <w:t>Settori di attività</w:t>
            </w:r>
          </w:p>
        </w:tc>
        <w:tc>
          <w:tcPr>
            <w:tcW w:w="2629" w:type="dxa"/>
            <w:gridSpan w:val="2"/>
            <w:tcBorders>
              <w:top w:val="single" w:sz="4" w:space="0" w:color="auto"/>
              <w:bottom w:val="single" w:sz="4" w:space="0" w:color="auto"/>
            </w:tcBorders>
            <w:noWrap/>
            <w:vAlign w:val="center"/>
            <w:hideMark/>
          </w:tcPr>
          <w:p w14:paraId="2C8C3EB5" w14:textId="77777777" w:rsidR="00B1608A" w:rsidRDefault="00B1608A" w:rsidP="004F1CBC">
            <w:pPr>
              <w:jc w:val="center"/>
              <w:rPr>
                <w:rFonts w:ascii="Calibri" w:hAnsi="Calibri" w:cs="Calibri"/>
                <w:b/>
                <w:bCs/>
                <w:color w:val="000000"/>
                <w:sz w:val="20"/>
                <w:szCs w:val="20"/>
              </w:rPr>
            </w:pPr>
            <w:r>
              <w:rPr>
                <w:rFonts w:ascii="Calibri" w:hAnsi="Calibri" w:cs="Calibri"/>
                <w:b/>
                <w:bCs/>
                <w:color w:val="000000"/>
                <w:sz w:val="20"/>
                <w:szCs w:val="20"/>
              </w:rPr>
              <w:t>Valori assoluti in euro</w:t>
            </w:r>
          </w:p>
        </w:tc>
        <w:tc>
          <w:tcPr>
            <w:tcW w:w="988" w:type="dxa"/>
            <w:gridSpan w:val="2"/>
            <w:vMerge w:val="restart"/>
            <w:tcBorders>
              <w:top w:val="single" w:sz="4" w:space="0" w:color="auto"/>
              <w:bottom w:val="single" w:sz="4" w:space="0" w:color="auto"/>
            </w:tcBorders>
            <w:noWrap/>
            <w:vAlign w:val="center"/>
            <w:hideMark/>
          </w:tcPr>
          <w:p w14:paraId="1B4E7302" w14:textId="77777777" w:rsidR="00B1608A" w:rsidRDefault="00B1608A" w:rsidP="004F1CBC">
            <w:pPr>
              <w:jc w:val="center"/>
              <w:rPr>
                <w:rFonts w:ascii="Calibri" w:hAnsi="Calibri" w:cs="Calibri"/>
                <w:b/>
                <w:bCs/>
                <w:color w:val="000000"/>
                <w:sz w:val="20"/>
                <w:szCs w:val="20"/>
              </w:rPr>
            </w:pPr>
            <w:r>
              <w:rPr>
                <w:rFonts w:ascii="Calibri" w:hAnsi="Calibri" w:cs="Calibri"/>
                <w:b/>
                <w:bCs/>
                <w:color w:val="000000"/>
                <w:sz w:val="20"/>
                <w:szCs w:val="20"/>
              </w:rPr>
              <w:t>Quota %</w:t>
            </w:r>
          </w:p>
        </w:tc>
        <w:tc>
          <w:tcPr>
            <w:tcW w:w="1000" w:type="dxa"/>
            <w:gridSpan w:val="2"/>
            <w:vMerge w:val="restart"/>
            <w:tcBorders>
              <w:top w:val="single" w:sz="4" w:space="0" w:color="auto"/>
              <w:bottom w:val="single" w:sz="4" w:space="0" w:color="auto"/>
            </w:tcBorders>
            <w:noWrap/>
            <w:vAlign w:val="center"/>
            <w:hideMark/>
          </w:tcPr>
          <w:p w14:paraId="2B9ED19E" w14:textId="77777777" w:rsidR="00B1608A" w:rsidRDefault="00B1608A" w:rsidP="004F1CBC">
            <w:pPr>
              <w:jc w:val="center"/>
              <w:rPr>
                <w:rFonts w:ascii="Calibri" w:hAnsi="Calibri" w:cs="Calibri"/>
                <w:b/>
                <w:bCs/>
                <w:color w:val="000000"/>
                <w:sz w:val="20"/>
                <w:szCs w:val="20"/>
              </w:rPr>
            </w:pPr>
            <w:r>
              <w:rPr>
                <w:rFonts w:ascii="Calibri" w:hAnsi="Calibri" w:cs="Calibri"/>
                <w:b/>
                <w:bCs/>
                <w:color w:val="000000"/>
                <w:sz w:val="20"/>
                <w:szCs w:val="20"/>
              </w:rPr>
              <w:t>Var. %</w:t>
            </w:r>
          </w:p>
        </w:tc>
        <w:tc>
          <w:tcPr>
            <w:tcW w:w="1042" w:type="dxa"/>
            <w:gridSpan w:val="2"/>
            <w:vMerge w:val="restart"/>
            <w:tcBorders>
              <w:top w:val="single" w:sz="4" w:space="0" w:color="auto"/>
              <w:bottom w:val="single" w:sz="4" w:space="0" w:color="auto"/>
            </w:tcBorders>
            <w:vAlign w:val="center"/>
            <w:hideMark/>
          </w:tcPr>
          <w:p w14:paraId="06DC7597" w14:textId="77777777" w:rsidR="00B1608A" w:rsidRDefault="00B1608A" w:rsidP="004F1CBC">
            <w:pPr>
              <w:jc w:val="center"/>
              <w:rPr>
                <w:rFonts w:ascii="Calibri" w:hAnsi="Calibri" w:cs="Calibri"/>
                <w:b/>
                <w:bCs/>
                <w:color w:val="000000"/>
                <w:sz w:val="20"/>
                <w:szCs w:val="20"/>
              </w:rPr>
            </w:pPr>
            <w:r>
              <w:rPr>
                <w:rFonts w:ascii="Calibri" w:hAnsi="Calibri" w:cs="Calibri"/>
                <w:b/>
                <w:bCs/>
                <w:color w:val="000000"/>
                <w:sz w:val="20"/>
                <w:szCs w:val="20"/>
              </w:rPr>
              <w:t>Contributo %</w:t>
            </w:r>
          </w:p>
        </w:tc>
      </w:tr>
      <w:tr w:rsidR="00B1608A" w14:paraId="43807F26" w14:textId="77777777" w:rsidTr="005A6585">
        <w:trPr>
          <w:trHeight w:val="255"/>
        </w:trPr>
        <w:tc>
          <w:tcPr>
            <w:tcW w:w="3686" w:type="dxa"/>
            <w:vMerge/>
            <w:tcBorders>
              <w:top w:val="single" w:sz="4" w:space="0" w:color="auto"/>
              <w:left w:val="nil"/>
              <w:bottom w:val="single" w:sz="4" w:space="0" w:color="000000"/>
              <w:right w:val="nil"/>
            </w:tcBorders>
            <w:vAlign w:val="center"/>
            <w:hideMark/>
          </w:tcPr>
          <w:p w14:paraId="26334BCD" w14:textId="77777777" w:rsidR="00B1608A" w:rsidRDefault="00B1608A" w:rsidP="004F1CBC">
            <w:pPr>
              <w:rPr>
                <w:rFonts w:ascii="Calibri" w:hAnsi="Calibri" w:cs="Calibri"/>
                <w:b/>
                <w:bCs/>
                <w:color w:val="000000"/>
                <w:sz w:val="20"/>
                <w:szCs w:val="20"/>
              </w:rPr>
            </w:pPr>
          </w:p>
        </w:tc>
        <w:tc>
          <w:tcPr>
            <w:tcW w:w="1315" w:type="dxa"/>
            <w:tcBorders>
              <w:top w:val="single" w:sz="4" w:space="0" w:color="auto"/>
              <w:left w:val="nil"/>
              <w:bottom w:val="single" w:sz="4" w:space="0" w:color="auto"/>
            </w:tcBorders>
            <w:noWrap/>
            <w:vAlign w:val="center"/>
            <w:hideMark/>
          </w:tcPr>
          <w:p w14:paraId="18EFCC72" w14:textId="77777777" w:rsidR="00B1608A" w:rsidRDefault="00B1608A" w:rsidP="004F1CBC">
            <w:pPr>
              <w:jc w:val="center"/>
              <w:rPr>
                <w:rFonts w:ascii="Calibri" w:hAnsi="Calibri" w:cs="Calibri"/>
                <w:b/>
                <w:bCs/>
                <w:color w:val="000000"/>
                <w:sz w:val="20"/>
                <w:szCs w:val="20"/>
              </w:rPr>
            </w:pPr>
            <w:r>
              <w:rPr>
                <w:rFonts w:ascii="Calibri" w:hAnsi="Calibri" w:cs="Calibri"/>
                <w:b/>
                <w:bCs/>
                <w:color w:val="000000"/>
                <w:sz w:val="20"/>
                <w:szCs w:val="20"/>
              </w:rPr>
              <w:t xml:space="preserve">I </w:t>
            </w:r>
            <w:proofErr w:type="spellStart"/>
            <w:r>
              <w:rPr>
                <w:rFonts w:ascii="Calibri" w:hAnsi="Calibri" w:cs="Calibri"/>
                <w:b/>
                <w:bCs/>
                <w:color w:val="000000"/>
                <w:sz w:val="20"/>
                <w:szCs w:val="20"/>
              </w:rPr>
              <w:t>sem</w:t>
            </w:r>
            <w:proofErr w:type="spellEnd"/>
            <w:r>
              <w:rPr>
                <w:rFonts w:ascii="Calibri" w:hAnsi="Calibri" w:cs="Calibri"/>
                <w:b/>
                <w:bCs/>
                <w:color w:val="000000"/>
                <w:sz w:val="20"/>
                <w:szCs w:val="20"/>
              </w:rPr>
              <w:t>. 2025</w:t>
            </w:r>
          </w:p>
        </w:tc>
        <w:tc>
          <w:tcPr>
            <w:tcW w:w="1314" w:type="dxa"/>
            <w:tcBorders>
              <w:top w:val="single" w:sz="4" w:space="0" w:color="auto"/>
              <w:bottom w:val="single" w:sz="4" w:space="0" w:color="auto"/>
            </w:tcBorders>
            <w:noWrap/>
            <w:vAlign w:val="center"/>
            <w:hideMark/>
          </w:tcPr>
          <w:p w14:paraId="4282E424" w14:textId="77777777" w:rsidR="00B1608A" w:rsidRDefault="00B1608A" w:rsidP="004F1CBC">
            <w:pPr>
              <w:jc w:val="center"/>
              <w:rPr>
                <w:rFonts w:ascii="Calibri" w:hAnsi="Calibri" w:cs="Calibri"/>
                <w:b/>
                <w:bCs/>
                <w:color w:val="000000"/>
                <w:sz w:val="20"/>
                <w:szCs w:val="20"/>
              </w:rPr>
            </w:pPr>
            <w:r>
              <w:rPr>
                <w:rFonts w:ascii="Calibri" w:hAnsi="Calibri" w:cs="Calibri"/>
                <w:b/>
                <w:bCs/>
                <w:color w:val="000000"/>
                <w:sz w:val="20"/>
                <w:szCs w:val="20"/>
              </w:rPr>
              <w:t xml:space="preserve">I </w:t>
            </w:r>
            <w:proofErr w:type="spellStart"/>
            <w:r>
              <w:rPr>
                <w:rFonts w:ascii="Calibri" w:hAnsi="Calibri" w:cs="Calibri"/>
                <w:b/>
                <w:bCs/>
                <w:color w:val="000000"/>
                <w:sz w:val="20"/>
                <w:szCs w:val="20"/>
              </w:rPr>
              <w:t>sem</w:t>
            </w:r>
            <w:proofErr w:type="spellEnd"/>
            <w:r>
              <w:rPr>
                <w:rFonts w:ascii="Calibri" w:hAnsi="Calibri" w:cs="Calibri"/>
                <w:b/>
                <w:bCs/>
                <w:color w:val="000000"/>
                <w:sz w:val="20"/>
                <w:szCs w:val="20"/>
              </w:rPr>
              <w:t>. 2026</w:t>
            </w:r>
          </w:p>
        </w:tc>
        <w:tc>
          <w:tcPr>
            <w:tcW w:w="988" w:type="dxa"/>
            <w:gridSpan w:val="2"/>
            <w:vMerge/>
            <w:tcBorders>
              <w:top w:val="single" w:sz="4" w:space="0" w:color="auto"/>
              <w:bottom w:val="single" w:sz="4" w:space="0" w:color="auto"/>
            </w:tcBorders>
            <w:vAlign w:val="center"/>
            <w:hideMark/>
          </w:tcPr>
          <w:p w14:paraId="327711CB" w14:textId="77777777" w:rsidR="00B1608A" w:rsidRDefault="00B1608A" w:rsidP="004F1CBC">
            <w:pPr>
              <w:jc w:val="center"/>
              <w:rPr>
                <w:rFonts w:ascii="Calibri" w:hAnsi="Calibri" w:cs="Calibri"/>
                <w:b/>
                <w:bCs/>
                <w:color w:val="000000"/>
                <w:sz w:val="20"/>
                <w:szCs w:val="20"/>
              </w:rPr>
            </w:pPr>
          </w:p>
        </w:tc>
        <w:tc>
          <w:tcPr>
            <w:tcW w:w="1000" w:type="dxa"/>
            <w:gridSpan w:val="2"/>
            <w:vMerge/>
            <w:tcBorders>
              <w:top w:val="single" w:sz="4" w:space="0" w:color="auto"/>
              <w:bottom w:val="single" w:sz="4" w:space="0" w:color="auto"/>
            </w:tcBorders>
            <w:vAlign w:val="center"/>
            <w:hideMark/>
          </w:tcPr>
          <w:p w14:paraId="1CF274FC" w14:textId="77777777" w:rsidR="00B1608A" w:rsidRDefault="00B1608A" w:rsidP="004F1CBC">
            <w:pPr>
              <w:jc w:val="center"/>
              <w:rPr>
                <w:rFonts w:ascii="Calibri" w:hAnsi="Calibri" w:cs="Calibri"/>
                <w:b/>
                <w:bCs/>
                <w:color w:val="000000"/>
                <w:sz w:val="20"/>
                <w:szCs w:val="20"/>
              </w:rPr>
            </w:pPr>
          </w:p>
        </w:tc>
        <w:tc>
          <w:tcPr>
            <w:tcW w:w="1042" w:type="dxa"/>
            <w:gridSpan w:val="2"/>
            <w:vMerge/>
            <w:tcBorders>
              <w:top w:val="single" w:sz="4" w:space="0" w:color="auto"/>
              <w:bottom w:val="single" w:sz="4" w:space="0" w:color="auto"/>
            </w:tcBorders>
            <w:vAlign w:val="center"/>
            <w:hideMark/>
          </w:tcPr>
          <w:p w14:paraId="1C7EB207" w14:textId="77777777" w:rsidR="00B1608A" w:rsidRDefault="00B1608A" w:rsidP="004F1CBC">
            <w:pPr>
              <w:jc w:val="center"/>
              <w:rPr>
                <w:rFonts w:ascii="Calibri" w:hAnsi="Calibri" w:cs="Calibri"/>
                <w:b/>
                <w:bCs/>
                <w:color w:val="000000"/>
                <w:sz w:val="20"/>
                <w:szCs w:val="20"/>
              </w:rPr>
            </w:pPr>
          </w:p>
        </w:tc>
      </w:tr>
      <w:tr w:rsidR="00B1608A" w14:paraId="02F4E723" w14:textId="77777777" w:rsidTr="005A6585">
        <w:trPr>
          <w:gridAfter w:val="1"/>
          <w:wAfter w:w="74" w:type="dxa"/>
          <w:trHeight w:val="255"/>
        </w:trPr>
        <w:tc>
          <w:tcPr>
            <w:tcW w:w="3686" w:type="dxa"/>
            <w:tcBorders>
              <w:top w:val="single" w:sz="4" w:space="0" w:color="auto"/>
              <w:left w:val="nil"/>
              <w:bottom w:val="nil"/>
              <w:right w:val="nil"/>
            </w:tcBorders>
            <w:noWrap/>
            <w:vAlign w:val="center"/>
            <w:hideMark/>
          </w:tcPr>
          <w:p w14:paraId="339AAF05"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Navi e imbarcazioni</w:t>
            </w:r>
          </w:p>
        </w:tc>
        <w:tc>
          <w:tcPr>
            <w:tcW w:w="1315" w:type="dxa"/>
            <w:tcBorders>
              <w:top w:val="single" w:sz="4" w:space="0" w:color="auto"/>
              <w:left w:val="nil"/>
              <w:bottom w:val="nil"/>
              <w:right w:val="nil"/>
            </w:tcBorders>
            <w:noWrap/>
            <w:vAlign w:val="center"/>
            <w:hideMark/>
          </w:tcPr>
          <w:p w14:paraId="503920F7"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686.139.204</w:t>
            </w:r>
          </w:p>
        </w:tc>
        <w:tc>
          <w:tcPr>
            <w:tcW w:w="1314" w:type="dxa"/>
            <w:tcBorders>
              <w:top w:val="single" w:sz="4" w:space="0" w:color="auto"/>
              <w:left w:val="nil"/>
              <w:bottom w:val="nil"/>
              <w:right w:val="nil"/>
            </w:tcBorders>
            <w:noWrap/>
            <w:vAlign w:val="center"/>
            <w:hideMark/>
          </w:tcPr>
          <w:p w14:paraId="3AB28EE1"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590.498.138</w:t>
            </w:r>
          </w:p>
        </w:tc>
        <w:tc>
          <w:tcPr>
            <w:tcW w:w="881" w:type="dxa"/>
            <w:tcBorders>
              <w:top w:val="single" w:sz="4" w:space="0" w:color="auto"/>
              <w:left w:val="nil"/>
              <w:bottom w:val="nil"/>
              <w:right w:val="nil"/>
            </w:tcBorders>
            <w:noWrap/>
            <w:vAlign w:val="center"/>
            <w:hideMark/>
          </w:tcPr>
          <w:p w14:paraId="6F201DD6"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21,8%</w:t>
            </w:r>
          </w:p>
        </w:tc>
        <w:tc>
          <w:tcPr>
            <w:tcW w:w="1000" w:type="dxa"/>
            <w:gridSpan w:val="2"/>
            <w:tcBorders>
              <w:top w:val="single" w:sz="4" w:space="0" w:color="auto"/>
              <w:left w:val="nil"/>
              <w:bottom w:val="nil"/>
              <w:right w:val="nil"/>
            </w:tcBorders>
            <w:noWrap/>
            <w:vAlign w:val="center"/>
            <w:hideMark/>
          </w:tcPr>
          <w:p w14:paraId="3E257B40"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-13,9%</w:t>
            </w:r>
          </w:p>
        </w:tc>
        <w:tc>
          <w:tcPr>
            <w:tcW w:w="1075" w:type="dxa"/>
            <w:gridSpan w:val="2"/>
            <w:tcBorders>
              <w:top w:val="single" w:sz="4" w:space="0" w:color="auto"/>
              <w:left w:val="nil"/>
              <w:bottom w:val="nil"/>
              <w:right w:val="nil"/>
            </w:tcBorders>
            <w:noWrap/>
            <w:vAlign w:val="center"/>
            <w:hideMark/>
          </w:tcPr>
          <w:p w14:paraId="3EF61E4B"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-3,4%</w:t>
            </w:r>
          </w:p>
        </w:tc>
      </w:tr>
      <w:tr w:rsidR="00B1608A" w14:paraId="3CAAF510" w14:textId="77777777" w:rsidTr="005A6585">
        <w:trPr>
          <w:gridAfter w:val="1"/>
          <w:wAfter w:w="74" w:type="dxa"/>
          <w:trHeight w:val="255"/>
        </w:trPr>
        <w:tc>
          <w:tcPr>
            <w:tcW w:w="3686" w:type="dxa"/>
            <w:tcBorders>
              <w:top w:val="nil"/>
              <w:left w:val="nil"/>
              <w:bottom w:val="nil"/>
              <w:right w:val="nil"/>
            </w:tcBorders>
            <w:noWrap/>
            <w:vAlign w:val="center"/>
            <w:hideMark/>
          </w:tcPr>
          <w:p w14:paraId="0853CC8F"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Articoli di carta e di cartone</w:t>
            </w:r>
          </w:p>
        </w:tc>
        <w:tc>
          <w:tcPr>
            <w:tcW w:w="1315" w:type="dxa"/>
            <w:tcBorders>
              <w:top w:val="nil"/>
              <w:left w:val="nil"/>
              <w:bottom w:val="nil"/>
              <w:right w:val="nil"/>
            </w:tcBorders>
            <w:noWrap/>
            <w:vAlign w:val="center"/>
            <w:hideMark/>
          </w:tcPr>
          <w:p w14:paraId="11DB4F30"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390.341.804</w:t>
            </w:r>
          </w:p>
        </w:tc>
        <w:tc>
          <w:tcPr>
            <w:tcW w:w="1314" w:type="dxa"/>
            <w:tcBorders>
              <w:top w:val="nil"/>
              <w:left w:val="nil"/>
              <w:bottom w:val="nil"/>
              <w:right w:val="nil"/>
            </w:tcBorders>
            <w:noWrap/>
            <w:vAlign w:val="center"/>
            <w:hideMark/>
          </w:tcPr>
          <w:p w14:paraId="2579A89D"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363.843.014</w:t>
            </w:r>
          </w:p>
        </w:tc>
        <w:tc>
          <w:tcPr>
            <w:tcW w:w="881" w:type="dxa"/>
            <w:tcBorders>
              <w:top w:val="nil"/>
              <w:left w:val="nil"/>
              <w:bottom w:val="nil"/>
              <w:right w:val="nil"/>
            </w:tcBorders>
            <w:noWrap/>
            <w:vAlign w:val="center"/>
            <w:hideMark/>
          </w:tcPr>
          <w:p w14:paraId="474664DE"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13,4%</w:t>
            </w:r>
          </w:p>
        </w:tc>
        <w:tc>
          <w:tcPr>
            <w:tcW w:w="1000" w:type="dxa"/>
            <w:gridSpan w:val="2"/>
            <w:tcBorders>
              <w:top w:val="nil"/>
              <w:left w:val="nil"/>
              <w:bottom w:val="nil"/>
              <w:right w:val="nil"/>
            </w:tcBorders>
            <w:noWrap/>
            <w:vAlign w:val="center"/>
            <w:hideMark/>
          </w:tcPr>
          <w:p w14:paraId="729861F7"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-6,8%</w:t>
            </w:r>
          </w:p>
        </w:tc>
        <w:tc>
          <w:tcPr>
            <w:tcW w:w="1075" w:type="dxa"/>
            <w:gridSpan w:val="2"/>
            <w:tcBorders>
              <w:top w:val="nil"/>
              <w:left w:val="nil"/>
              <w:bottom w:val="nil"/>
              <w:right w:val="nil"/>
            </w:tcBorders>
            <w:noWrap/>
            <w:vAlign w:val="center"/>
            <w:hideMark/>
          </w:tcPr>
          <w:p w14:paraId="5AF323A2"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-1,0%</w:t>
            </w:r>
          </w:p>
        </w:tc>
      </w:tr>
      <w:tr w:rsidR="00B1608A" w14:paraId="2E0A0786" w14:textId="77777777" w:rsidTr="005A6585">
        <w:trPr>
          <w:gridAfter w:val="1"/>
          <w:wAfter w:w="74" w:type="dxa"/>
          <w:trHeight w:val="255"/>
        </w:trPr>
        <w:tc>
          <w:tcPr>
            <w:tcW w:w="3686" w:type="dxa"/>
            <w:tcBorders>
              <w:top w:val="nil"/>
              <w:left w:val="nil"/>
              <w:bottom w:val="nil"/>
              <w:right w:val="nil"/>
            </w:tcBorders>
            <w:noWrap/>
            <w:vAlign w:val="center"/>
            <w:hideMark/>
          </w:tcPr>
          <w:p w14:paraId="05884048"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Altre macchine per impieghi speciali</w:t>
            </w:r>
          </w:p>
        </w:tc>
        <w:tc>
          <w:tcPr>
            <w:tcW w:w="1315" w:type="dxa"/>
            <w:tcBorders>
              <w:top w:val="nil"/>
              <w:left w:val="nil"/>
              <w:bottom w:val="nil"/>
              <w:right w:val="nil"/>
            </w:tcBorders>
            <w:noWrap/>
            <w:vAlign w:val="center"/>
            <w:hideMark/>
          </w:tcPr>
          <w:p w14:paraId="5716B8FC"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267.210.927</w:t>
            </w:r>
          </w:p>
        </w:tc>
        <w:tc>
          <w:tcPr>
            <w:tcW w:w="1314" w:type="dxa"/>
            <w:tcBorders>
              <w:top w:val="nil"/>
              <w:left w:val="nil"/>
              <w:bottom w:val="nil"/>
              <w:right w:val="nil"/>
            </w:tcBorders>
            <w:noWrap/>
            <w:vAlign w:val="center"/>
            <w:hideMark/>
          </w:tcPr>
          <w:p w14:paraId="1DC3898B"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248.642.854</w:t>
            </w:r>
          </w:p>
        </w:tc>
        <w:tc>
          <w:tcPr>
            <w:tcW w:w="881" w:type="dxa"/>
            <w:tcBorders>
              <w:top w:val="nil"/>
              <w:left w:val="nil"/>
              <w:bottom w:val="nil"/>
              <w:right w:val="nil"/>
            </w:tcBorders>
            <w:noWrap/>
            <w:vAlign w:val="center"/>
            <w:hideMark/>
          </w:tcPr>
          <w:p w14:paraId="718065D8"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9,2%</w:t>
            </w:r>
          </w:p>
        </w:tc>
        <w:tc>
          <w:tcPr>
            <w:tcW w:w="1000" w:type="dxa"/>
            <w:gridSpan w:val="2"/>
            <w:tcBorders>
              <w:top w:val="nil"/>
              <w:left w:val="nil"/>
              <w:bottom w:val="nil"/>
              <w:right w:val="nil"/>
            </w:tcBorders>
            <w:noWrap/>
            <w:vAlign w:val="center"/>
            <w:hideMark/>
          </w:tcPr>
          <w:p w14:paraId="65D01331"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-6,9%</w:t>
            </w:r>
          </w:p>
        </w:tc>
        <w:tc>
          <w:tcPr>
            <w:tcW w:w="1075" w:type="dxa"/>
            <w:gridSpan w:val="2"/>
            <w:tcBorders>
              <w:top w:val="nil"/>
              <w:left w:val="nil"/>
              <w:bottom w:val="nil"/>
              <w:right w:val="nil"/>
            </w:tcBorders>
            <w:noWrap/>
            <w:vAlign w:val="center"/>
            <w:hideMark/>
          </w:tcPr>
          <w:p w14:paraId="7A7D2539"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-0,7%</w:t>
            </w:r>
          </w:p>
        </w:tc>
      </w:tr>
      <w:tr w:rsidR="00B1608A" w14:paraId="63A5F1E8" w14:textId="77777777" w:rsidTr="005A6585">
        <w:trPr>
          <w:gridAfter w:val="1"/>
          <w:wAfter w:w="74" w:type="dxa"/>
          <w:trHeight w:val="255"/>
        </w:trPr>
        <w:tc>
          <w:tcPr>
            <w:tcW w:w="3686" w:type="dxa"/>
            <w:tcBorders>
              <w:top w:val="nil"/>
              <w:left w:val="nil"/>
              <w:bottom w:val="nil"/>
              <w:right w:val="nil"/>
            </w:tcBorders>
            <w:noWrap/>
            <w:vAlign w:val="center"/>
            <w:hideMark/>
          </w:tcPr>
          <w:p w14:paraId="51CF776C"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Pasta-carta, carta e cartone</w:t>
            </w:r>
          </w:p>
        </w:tc>
        <w:tc>
          <w:tcPr>
            <w:tcW w:w="1315" w:type="dxa"/>
            <w:tcBorders>
              <w:top w:val="nil"/>
              <w:left w:val="nil"/>
              <w:bottom w:val="nil"/>
              <w:right w:val="nil"/>
            </w:tcBorders>
            <w:noWrap/>
            <w:vAlign w:val="center"/>
            <w:hideMark/>
          </w:tcPr>
          <w:p w14:paraId="1F25389D"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251.705.540</w:t>
            </w:r>
          </w:p>
        </w:tc>
        <w:tc>
          <w:tcPr>
            <w:tcW w:w="1314" w:type="dxa"/>
            <w:tcBorders>
              <w:top w:val="nil"/>
              <w:left w:val="nil"/>
              <w:bottom w:val="nil"/>
              <w:right w:val="nil"/>
            </w:tcBorders>
            <w:noWrap/>
            <w:vAlign w:val="center"/>
            <w:hideMark/>
          </w:tcPr>
          <w:p w14:paraId="71F9925C"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207.420.700</w:t>
            </w:r>
          </w:p>
        </w:tc>
        <w:tc>
          <w:tcPr>
            <w:tcW w:w="881" w:type="dxa"/>
            <w:tcBorders>
              <w:top w:val="nil"/>
              <w:left w:val="nil"/>
              <w:bottom w:val="nil"/>
              <w:right w:val="nil"/>
            </w:tcBorders>
            <w:noWrap/>
            <w:vAlign w:val="center"/>
            <w:hideMark/>
          </w:tcPr>
          <w:p w14:paraId="0E70BD86"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7,6%</w:t>
            </w:r>
          </w:p>
        </w:tc>
        <w:tc>
          <w:tcPr>
            <w:tcW w:w="1000" w:type="dxa"/>
            <w:gridSpan w:val="2"/>
            <w:tcBorders>
              <w:top w:val="nil"/>
              <w:left w:val="nil"/>
              <w:bottom w:val="nil"/>
              <w:right w:val="nil"/>
            </w:tcBorders>
            <w:noWrap/>
            <w:vAlign w:val="center"/>
            <w:hideMark/>
          </w:tcPr>
          <w:p w14:paraId="162378F3"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-17,6%</w:t>
            </w:r>
          </w:p>
        </w:tc>
        <w:tc>
          <w:tcPr>
            <w:tcW w:w="1075" w:type="dxa"/>
            <w:gridSpan w:val="2"/>
            <w:tcBorders>
              <w:top w:val="nil"/>
              <w:left w:val="nil"/>
              <w:bottom w:val="nil"/>
              <w:right w:val="nil"/>
            </w:tcBorders>
            <w:noWrap/>
            <w:vAlign w:val="center"/>
            <w:hideMark/>
          </w:tcPr>
          <w:p w14:paraId="69E3CFC0"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-1,6%</w:t>
            </w:r>
          </w:p>
        </w:tc>
      </w:tr>
      <w:tr w:rsidR="00B1608A" w14:paraId="43403E05" w14:textId="77777777" w:rsidTr="005A6585">
        <w:trPr>
          <w:gridAfter w:val="1"/>
          <w:wAfter w:w="74" w:type="dxa"/>
          <w:trHeight w:val="255"/>
        </w:trPr>
        <w:tc>
          <w:tcPr>
            <w:tcW w:w="3686" w:type="dxa"/>
            <w:tcBorders>
              <w:top w:val="nil"/>
              <w:left w:val="nil"/>
              <w:bottom w:val="nil"/>
              <w:right w:val="nil"/>
            </w:tcBorders>
            <w:noWrap/>
            <w:vAlign w:val="center"/>
            <w:hideMark/>
          </w:tcPr>
          <w:p w14:paraId="703E4677"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Apparecchiature di cablaggio</w:t>
            </w:r>
          </w:p>
        </w:tc>
        <w:tc>
          <w:tcPr>
            <w:tcW w:w="1315" w:type="dxa"/>
            <w:tcBorders>
              <w:top w:val="nil"/>
              <w:left w:val="nil"/>
              <w:bottom w:val="nil"/>
              <w:right w:val="nil"/>
            </w:tcBorders>
            <w:noWrap/>
            <w:vAlign w:val="center"/>
            <w:hideMark/>
          </w:tcPr>
          <w:p w14:paraId="202246BB"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162.708.042</w:t>
            </w:r>
          </w:p>
        </w:tc>
        <w:tc>
          <w:tcPr>
            <w:tcW w:w="1314" w:type="dxa"/>
            <w:tcBorders>
              <w:top w:val="nil"/>
              <w:left w:val="nil"/>
              <w:bottom w:val="nil"/>
              <w:right w:val="nil"/>
            </w:tcBorders>
            <w:noWrap/>
            <w:vAlign w:val="center"/>
            <w:hideMark/>
          </w:tcPr>
          <w:p w14:paraId="5E004561"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195.258.211</w:t>
            </w:r>
          </w:p>
        </w:tc>
        <w:tc>
          <w:tcPr>
            <w:tcW w:w="881" w:type="dxa"/>
            <w:tcBorders>
              <w:top w:val="nil"/>
              <w:left w:val="nil"/>
              <w:bottom w:val="nil"/>
              <w:right w:val="nil"/>
            </w:tcBorders>
            <w:noWrap/>
            <w:vAlign w:val="center"/>
            <w:hideMark/>
          </w:tcPr>
          <w:p w14:paraId="4B728516"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7,2%</w:t>
            </w:r>
          </w:p>
        </w:tc>
        <w:tc>
          <w:tcPr>
            <w:tcW w:w="1000" w:type="dxa"/>
            <w:gridSpan w:val="2"/>
            <w:tcBorders>
              <w:top w:val="nil"/>
              <w:left w:val="nil"/>
              <w:bottom w:val="nil"/>
              <w:right w:val="nil"/>
            </w:tcBorders>
            <w:noWrap/>
            <w:vAlign w:val="center"/>
            <w:hideMark/>
          </w:tcPr>
          <w:p w14:paraId="03687796"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20,0%</w:t>
            </w:r>
          </w:p>
        </w:tc>
        <w:tc>
          <w:tcPr>
            <w:tcW w:w="1075" w:type="dxa"/>
            <w:gridSpan w:val="2"/>
            <w:tcBorders>
              <w:top w:val="nil"/>
              <w:left w:val="nil"/>
              <w:bottom w:val="nil"/>
              <w:right w:val="nil"/>
            </w:tcBorders>
            <w:noWrap/>
            <w:vAlign w:val="center"/>
            <w:hideMark/>
          </w:tcPr>
          <w:p w14:paraId="59C059C2"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1,2%</w:t>
            </w:r>
          </w:p>
        </w:tc>
      </w:tr>
      <w:tr w:rsidR="00B1608A" w14:paraId="6D2BCF6E" w14:textId="77777777" w:rsidTr="005A6585">
        <w:trPr>
          <w:gridAfter w:val="1"/>
          <w:wAfter w:w="74" w:type="dxa"/>
          <w:trHeight w:val="255"/>
        </w:trPr>
        <w:tc>
          <w:tcPr>
            <w:tcW w:w="3686" w:type="dxa"/>
            <w:tcBorders>
              <w:top w:val="nil"/>
              <w:left w:val="nil"/>
              <w:bottom w:val="nil"/>
              <w:right w:val="nil"/>
            </w:tcBorders>
            <w:noWrap/>
            <w:vAlign w:val="center"/>
            <w:hideMark/>
          </w:tcPr>
          <w:p w14:paraId="129817CB"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Medicinali e preparati farmaceutici</w:t>
            </w:r>
          </w:p>
        </w:tc>
        <w:tc>
          <w:tcPr>
            <w:tcW w:w="1315" w:type="dxa"/>
            <w:tcBorders>
              <w:top w:val="nil"/>
              <w:left w:val="nil"/>
              <w:bottom w:val="nil"/>
              <w:right w:val="nil"/>
            </w:tcBorders>
            <w:noWrap/>
            <w:vAlign w:val="center"/>
            <w:hideMark/>
          </w:tcPr>
          <w:p w14:paraId="6FD56F48"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81.758.396</w:t>
            </w:r>
          </w:p>
        </w:tc>
        <w:tc>
          <w:tcPr>
            <w:tcW w:w="1314" w:type="dxa"/>
            <w:tcBorders>
              <w:top w:val="nil"/>
              <w:left w:val="nil"/>
              <w:bottom w:val="nil"/>
              <w:right w:val="nil"/>
            </w:tcBorders>
            <w:noWrap/>
            <w:vAlign w:val="center"/>
            <w:hideMark/>
          </w:tcPr>
          <w:p w14:paraId="6A1B0142"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162.922.272</w:t>
            </w:r>
          </w:p>
        </w:tc>
        <w:tc>
          <w:tcPr>
            <w:tcW w:w="881" w:type="dxa"/>
            <w:tcBorders>
              <w:top w:val="nil"/>
              <w:left w:val="nil"/>
              <w:bottom w:val="nil"/>
              <w:right w:val="nil"/>
            </w:tcBorders>
            <w:noWrap/>
            <w:vAlign w:val="center"/>
            <w:hideMark/>
          </w:tcPr>
          <w:p w14:paraId="290C3498"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6,0%</w:t>
            </w:r>
          </w:p>
        </w:tc>
        <w:tc>
          <w:tcPr>
            <w:tcW w:w="1000" w:type="dxa"/>
            <w:gridSpan w:val="2"/>
            <w:tcBorders>
              <w:top w:val="nil"/>
              <w:left w:val="nil"/>
              <w:bottom w:val="nil"/>
              <w:right w:val="nil"/>
            </w:tcBorders>
            <w:noWrap/>
            <w:vAlign w:val="center"/>
            <w:hideMark/>
          </w:tcPr>
          <w:p w14:paraId="544A691C"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99,3%</w:t>
            </w:r>
          </w:p>
        </w:tc>
        <w:tc>
          <w:tcPr>
            <w:tcW w:w="1075" w:type="dxa"/>
            <w:gridSpan w:val="2"/>
            <w:tcBorders>
              <w:top w:val="nil"/>
              <w:left w:val="nil"/>
              <w:bottom w:val="nil"/>
              <w:right w:val="nil"/>
            </w:tcBorders>
            <w:noWrap/>
            <w:vAlign w:val="center"/>
            <w:hideMark/>
          </w:tcPr>
          <w:p w14:paraId="45AF325C"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2,9%</w:t>
            </w:r>
          </w:p>
        </w:tc>
      </w:tr>
      <w:tr w:rsidR="00B1608A" w14:paraId="788C8A93" w14:textId="77777777" w:rsidTr="005A6585">
        <w:trPr>
          <w:gridAfter w:val="1"/>
          <w:wAfter w:w="74" w:type="dxa"/>
          <w:trHeight w:val="255"/>
        </w:trPr>
        <w:tc>
          <w:tcPr>
            <w:tcW w:w="3686" w:type="dxa"/>
            <w:tcBorders>
              <w:top w:val="nil"/>
              <w:left w:val="nil"/>
              <w:bottom w:val="nil"/>
              <w:right w:val="nil"/>
            </w:tcBorders>
            <w:noWrap/>
            <w:vAlign w:val="center"/>
            <w:hideMark/>
          </w:tcPr>
          <w:p w14:paraId="44C1B143"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Metalli di base preziosi e non ferrosi</w:t>
            </w:r>
          </w:p>
        </w:tc>
        <w:tc>
          <w:tcPr>
            <w:tcW w:w="1315" w:type="dxa"/>
            <w:tcBorders>
              <w:top w:val="nil"/>
              <w:left w:val="nil"/>
              <w:bottom w:val="nil"/>
              <w:right w:val="nil"/>
            </w:tcBorders>
            <w:noWrap/>
            <w:vAlign w:val="center"/>
            <w:hideMark/>
          </w:tcPr>
          <w:p w14:paraId="55BA2C62"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133.496.178</w:t>
            </w:r>
          </w:p>
        </w:tc>
        <w:tc>
          <w:tcPr>
            <w:tcW w:w="1314" w:type="dxa"/>
            <w:tcBorders>
              <w:top w:val="nil"/>
              <w:left w:val="nil"/>
              <w:bottom w:val="nil"/>
              <w:right w:val="nil"/>
            </w:tcBorders>
            <w:noWrap/>
            <w:vAlign w:val="center"/>
            <w:hideMark/>
          </w:tcPr>
          <w:p w14:paraId="62458BA8"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160.769.531</w:t>
            </w:r>
          </w:p>
        </w:tc>
        <w:tc>
          <w:tcPr>
            <w:tcW w:w="881" w:type="dxa"/>
            <w:tcBorders>
              <w:top w:val="nil"/>
              <w:left w:val="nil"/>
              <w:bottom w:val="nil"/>
              <w:right w:val="nil"/>
            </w:tcBorders>
            <w:noWrap/>
            <w:vAlign w:val="center"/>
            <w:hideMark/>
          </w:tcPr>
          <w:p w14:paraId="210BA6FE"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5,9%</w:t>
            </w:r>
          </w:p>
        </w:tc>
        <w:tc>
          <w:tcPr>
            <w:tcW w:w="1000" w:type="dxa"/>
            <w:gridSpan w:val="2"/>
            <w:tcBorders>
              <w:top w:val="nil"/>
              <w:left w:val="nil"/>
              <w:bottom w:val="nil"/>
              <w:right w:val="nil"/>
            </w:tcBorders>
            <w:noWrap/>
            <w:vAlign w:val="center"/>
            <w:hideMark/>
          </w:tcPr>
          <w:p w14:paraId="57121485"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20,4%</w:t>
            </w:r>
          </w:p>
        </w:tc>
        <w:tc>
          <w:tcPr>
            <w:tcW w:w="1075" w:type="dxa"/>
            <w:gridSpan w:val="2"/>
            <w:tcBorders>
              <w:top w:val="nil"/>
              <w:left w:val="nil"/>
              <w:bottom w:val="nil"/>
              <w:right w:val="nil"/>
            </w:tcBorders>
            <w:noWrap/>
            <w:vAlign w:val="center"/>
            <w:hideMark/>
          </w:tcPr>
          <w:p w14:paraId="6BAA1FA2"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1,0%</w:t>
            </w:r>
          </w:p>
        </w:tc>
      </w:tr>
      <w:tr w:rsidR="00B1608A" w14:paraId="2D0F503C" w14:textId="77777777" w:rsidTr="00707F77">
        <w:trPr>
          <w:gridAfter w:val="1"/>
          <w:wAfter w:w="74" w:type="dxa"/>
          <w:trHeight w:val="255"/>
        </w:trPr>
        <w:tc>
          <w:tcPr>
            <w:tcW w:w="3686" w:type="dxa"/>
            <w:tcBorders>
              <w:top w:val="nil"/>
              <w:left w:val="nil"/>
              <w:bottom w:val="nil"/>
              <w:right w:val="nil"/>
            </w:tcBorders>
            <w:noWrap/>
            <w:vAlign w:val="center"/>
          </w:tcPr>
          <w:p w14:paraId="42AD2C01" w14:textId="2E05DF96" w:rsidR="00B1608A" w:rsidRDefault="00707F77" w:rsidP="004F1CBC">
            <w:pPr>
              <w:rPr>
                <w:rFonts w:ascii="Calibri" w:hAnsi="Calibri" w:cs="Calibri"/>
                <w:color w:val="000000"/>
                <w:sz w:val="20"/>
                <w:szCs w:val="20"/>
              </w:rPr>
            </w:pPr>
            <w:r w:rsidRPr="0077050B">
              <w:rPr>
                <w:rFonts w:ascii="Calibri" w:hAnsi="Calibri" w:cs="Calibri"/>
                <w:color w:val="000000"/>
                <w:sz w:val="20"/>
                <w:szCs w:val="20"/>
              </w:rPr>
              <w:t>Oli</w:t>
            </w:r>
            <w:r w:rsidR="00C64FDD" w:rsidRPr="0077050B">
              <w:rPr>
                <w:rFonts w:ascii="Calibri" w:hAnsi="Calibri" w:cs="Calibri"/>
                <w:color w:val="000000"/>
                <w:sz w:val="20"/>
                <w:szCs w:val="20"/>
              </w:rPr>
              <w:t>o</w:t>
            </w:r>
          </w:p>
        </w:tc>
        <w:tc>
          <w:tcPr>
            <w:tcW w:w="1315" w:type="dxa"/>
            <w:tcBorders>
              <w:top w:val="nil"/>
              <w:left w:val="nil"/>
              <w:bottom w:val="nil"/>
              <w:right w:val="nil"/>
            </w:tcBorders>
            <w:noWrap/>
            <w:vAlign w:val="center"/>
            <w:hideMark/>
          </w:tcPr>
          <w:p w14:paraId="087DECEC"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160.028.866</w:t>
            </w:r>
          </w:p>
        </w:tc>
        <w:tc>
          <w:tcPr>
            <w:tcW w:w="1314" w:type="dxa"/>
            <w:tcBorders>
              <w:top w:val="nil"/>
              <w:left w:val="nil"/>
              <w:bottom w:val="nil"/>
              <w:right w:val="nil"/>
            </w:tcBorders>
            <w:noWrap/>
            <w:vAlign w:val="center"/>
            <w:hideMark/>
          </w:tcPr>
          <w:p w14:paraId="61F6C2F1"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141.515.001</w:t>
            </w:r>
          </w:p>
        </w:tc>
        <w:tc>
          <w:tcPr>
            <w:tcW w:w="881" w:type="dxa"/>
            <w:tcBorders>
              <w:top w:val="nil"/>
              <w:left w:val="nil"/>
              <w:bottom w:val="nil"/>
              <w:right w:val="nil"/>
            </w:tcBorders>
            <w:noWrap/>
            <w:vAlign w:val="center"/>
            <w:hideMark/>
          </w:tcPr>
          <w:p w14:paraId="52A19401"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5,2%</w:t>
            </w:r>
          </w:p>
        </w:tc>
        <w:tc>
          <w:tcPr>
            <w:tcW w:w="1000" w:type="dxa"/>
            <w:gridSpan w:val="2"/>
            <w:tcBorders>
              <w:top w:val="nil"/>
              <w:left w:val="nil"/>
              <w:bottom w:val="nil"/>
              <w:right w:val="nil"/>
            </w:tcBorders>
            <w:noWrap/>
            <w:vAlign w:val="center"/>
            <w:hideMark/>
          </w:tcPr>
          <w:p w14:paraId="1BB7DF41"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-11,6%</w:t>
            </w:r>
          </w:p>
        </w:tc>
        <w:tc>
          <w:tcPr>
            <w:tcW w:w="1075" w:type="dxa"/>
            <w:gridSpan w:val="2"/>
            <w:tcBorders>
              <w:top w:val="nil"/>
              <w:left w:val="nil"/>
              <w:bottom w:val="nil"/>
              <w:right w:val="nil"/>
            </w:tcBorders>
            <w:noWrap/>
            <w:vAlign w:val="center"/>
            <w:hideMark/>
          </w:tcPr>
          <w:p w14:paraId="77FC81DF"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-0,7%</w:t>
            </w:r>
          </w:p>
        </w:tc>
      </w:tr>
      <w:tr w:rsidR="00B1608A" w14:paraId="03B0DA01" w14:textId="77777777" w:rsidTr="005A6585">
        <w:trPr>
          <w:gridAfter w:val="1"/>
          <w:wAfter w:w="74" w:type="dxa"/>
          <w:trHeight w:val="255"/>
        </w:trPr>
        <w:tc>
          <w:tcPr>
            <w:tcW w:w="3686" w:type="dxa"/>
            <w:tcBorders>
              <w:top w:val="nil"/>
              <w:left w:val="nil"/>
              <w:bottom w:val="nil"/>
              <w:right w:val="nil"/>
            </w:tcBorders>
            <w:noWrap/>
            <w:vAlign w:val="center"/>
            <w:hideMark/>
          </w:tcPr>
          <w:p w14:paraId="3F85C9F7"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Altre macchine di impiego generale</w:t>
            </w:r>
          </w:p>
        </w:tc>
        <w:tc>
          <w:tcPr>
            <w:tcW w:w="1315" w:type="dxa"/>
            <w:tcBorders>
              <w:top w:val="nil"/>
              <w:left w:val="nil"/>
              <w:bottom w:val="nil"/>
              <w:right w:val="nil"/>
            </w:tcBorders>
            <w:noWrap/>
            <w:vAlign w:val="center"/>
            <w:hideMark/>
          </w:tcPr>
          <w:p w14:paraId="0AA1DD1A"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70.722.739</w:t>
            </w:r>
          </w:p>
        </w:tc>
        <w:tc>
          <w:tcPr>
            <w:tcW w:w="1314" w:type="dxa"/>
            <w:tcBorders>
              <w:top w:val="nil"/>
              <w:left w:val="nil"/>
              <w:bottom w:val="nil"/>
              <w:right w:val="nil"/>
            </w:tcBorders>
            <w:noWrap/>
            <w:vAlign w:val="center"/>
            <w:hideMark/>
          </w:tcPr>
          <w:p w14:paraId="7EABF626"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84.207.383</w:t>
            </w:r>
          </w:p>
        </w:tc>
        <w:tc>
          <w:tcPr>
            <w:tcW w:w="881" w:type="dxa"/>
            <w:tcBorders>
              <w:top w:val="nil"/>
              <w:left w:val="nil"/>
              <w:bottom w:val="nil"/>
              <w:right w:val="nil"/>
            </w:tcBorders>
            <w:noWrap/>
            <w:vAlign w:val="center"/>
            <w:hideMark/>
          </w:tcPr>
          <w:p w14:paraId="260F097D"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3,1%</w:t>
            </w:r>
          </w:p>
        </w:tc>
        <w:tc>
          <w:tcPr>
            <w:tcW w:w="1000" w:type="dxa"/>
            <w:gridSpan w:val="2"/>
            <w:tcBorders>
              <w:top w:val="nil"/>
              <w:left w:val="nil"/>
              <w:bottom w:val="nil"/>
              <w:right w:val="nil"/>
            </w:tcBorders>
            <w:noWrap/>
            <w:vAlign w:val="center"/>
            <w:hideMark/>
          </w:tcPr>
          <w:p w14:paraId="29EBD9A7"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19,1%</w:t>
            </w:r>
          </w:p>
        </w:tc>
        <w:tc>
          <w:tcPr>
            <w:tcW w:w="1075" w:type="dxa"/>
            <w:gridSpan w:val="2"/>
            <w:tcBorders>
              <w:top w:val="nil"/>
              <w:left w:val="nil"/>
              <w:bottom w:val="nil"/>
              <w:right w:val="nil"/>
            </w:tcBorders>
            <w:noWrap/>
            <w:vAlign w:val="center"/>
            <w:hideMark/>
          </w:tcPr>
          <w:p w14:paraId="58099BF5"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0,5%</w:t>
            </w:r>
          </w:p>
        </w:tc>
      </w:tr>
      <w:tr w:rsidR="00B1608A" w14:paraId="685DE244" w14:textId="77777777" w:rsidTr="005A6585">
        <w:trPr>
          <w:gridAfter w:val="1"/>
          <w:wAfter w:w="74" w:type="dxa"/>
          <w:trHeight w:val="255"/>
        </w:trPr>
        <w:tc>
          <w:tcPr>
            <w:tcW w:w="3686" w:type="dxa"/>
            <w:tcBorders>
              <w:top w:val="nil"/>
              <w:left w:val="nil"/>
              <w:bottom w:val="nil"/>
              <w:right w:val="nil"/>
            </w:tcBorders>
            <w:noWrap/>
            <w:vAlign w:val="center"/>
            <w:hideMark/>
          </w:tcPr>
          <w:p w14:paraId="32A7FD3B"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Macchine di impiego generale</w:t>
            </w:r>
          </w:p>
        </w:tc>
        <w:tc>
          <w:tcPr>
            <w:tcW w:w="1315" w:type="dxa"/>
            <w:tcBorders>
              <w:top w:val="nil"/>
              <w:left w:val="nil"/>
              <w:bottom w:val="nil"/>
              <w:right w:val="nil"/>
            </w:tcBorders>
            <w:noWrap/>
            <w:vAlign w:val="center"/>
            <w:hideMark/>
          </w:tcPr>
          <w:p w14:paraId="71AA81FE"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81.573.690</w:t>
            </w:r>
          </w:p>
        </w:tc>
        <w:tc>
          <w:tcPr>
            <w:tcW w:w="1314" w:type="dxa"/>
            <w:tcBorders>
              <w:top w:val="nil"/>
              <w:left w:val="nil"/>
              <w:bottom w:val="nil"/>
              <w:right w:val="nil"/>
            </w:tcBorders>
            <w:noWrap/>
            <w:vAlign w:val="center"/>
            <w:hideMark/>
          </w:tcPr>
          <w:p w14:paraId="3549EB01"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68.341.769</w:t>
            </w:r>
          </w:p>
        </w:tc>
        <w:tc>
          <w:tcPr>
            <w:tcW w:w="881" w:type="dxa"/>
            <w:tcBorders>
              <w:top w:val="nil"/>
              <w:left w:val="nil"/>
              <w:bottom w:val="nil"/>
              <w:right w:val="nil"/>
            </w:tcBorders>
            <w:noWrap/>
            <w:vAlign w:val="center"/>
            <w:hideMark/>
          </w:tcPr>
          <w:p w14:paraId="6FC95768"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2,5%</w:t>
            </w:r>
          </w:p>
        </w:tc>
        <w:tc>
          <w:tcPr>
            <w:tcW w:w="1000" w:type="dxa"/>
            <w:gridSpan w:val="2"/>
            <w:tcBorders>
              <w:top w:val="nil"/>
              <w:left w:val="nil"/>
              <w:bottom w:val="nil"/>
              <w:right w:val="nil"/>
            </w:tcBorders>
            <w:noWrap/>
            <w:vAlign w:val="center"/>
            <w:hideMark/>
          </w:tcPr>
          <w:p w14:paraId="1A2B2D04"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-16,2%</w:t>
            </w:r>
          </w:p>
        </w:tc>
        <w:tc>
          <w:tcPr>
            <w:tcW w:w="1075" w:type="dxa"/>
            <w:gridSpan w:val="2"/>
            <w:tcBorders>
              <w:top w:val="nil"/>
              <w:left w:val="nil"/>
              <w:bottom w:val="nil"/>
              <w:right w:val="nil"/>
            </w:tcBorders>
            <w:noWrap/>
            <w:vAlign w:val="center"/>
            <w:hideMark/>
          </w:tcPr>
          <w:p w14:paraId="056AAC3A"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-0,5%</w:t>
            </w:r>
          </w:p>
        </w:tc>
      </w:tr>
      <w:tr w:rsidR="00B1608A" w14:paraId="5257561F" w14:textId="77777777" w:rsidTr="005A6585">
        <w:trPr>
          <w:gridAfter w:val="1"/>
          <w:wAfter w:w="74" w:type="dxa"/>
          <w:trHeight w:val="255"/>
        </w:trPr>
        <w:tc>
          <w:tcPr>
            <w:tcW w:w="3686" w:type="dxa"/>
            <w:tcBorders>
              <w:top w:val="nil"/>
              <w:left w:val="nil"/>
              <w:bottom w:val="nil"/>
              <w:right w:val="nil"/>
            </w:tcBorders>
            <w:noWrap/>
            <w:vAlign w:val="center"/>
            <w:hideMark/>
          </w:tcPr>
          <w:p w14:paraId="74BE498E"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Articoli in materie plastiche</w:t>
            </w:r>
          </w:p>
        </w:tc>
        <w:tc>
          <w:tcPr>
            <w:tcW w:w="1315" w:type="dxa"/>
            <w:tcBorders>
              <w:top w:val="nil"/>
              <w:left w:val="nil"/>
              <w:bottom w:val="nil"/>
              <w:right w:val="nil"/>
            </w:tcBorders>
            <w:noWrap/>
            <w:vAlign w:val="center"/>
            <w:hideMark/>
          </w:tcPr>
          <w:p w14:paraId="4318BA48"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53.223.422</w:t>
            </w:r>
          </w:p>
        </w:tc>
        <w:tc>
          <w:tcPr>
            <w:tcW w:w="1314" w:type="dxa"/>
            <w:tcBorders>
              <w:top w:val="nil"/>
              <w:left w:val="nil"/>
              <w:bottom w:val="nil"/>
              <w:right w:val="nil"/>
            </w:tcBorders>
            <w:noWrap/>
            <w:vAlign w:val="center"/>
            <w:hideMark/>
          </w:tcPr>
          <w:p w14:paraId="26AF3300"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55.918.078</w:t>
            </w:r>
          </w:p>
        </w:tc>
        <w:tc>
          <w:tcPr>
            <w:tcW w:w="881" w:type="dxa"/>
            <w:tcBorders>
              <w:top w:val="nil"/>
              <w:left w:val="nil"/>
              <w:bottom w:val="nil"/>
              <w:right w:val="nil"/>
            </w:tcBorders>
            <w:noWrap/>
            <w:vAlign w:val="center"/>
            <w:hideMark/>
          </w:tcPr>
          <w:p w14:paraId="2A444E7C"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2,1%</w:t>
            </w:r>
          </w:p>
        </w:tc>
        <w:tc>
          <w:tcPr>
            <w:tcW w:w="1000" w:type="dxa"/>
            <w:gridSpan w:val="2"/>
            <w:tcBorders>
              <w:top w:val="nil"/>
              <w:left w:val="nil"/>
              <w:bottom w:val="nil"/>
              <w:right w:val="nil"/>
            </w:tcBorders>
            <w:noWrap/>
            <w:vAlign w:val="center"/>
            <w:hideMark/>
          </w:tcPr>
          <w:p w14:paraId="1983A977"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5,1%</w:t>
            </w:r>
          </w:p>
        </w:tc>
        <w:tc>
          <w:tcPr>
            <w:tcW w:w="1075" w:type="dxa"/>
            <w:gridSpan w:val="2"/>
            <w:tcBorders>
              <w:top w:val="nil"/>
              <w:left w:val="nil"/>
              <w:bottom w:val="nil"/>
              <w:right w:val="nil"/>
            </w:tcBorders>
            <w:noWrap/>
            <w:vAlign w:val="center"/>
            <w:hideMark/>
          </w:tcPr>
          <w:p w14:paraId="6B08F978"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0,1%</w:t>
            </w:r>
          </w:p>
        </w:tc>
      </w:tr>
      <w:tr w:rsidR="00B1608A" w14:paraId="4F78385A" w14:textId="77777777" w:rsidTr="005A6585">
        <w:trPr>
          <w:gridAfter w:val="1"/>
          <w:wAfter w:w="74" w:type="dxa"/>
          <w:trHeight w:val="255"/>
        </w:trPr>
        <w:tc>
          <w:tcPr>
            <w:tcW w:w="3686" w:type="dxa"/>
            <w:tcBorders>
              <w:top w:val="nil"/>
              <w:left w:val="nil"/>
              <w:bottom w:val="nil"/>
              <w:right w:val="nil"/>
            </w:tcBorders>
            <w:noWrap/>
            <w:vAlign w:val="center"/>
            <w:hideMark/>
          </w:tcPr>
          <w:p w14:paraId="7B8FC1E5"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Calzature</w:t>
            </w:r>
          </w:p>
        </w:tc>
        <w:tc>
          <w:tcPr>
            <w:tcW w:w="1315" w:type="dxa"/>
            <w:tcBorders>
              <w:top w:val="nil"/>
              <w:left w:val="nil"/>
              <w:bottom w:val="nil"/>
              <w:right w:val="nil"/>
            </w:tcBorders>
            <w:noWrap/>
            <w:vAlign w:val="center"/>
            <w:hideMark/>
          </w:tcPr>
          <w:p w14:paraId="550E57D7"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58.956.341</w:t>
            </w:r>
          </w:p>
        </w:tc>
        <w:tc>
          <w:tcPr>
            <w:tcW w:w="1314" w:type="dxa"/>
            <w:tcBorders>
              <w:top w:val="nil"/>
              <w:left w:val="nil"/>
              <w:bottom w:val="nil"/>
              <w:right w:val="nil"/>
            </w:tcBorders>
            <w:noWrap/>
            <w:vAlign w:val="center"/>
            <w:hideMark/>
          </w:tcPr>
          <w:p w14:paraId="224CB171"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50.229.458</w:t>
            </w:r>
          </w:p>
        </w:tc>
        <w:tc>
          <w:tcPr>
            <w:tcW w:w="881" w:type="dxa"/>
            <w:tcBorders>
              <w:top w:val="nil"/>
              <w:left w:val="nil"/>
              <w:bottom w:val="nil"/>
              <w:right w:val="nil"/>
            </w:tcBorders>
            <w:noWrap/>
            <w:vAlign w:val="center"/>
            <w:hideMark/>
          </w:tcPr>
          <w:p w14:paraId="734009D3"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1,9%</w:t>
            </w:r>
          </w:p>
        </w:tc>
        <w:tc>
          <w:tcPr>
            <w:tcW w:w="1000" w:type="dxa"/>
            <w:gridSpan w:val="2"/>
            <w:tcBorders>
              <w:top w:val="nil"/>
              <w:left w:val="nil"/>
              <w:bottom w:val="nil"/>
              <w:right w:val="nil"/>
            </w:tcBorders>
            <w:noWrap/>
            <w:vAlign w:val="center"/>
            <w:hideMark/>
          </w:tcPr>
          <w:p w14:paraId="7AC5D251"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-14,8%</w:t>
            </w:r>
          </w:p>
        </w:tc>
        <w:tc>
          <w:tcPr>
            <w:tcW w:w="1075" w:type="dxa"/>
            <w:gridSpan w:val="2"/>
            <w:tcBorders>
              <w:top w:val="nil"/>
              <w:left w:val="nil"/>
              <w:bottom w:val="nil"/>
              <w:right w:val="nil"/>
            </w:tcBorders>
            <w:noWrap/>
            <w:vAlign w:val="center"/>
            <w:hideMark/>
          </w:tcPr>
          <w:p w14:paraId="12227892"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-0,3%</w:t>
            </w:r>
          </w:p>
        </w:tc>
      </w:tr>
      <w:tr w:rsidR="00B1608A" w14:paraId="2E354A16" w14:textId="77777777" w:rsidTr="005A6585">
        <w:trPr>
          <w:gridAfter w:val="1"/>
          <w:wAfter w:w="74" w:type="dxa"/>
          <w:trHeight w:val="255"/>
        </w:trPr>
        <w:tc>
          <w:tcPr>
            <w:tcW w:w="3686" w:type="dxa"/>
            <w:tcBorders>
              <w:top w:val="nil"/>
              <w:left w:val="nil"/>
              <w:bottom w:val="nil"/>
              <w:right w:val="nil"/>
            </w:tcBorders>
            <w:noWrap/>
            <w:vAlign w:val="center"/>
            <w:hideMark/>
          </w:tcPr>
          <w:p w14:paraId="5216C131"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Pietre tagliate, modellate e finite</w:t>
            </w:r>
          </w:p>
        </w:tc>
        <w:tc>
          <w:tcPr>
            <w:tcW w:w="1315" w:type="dxa"/>
            <w:tcBorders>
              <w:top w:val="nil"/>
              <w:left w:val="nil"/>
              <w:bottom w:val="nil"/>
              <w:right w:val="nil"/>
            </w:tcBorders>
            <w:noWrap/>
            <w:vAlign w:val="center"/>
            <w:hideMark/>
          </w:tcPr>
          <w:p w14:paraId="4DFE4F3D"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49.648.745</w:t>
            </w:r>
          </w:p>
        </w:tc>
        <w:tc>
          <w:tcPr>
            <w:tcW w:w="1314" w:type="dxa"/>
            <w:tcBorders>
              <w:top w:val="nil"/>
              <w:left w:val="nil"/>
              <w:bottom w:val="nil"/>
              <w:right w:val="nil"/>
            </w:tcBorders>
            <w:noWrap/>
            <w:vAlign w:val="center"/>
            <w:hideMark/>
          </w:tcPr>
          <w:p w14:paraId="3032BA37"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42.728.276</w:t>
            </w:r>
          </w:p>
        </w:tc>
        <w:tc>
          <w:tcPr>
            <w:tcW w:w="881" w:type="dxa"/>
            <w:tcBorders>
              <w:top w:val="nil"/>
              <w:left w:val="nil"/>
              <w:bottom w:val="nil"/>
              <w:right w:val="nil"/>
            </w:tcBorders>
            <w:noWrap/>
            <w:vAlign w:val="center"/>
            <w:hideMark/>
          </w:tcPr>
          <w:p w14:paraId="251EAEC4"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1,6%</w:t>
            </w:r>
          </w:p>
        </w:tc>
        <w:tc>
          <w:tcPr>
            <w:tcW w:w="1000" w:type="dxa"/>
            <w:gridSpan w:val="2"/>
            <w:tcBorders>
              <w:top w:val="nil"/>
              <w:left w:val="nil"/>
              <w:bottom w:val="nil"/>
              <w:right w:val="nil"/>
            </w:tcBorders>
            <w:noWrap/>
            <w:vAlign w:val="center"/>
            <w:hideMark/>
          </w:tcPr>
          <w:p w14:paraId="2523666D"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-13,9%</w:t>
            </w:r>
          </w:p>
        </w:tc>
        <w:tc>
          <w:tcPr>
            <w:tcW w:w="1075" w:type="dxa"/>
            <w:gridSpan w:val="2"/>
            <w:tcBorders>
              <w:top w:val="nil"/>
              <w:left w:val="nil"/>
              <w:bottom w:val="nil"/>
              <w:right w:val="nil"/>
            </w:tcBorders>
            <w:noWrap/>
            <w:vAlign w:val="center"/>
            <w:hideMark/>
          </w:tcPr>
          <w:p w14:paraId="5A1D398A"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-0,2%</w:t>
            </w:r>
          </w:p>
        </w:tc>
      </w:tr>
      <w:tr w:rsidR="00B1608A" w14:paraId="42C8B2AC" w14:textId="77777777" w:rsidTr="005A6585">
        <w:trPr>
          <w:gridAfter w:val="1"/>
          <w:wAfter w:w="74" w:type="dxa"/>
          <w:trHeight w:val="255"/>
        </w:trPr>
        <w:tc>
          <w:tcPr>
            <w:tcW w:w="3686" w:type="dxa"/>
            <w:tcBorders>
              <w:top w:val="nil"/>
              <w:left w:val="nil"/>
              <w:bottom w:val="nil"/>
              <w:right w:val="nil"/>
            </w:tcBorders>
            <w:noWrap/>
            <w:vAlign w:val="center"/>
            <w:hideMark/>
          </w:tcPr>
          <w:p w14:paraId="4D67F77F" w14:textId="77777777" w:rsidR="00B1608A" w:rsidRPr="00723086" w:rsidRDefault="00B1608A" w:rsidP="004F1CBC">
            <w:pPr>
              <w:rPr>
                <w:rFonts w:ascii="Calibri" w:hAnsi="Calibri" w:cs="Calibri"/>
                <w:color w:val="000000"/>
                <w:sz w:val="20"/>
                <w:szCs w:val="20"/>
              </w:rPr>
            </w:pPr>
            <w:r w:rsidRPr="00723086">
              <w:rPr>
                <w:rFonts w:ascii="Calibri" w:hAnsi="Calibri" w:cs="Calibri"/>
                <w:color w:val="000000"/>
                <w:sz w:val="20"/>
              </w:rPr>
              <w:t>Coltelleria, utensili e oggetti di ferramenta</w:t>
            </w:r>
          </w:p>
        </w:tc>
        <w:tc>
          <w:tcPr>
            <w:tcW w:w="1315" w:type="dxa"/>
            <w:tcBorders>
              <w:top w:val="nil"/>
              <w:left w:val="nil"/>
              <w:bottom w:val="nil"/>
              <w:right w:val="nil"/>
            </w:tcBorders>
            <w:noWrap/>
            <w:vAlign w:val="center"/>
            <w:hideMark/>
          </w:tcPr>
          <w:p w14:paraId="288EA43F" w14:textId="77777777" w:rsidR="00B1608A" w:rsidRPr="00723086" w:rsidRDefault="00B1608A" w:rsidP="004F1CBC">
            <w:pPr>
              <w:jc w:val="center"/>
              <w:rPr>
                <w:rFonts w:ascii="Calibri" w:hAnsi="Calibri" w:cs="Calibri"/>
                <w:color w:val="000000"/>
                <w:sz w:val="20"/>
                <w:szCs w:val="20"/>
              </w:rPr>
            </w:pPr>
            <w:r w:rsidRPr="00723086">
              <w:rPr>
                <w:rFonts w:ascii="Calibri" w:hAnsi="Calibri" w:cs="Calibri"/>
                <w:color w:val="000000"/>
                <w:sz w:val="20"/>
                <w:szCs w:val="20"/>
              </w:rPr>
              <w:t>31.096.849</w:t>
            </w:r>
          </w:p>
        </w:tc>
        <w:tc>
          <w:tcPr>
            <w:tcW w:w="1314" w:type="dxa"/>
            <w:tcBorders>
              <w:top w:val="nil"/>
              <w:left w:val="nil"/>
              <w:bottom w:val="nil"/>
              <w:right w:val="nil"/>
            </w:tcBorders>
            <w:noWrap/>
            <w:vAlign w:val="center"/>
            <w:hideMark/>
          </w:tcPr>
          <w:p w14:paraId="033FC7F4" w14:textId="77777777" w:rsidR="00B1608A" w:rsidRPr="00723086" w:rsidRDefault="00B1608A" w:rsidP="004F1CBC">
            <w:pPr>
              <w:jc w:val="center"/>
              <w:rPr>
                <w:rFonts w:ascii="Calibri" w:hAnsi="Calibri" w:cs="Calibri"/>
                <w:color w:val="000000"/>
                <w:sz w:val="20"/>
                <w:szCs w:val="20"/>
              </w:rPr>
            </w:pPr>
            <w:r w:rsidRPr="00723086">
              <w:rPr>
                <w:rFonts w:ascii="Calibri" w:hAnsi="Calibri" w:cs="Calibri"/>
                <w:color w:val="000000"/>
                <w:sz w:val="20"/>
                <w:szCs w:val="20"/>
              </w:rPr>
              <w:t>33.293.962</w:t>
            </w:r>
          </w:p>
        </w:tc>
        <w:tc>
          <w:tcPr>
            <w:tcW w:w="881" w:type="dxa"/>
            <w:tcBorders>
              <w:top w:val="nil"/>
              <w:left w:val="nil"/>
              <w:bottom w:val="nil"/>
              <w:right w:val="nil"/>
            </w:tcBorders>
            <w:noWrap/>
            <w:vAlign w:val="center"/>
            <w:hideMark/>
          </w:tcPr>
          <w:p w14:paraId="40E67E8F" w14:textId="77777777" w:rsidR="00B1608A" w:rsidRPr="00723086" w:rsidRDefault="00B1608A" w:rsidP="004F1CBC">
            <w:pPr>
              <w:jc w:val="center"/>
              <w:rPr>
                <w:rFonts w:ascii="Calibri" w:hAnsi="Calibri" w:cs="Calibri"/>
                <w:color w:val="000000"/>
                <w:sz w:val="20"/>
                <w:szCs w:val="20"/>
              </w:rPr>
            </w:pPr>
            <w:r w:rsidRPr="00723086">
              <w:rPr>
                <w:rFonts w:ascii="Calibri" w:hAnsi="Calibri" w:cs="Calibri"/>
                <w:color w:val="000000"/>
                <w:sz w:val="20"/>
                <w:szCs w:val="20"/>
              </w:rPr>
              <w:t>1,2%</w:t>
            </w:r>
          </w:p>
        </w:tc>
        <w:tc>
          <w:tcPr>
            <w:tcW w:w="1000" w:type="dxa"/>
            <w:gridSpan w:val="2"/>
            <w:tcBorders>
              <w:top w:val="nil"/>
              <w:left w:val="nil"/>
              <w:bottom w:val="nil"/>
              <w:right w:val="nil"/>
            </w:tcBorders>
            <w:noWrap/>
            <w:vAlign w:val="center"/>
            <w:hideMark/>
          </w:tcPr>
          <w:p w14:paraId="65920027" w14:textId="77777777" w:rsidR="00B1608A" w:rsidRPr="00723086" w:rsidRDefault="00B1608A" w:rsidP="004F1CBC">
            <w:pPr>
              <w:jc w:val="center"/>
              <w:rPr>
                <w:rFonts w:ascii="Calibri" w:hAnsi="Calibri" w:cs="Calibri"/>
                <w:color w:val="000000"/>
                <w:sz w:val="20"/>
                <w:szCs w:val="20"/>
              </w:rPr>
            </w:pPr>
            <w:r w:rsidRPr="00723086">
              <w:rPr>
                <w:rFonts w:ascii="Calibri" w:hAnsi="Calibri" w:cs="Calibri"/>
                <w:color w:val="000000"/>
                <w:sz w:val="20"/>
                <w:szCs w:val="20"/>
              </w:rPr>
              <w:t>7,1%</w:t>
            </w:r>
          </w:p>
        </w:tc>
        <w:tc>
          <w:tcPr>
            <w:tcW w:w="1075" w:type="dxa"/>
            <w:gridSpan w:val="2"/>
            <w:tcBorders>
              <w:top w:val="nil"/>
              <w:left w:val="nil"/>
              <w:bottom w:val="nil"/>
              <w:right w:val="nil"/>
            </w:tcBorders>
            <w:noWrap/>
            <w:vAlign w:val="center"/>
            <w:hideMark/>
          </w:tcPr>
          <w:p w14:paraId="2D1CBE99" w14:textId="77777777" w:rsidR="00B1608A" w:rsidRPr="00723086" w:rsidRDefault="00B1608A" w:rsidP="004F1CBC">
            <w:pPr>
              <w:jc w:val="center"/>
              <w:rPr>
                <w:rFonts w:ascii="Calibri" w:hAnsi="Calibri" w:cs="Calibri"/>
                <w:i/>
                <w:iCs/>
                <w:color w:val="000000"/>
                <w:sz w:val="20"/>
                <w:szCs w:val="20"/>
              </w:rPr>
            </w:pPr>
            <w:r w:rsidRPr="00723086">
              <w:rPr>
                <w:rFonts w:ascii="Calibri" w:hAnsi="Calibri" w:cs="Calibri"/>
                <w:i/>
                <w:iCs/>
                <w:color w:val="000000"/>
                <w:sz w:val="20"/>
                <w:szCs w:val="20"/>
              </w:rPr>
              <w:t>0,1%</w:t>
            </w:r>
          </w:p>
        </w:tc>
      </w:tr>
      <w:tr w:rsidR="00B1608A" w14:paraId="20F135B8" w14:textId="77777777" w:rsidTr="005A6585">
        <w:trPr>
          <w:gridAfter w:val="1"/>
          <w:wAfter w:w="74" w:type="dxa"/>
          <w:trHeight w:val="255"/>
        </w:trPr>
        <w:tc>
          <w:tcPr>
            <w:tcW w:w="3686" w:type="dxa"/>
            <w:tcBorders>
              <w:top w:val="nil"/>
              <w:left w:val="nil"/>
              <w:bottom w:val="nil"/>
              <w:right w:val="nil"/>
            </w:tcBorders>
            <w:noWrap/>
            <w:vAlign w:val="center"/>
            <w:hideMark/>
          </w:tcPr>
          <w:p w14:paraId="287B4814" w14:textId="77777777" w:rsidR="00B1608A" w:rsidRPr="00723086" w:rsidRDefault="00B1608A" w:rsidP="004F1CBC">
            <w:pPr>
              <w:rPr>
                <w:rFonts w:ascii="Calibri" w:hAnsi="Calibri" w:cs="Calibri"/>
                <w:color w:val="000000"/>
                <w:sz w:val="20"/>
                <w:szCs w:val="20"/>
              </w:rPr>
            </w:pPr>
            <w:r w:rsidRPr="00723086">
              <w:rPr>
                <w:rFonts w:ascii="Calibri" w:hAnsi="Calibri" w:cs="Calibri"/>
                <w:color w:val="000000"/>
                <w:sz w:val="20"/>
              </w:rPr>
              <w:t xml:space="preserve">Strumenti di </w:t>
            </w:r>
            <w:proofErr w:type="spellStart"/>
            <w:r w:rsidRPr="00723086">
              <w:rPr>
                <w:rFonts w:ascii="Calibri" w:hAnsi="Calibri" w:cs="Calibri"/>
                <w:color w:val="000000"/>
                <w:sz w:val="20"/>
              </w:rPr>
              <w:t>misuraz</w:t>
            </w:r>
            <w:proofErr w:type="spellEnd"/>
            <w:r w:rsidRPr="00723086">
              <w:rPr>
                <w:rFonts w:ascii="Calibri" w:hAnsi="Calibri" w:cs="Calibri"/>
                <w:color w:val="000000"/>
                <w:sz w:val="20"/>
              </w:rPr>
              <w:t xml:space="preserve">., prova e </w:t>
            </w:r>
            <w:proofErr w:type="spellStart"/>
            <w:r w:rsidRPr="00723086">
              <w:rPr>
                <w:rFonts w:ascii="Calibri" w:hAnsi="Calibri" w:cs="Calibri"/>
                <w:color w:val="000000"/>
                <w:sz w:val="20"/>
              </w:rPr>
              <w:t>navigaz</w:t>
            </w:r>
            <w:proofErr w:type="spellEnd"/>
            <w:r w:rsidRPr="00723086">
              <w:rPr>
                <w:rFonts w:ascii="Calibri" w:hAnsi="Calibri" w:cs="Calibri"/>
                <w:color w:val="000000"/>
                <w:sz w:val="20"/>
              </w:rPr>
              <w:t>.</w:t>
            </w:r>
          </w:p>
        </w:tc>
        <w:tc>
          <w:tcPr>
            <w:tcW w:w="1315" w:type="dxa"/>
            <w:tcBorders>
              <w:top w:val="nil"/>
              <w:left w:val="nil"/>
              <w:bottom w:val="nil"/>
              <w:right w:val="nil"/>
            </w:tcBorders>
            <w:noWrap/>
            <w:vAlign w:val="center"/>
            <w:hideMark/>
          </w:tcPr>
          <w:p w14:paraId="1C88E7B5" w14:textId="77777777" w:rsidR="00B1608A" w:rsidRPr="00723086" w:rsidRDefault="00B1608A" w:rsidP="004F1CBC">
            <w:pPr>
              <w:jc w:val="center"/>
              <w:rPr>
                <w:rFonts w:ascii="Calibri" w:hAnsi="Calibri" w:cs="Calibri"/>
                <w:color w:val="000000"/>
                <w:sz w:val="20"/>
                <w:szCs w:val="20"/>
              </w:rPr>
            </w:pPr>
            <w:r w:rsidRPr="00723086">
              <w:rPr>
                <w:rFonts w:ascii="Calibri" w:hAnsi="Calibri" w:cs="Calibri"/>
                <w:color w:val="000000"/>
                <w:sz w:val="20"/>
                <w:szCs w:val="20"/>
              </w:rPr>
              <w:t>25.267.278</w:t>
            </w:r>
          </w:p>
        </w:tc>
        <w:tc>
          <w:tcPr>
            <w:tcW w:w="1314" w:type="dxa"/>
            <w:tcBorders>
              <w:top w:val="nil"/>
              <w:left w:val="nil"/>
              <w:bottom w:val="nil"/>
              <w:right w:val="nil"/>
            </w:tcBorders>
            <w:noWrap/>
            <w:vAlign w:val="center"/>
            <w:hideMark/>
          </w:tcPr>
          <w:p w14:paraId="4B2DC652" w14:textId="77777777" w:rsidR="00B1608A" w:rsidRPr="00723086" w:rsidRDefault="00B1608A" w:rsidP="004F1CBC">
            <w:pPr>
              <w:jc w:val="center"/>
              <w:rPr>
                <w:rFonts w:ascii="Calibri" w:hAnsi="Calibri" w:cs="Calibri"/>
                <w:color w:val="000000"/>
                <w:sz w:val="20"/>
                <w:szCs w:val="20"/>
              </w:rPr>
            </w:pPr>
            <w:r w:rsidRPr="00723086">
              <w:rPr>
                <w:rFonts w:ascii="Calibri" w:hAnsi="Calibri" w:cs="Calibri"/>
                <w:color w:val="000000"/>
                <w:sz w:val="20"/>
                <w:szCs w:val="20"/>
              </w:rPr>
              <w:t>21.258.982</w:t>
            </w:r>
          </w:p>
        </w:tc>
        <w:tc>
          <w:tcPr>
            <w:tcW w:w="881" w:type="dxa"/>
            <w:tcBorders>
              <w:top w:val="nil"/>
              <w:left w:val="nil"/>
              <w:bottom w:val="nil"/>
              <w:right w:val="nil"/>
            </w:tcBorders>
            <w:noWrap/>
            <w:vAlign w:val="center"/>
            <w:hideMark/>
          </w:tcPr>
          <w:p w14:paraId="361E2124" w14:textId="77777777" w:rsidR="00B1608A" w:rsidRPr="00723086" w:rsidRDefault="00B1608A" w:rsidP="004F1CBC">
            <w:pPr>
              <w:jc w:val="center"/>
              <w:rPr>
                <w:rFonts w:ascii="Calibri" w:hAnsi="Calibri" w:cs="Calibri"/>
                <w:color w:val="000000"/>
                <w:sz w:val="20"/>
                <w:szCs w:val="20"/>
              </w:rPr>
            </w:pPr>
            <w:r w:rsidRPr="00723086">
              <w:rPr>
                <w:rFonts w:ascii="Calibri" w:hAnsi="Calibri" w:cs="Calibri"/>
                <w:color w:val="000000"/>
                <w:sz w:val="20"/>
                <w:szCs w:val="20"/>
              </w:rPr>
              <w:t>0,8%</w:t>
            </w:r>
          </w:p>
        </w:tc>
        <w:tc>
          <w:tcPr>
            <w:tcW w:w="1000" w:type="dxa"/>
            <w:gridSpan w:val="2"/>
            <w:tcBorders>
              <w:top w:val="nil"/>
              <w:left w:val="nil"/>
              <w:bottom w:val="nil"/>
              <w:right w:val="nil"/>
            </w:tcBorders>
            <w:noWrap/>
            <w:vAlign w:val="center"/>
            <w:hideMark/>
          </w:tcPr>
          <w:p w14:paraId="3CEA2464" w14:textId="77777777" w:rsidR="00B1608A" w:rsidRPr="00723086" w:rsidRDefault="00B1608A" w:rsidP="004F1CBC">
            <w:pPr>
              <w:jc w:val="center"/>
              <w:rPr>
                <w:rFonts w:ascii="Calibri" w:hAnsi="Calibri" w:cs="Calibri"/>
                <w:color w:val="000000"/>
                <w:sz w:val="20"/>
                <w:szCs w:val="20"/>
              </w:rPr>
            </w:pPr>
            <w:r w:rsidRPr="00723086">
              <w:rPr>
                <w:rFonts w:ascii="Calibri" w:hAnsi="Calibri" w:cs="Calibri"/>
                <w:color w:val="000000"/>
                <w:sz w:val="20"/>
                <w:szCs w:val="20"/>
              </w:rPr>
              <w:t>-15,9%</w:t>
            </w:r>
          </w:p>
        </w:tc>
        <w:tc>
          <w:tcPr>
            <w:tcW w:w="1075" w:type="dxa"/>
            <w:gridSpan w:val="2"/>
            <w:tcBorders>
              <w:top w:val="nil"/>
              <w:left w:val="nil"/>
              <w:bottom w:val="nil"/>
              <w:right w:val="nil"/>
            </w:tcBorders>
            <w:noWrap/>
            <w:vAlign w:val="center"/>
            <w:hideMark/>
          </w:tcPr>
          <w:p w14:paraId="7D82E0A6" w14:textId="77777777" w:rsidR="00B1608A" w:rsidRPr="00723086" w:rsidRDefault="00B1608A" w:rsidP="004F1CBC">
            <w:pPr>
              <w:jc w:val="center"/>
              <w:rPr>
                <w:rFonts w:ascii="Calibri" w:hAnsi="Calibri" w:cs="Calibri"/>
                <w:i/>
                <w:iCs/>
                <w:color w:val="000000"/>
                <w:sz w:val="20"/>
                <w:szCs w:val="20"/>
              </w:rPr>
            </w:pPr>
            <w:r w:rsidRPr="00723086">
              <w:rPr>
                <w:rFonts w:ascii="Calibri" w:hAnsi="Calibri" w:cs="Calibri"/>
                <w:i/>
                <w:iCs/>
                <w:color w:val="000000"/>
                <w:sz w:val="20"/>
                <w:szCs w:val="20"/>
              </w:rPr>
              <w:t>-0,1%</w:t>
            </w:r>
          </w:p>
        </w:tc>
      </w:tr>
      <w:tr w:rsidR="00B1608A" w14:paraId="59326180" w14:textId="77777777" w:rsidTr="005A6585">
        <w:trPr>
          <w:gridAfter w:val="1"/>
          <w:wAfter w:w="74" w:type="dxa"/>
          <w:trHeight w:val="255"/>
        </w:trPr>
        <w:tc>
          <w:tcPr>
            <w:tcW w:w="3686" w:type="dxa"/>
            <w:tcBorders>
              <w:top w:val="nil"/>
              <w:left w:val="nil"/>
              <w:bottom w:val="nil"/>
              <w:right w:val="nil"/>
            </w:tcBorders>
            <w:noWrap/>
            <w:vAlign w:val="center"/>
            <w:hideMark/>
          </w:tcPr>
          <w:p w14:paraId="60A69F98" w14:textId="77777777" w:rsidR="00B1608A" w:rsidRPr="00723086" w:rsidRDefault="00B1608A" w:rsidP="004F1CBC">
            <w:pPr>
              <w:rPr>
                <w:rFonts w:ascii="Calibri" w:hAnsi="Calibri" w:cs="Calibri"/>
                <w:sz w:val="20"/>
                <w:szCs w:val="20"/>
              </w:rPr>
            </w:pPr>
            <w:r w:rsidRPr="00723086">
              <w:rPr>
                <w:rFonts w:ascii="Calibri" w:hAnsi="Calibri" w:cs="Calibri"/>
                <w:sz w:val="20"/>
                <w:szCs w:val="20"/>
              </w:rPr>
              <w:t>Altro</w:t>
            </w:r>
          </w:p>
        </w:tc>
        <w:tc>
          <w:tcPr>
            <w:tcW w:w="1315" w:type="dxa"/>
            <w:tcBorders>
              <w:top w:val="nil"/>
              <w:left w:val="nil"/>
              <w:bottom w:val="nil"/>
              <w:right w:val="nil"/>
            </w:tcBorders>
            <w:noWrap/>
            <w:vAlign w:val="center"/>
            <w:hideMark/>
          </w:tcPr>
          <w:p w14:paraId="73457C8E" w14:textId="77777777" w:rsidR="00B1608A" w:rsidRPr="00723086" w:rsidRDefault="00B1608A" w:rsidP="004F1CBC">
            <w:pPr>
              <w:jc w:val="center"/>
              <w:rPr>
                <w:rFonts w:ascii="Calibri" w:hAnsi="Calibri" w:cs="Calibri"/>
                <w:sz w:val="20"/>
                <w:szCs w:val="20"/>
              </w:rPr>
            </w:pPr>
            <w:r w:rsidRPr="00723086">
              <w:rPr>
                <w:rFonts w:ascii="Calibri" w:hAnsi="Calibri" w:cs="Calibri"/>
                <w:sz w:val="20"/>
                <w:szCs w:val="20"/>
              </w:rPr>
              <w:t>278.422.608</w:t>
            </w:r>
          </w:p>
        </w:tc>
        <w:tc>
          <w:tcPr>
            <w:tcW w:w="1314" w:type="dxa"/>
            <w:tcBorders>
              <w:top w:val="nil"/>
              <w:left w:val="nil"/>
              <w:bottom w:val="nil"/>
              <w:right w:val="nil"/>
            </w:tcBorders>
            <w:noWrap/>
            <w:vAlign w:val="center"/>
            <w:hideMark/>
          </w:tcPr>
          <w:p w14:paraId="4BC85AD5" w14:textId="77777777" w:rsidR="00B1608A" w:rsidRPr="00723086" w:rsidRDefault="00B1608A" w:rsidP="004F1CBC">
            <w:pPr>
              <w:jc w:val="center"/>
              <w:rPr>
                <w:rFonts w:ascii="Calibri" w:hAnsi="Calibri" w:cs="Calibri"/>
                <w:sz w:val="20"/>
                <w:szCs w:val="20"/>
              </w:rPr>
            </w:pPr>
            <w:r w:rsidRPr="00723086">
              <w:rPr>
                <w:rFonts w:ascii="Calibri" w:hAnsi="Calibri" w:cs="Calibri"/>
                <w:sz w:val="20"/>
                <w:szCs w:val="20"/>
              </w:rPr>
              <w:t>287.902.652</w:t>
            </w:r>
          </w:p>
        </w:tc>
        <w:tc>
          <w:tcPr>
            <w:tcW w:w="881" w:type="dxa"/>
            <w:tcBorders>
              <w:top w:val="nil"/>
              <w:left w:val="nil"/>
              <w:bottom w:val="nil"/>
              <w:right w:val="nil"/>
            </w:tcBorders>
            <w:noWrap/>
            <w:vAlign w:val="center"/>
            <w:hideMark/>
          </w:tcPr>
          <w:p w14:paraId="605171F9" w14:textId="77777777" w:rsidR="00B1608A" w:rsidRPr="00723086" w:rsidRDefault="00B1608A" w:rsidP="004F1CBC">
            <w:pPr>
              <w:jc w:val="center"/>
              <w:rPr>
                <w:rFonts w:ascii="Calibri" w:hAnsi="Calibri" w:cs="Calibri"/>
                <w:sz w:val="20"/>
                <w:szCs w:val="20"/>
              </w:rPr>
            </w:pPr>
            <w:r w:rsidRPr="00723086">
              <w:rPr>
                <w:rFonts w:ascii="Calibri" w:hAnsi="Calibri" w:cs="Calibri"/>
                <w:sz w:val="20"/>
                <w:szCs w:val="20"/>
              </w:rPr>
              <w:t>10,6%</w:t>
            </w:r>
          </w:p>
        </w:tc>
        <w:tc>
          <w:tcPr>
            <w:tcW w:w="1000" w:type="dxa"/>
            <w:gridSpan w:val="2"/>
            <w:tcBorders>
              <w:top w:val="nil"/>
              <w:left w:val="nil"/>
              <w:bottom w:val="nil"/>
              <w:right w:val="nil"/>
            </w:tcBorders>
            <w:noWrap/>
            <w:vAlign w:val="center"/>
            <w:hideMark/>
          </w:tcPr>
          <w:p w14:paraId="2F8E3A12" w14:textId="77777777" w:rsidR="00B1608A" w:rsidRPr="00723086" w:rsidRDefault="00B1608A" w:rsidP="004F1CBC">
            <w:pPr>
              <w:jc w:val="center"/>
              <w:rPr>
                <w:rFonts w:ascii="Calibri" w:hAnsi="Calibri" w:cs="Calibri"/>
                <w:sz w:val="20"/>
                <w:szCs w:val="20"/>
              </w:rPr>
            </w:pPr>
            <w:r w:rsidRPr="00723086">
              <w:rPr>
                <w:rFonts w:ascii="Calibri" w:hAnsi="Calibri" w:cs="Calibri"/>
                <w:sz w:val="20"/>
                <w:szCs w:val="20"/>
              </w:rPr>
              <w:t>3,4%</w:t>
            </w:r>
          </w:p>
        </w:tc>
        <w:tc>
          <w:tcPr>
            <w:tcW w:w="1075" w:type="dxa"/>
            <w:gridSpan w:val="2"/>
            <w:tcBorders>
              <w:top w:val="nil"/>
              <w:left w:val="nil"/>
              <w:bottom w:val="nil"/>
              <w:right w:val="nil"/>
            </w:tcBorders>
            <w:noWrap/>
            <w:vAlign w:val="center"/>
            <w:hideMark/>
          </w:tcPr>
          <w:p w14:paraId="7E568B7E" w14:textId="77777777" w:rsidR="00B1608A" w:rsidRPr="00723086" w:rsidRDefault="00B1608A" w:rsidP="004F1CBC">
            <w:pPr>
              <w:jc w:val="center"/>
              <w:rPr>
                <w:rFonts w:ascii="Calibri" w:hAnsi="Calibri" w:cs="Calibri"/>
                <w:i/>
                <w:iCs/>
                <w:sz w:val="20"/>
                <w:szCs w:val="20"/>
              </w:rPr>
            </w:pPr>
            <w:r w:rsidRPr="00723086">
              <w:rPr>
                <w:rFonts w:ascii="Calibri" w:hAnsi="Calibri" w:cs="Calibri"/>
                <w:i/>
                <w:iCs/>
                <w:sz w:val="20"/>
                <w:szCs w:val="20"/>
              </w:rPr>
              <w:t>0,3%</w:t>
            </w:r>
          </w:p>
        </w:tc>
      </w:tr>
      <w:tr w:rsidR="00B1608A" w14:paraId="4EDB114B" w14:textId="77777777" w:rsidTr="005A6585">
        <w:trPr>
          <w:gridAfter w:val="1"/>
          <w:wAfter w:w="74" w:type="dxa"/>
          <w:trHeight w:val="255"/>
        </w:trPr>
        <w:tc>
          <w:tcPr>
            <w:tcW w:w="3686" w:type="dxa"/>
            <w:tcBorders>
              <w:top w:val="single" w:sz="4" w:space="0" w:color="auto"/>
              <w:left w:val="nil"/>
              <w:bottom w:val="single" w:sz="4" w:space="0" w:color="auto"/>
              <w:right w:val="nil"/>
            </w:tcBorders>
            <w:noWrap/>
            <w:vAlign w:val="center"/>
            <w:hideMark/>
          </w:tcPr>
          <w:p w14:paraId="7CD347BC" w14:textId="77777777" w:rsidR="00B1608A" w:rsidRPr="00723086" w:rsidRDefault="00B1608A" w:rsidP="004F1CBC">
            <w:pPr>
              <w:rPr>
                <w:rFonts w:ascii="Calibri" w:hAnsi="Calibri" w:cs="Calibri"/>
                <w:b/>
                <w:bCs/>
                <w:sz w:val="20"/>
                <w:szCs w:val="20"/>
              </w:rPr>
            </w:pPr>
            <w:r w:rsidRPr="00723086">
              <w:rPr>
                <w:rFonts w:ascii="Calibri" w:hAnsi="Calibri" w:cs="Calibri"/>
                <w:b/>
                <w:bCs/>
                <w:sz w:val="20"/>
                <w:szCs w:val="20"/>
              </w:rPr>
              <w:t>Totale</w:t>
            </w:r>
          </w:p>
        </w:tc>
        <w:tc>
          <w:tcPr>
            <w:tcW w:w="1315" w:type="dxa"/>
            <w:tcBorders>
              <w:top w:val="single" w:sz="4" w:space="0" w:color="auto"/>
              <w:left w:val="nil"/>
              <w:bottom w:val="single" w:sz="4" w:space="0" w:color="auto"/>
              <w:right w:val="nil"/>
            </w:tcBorders>
            <w:noWrap/>
            <w:vAlign w:val="center"/>
            <w:hideMark/>
          </w:tcPr>
          <w:p w14:paraId="5073E823" w14:textId="77777777" w:rsidR="00B1608A" w:rsidRPr="00723086" w:rsidRDefault="00B1608A" w:rsidP="004F1CBC">
            <w:pPr>
              <w:jc w:val="center"/>
              <w:rPr>
                <w:rFonts w:ascii="Calibri" w:hAnsi="Calibri" w:cs="Calibri"/>
                <w:b/>
                <w:bCs/>
                <w:sz w:val="20"/>
                <w:szCs w:val="20"/>
              </w:rPr>
            </w:pPr>
            <w:r w:rsidRPr="00723086">
              <w:rPr>
                <w:rFonts w:ascii="Calibri" w:hAnsi="Calibri" w:cs="Calibri"/>
                <w:b/>
                <w:bCs/>
                <w:sz w:val="20"/>
                <w:szCs w:val="20"/>
              </w:rPr>
              <w:t>2.782.300.629</w:t>
            </w:r>
          </w:p>
        </w:tc>
        <w:tc>
          <w:tcPr>
            <w:tcW w:w="1314" w:type="dxa"/>
            <w:tcBorders>
              <w:top w:val="single" w:sz="4" w:space="0" w:color="auto"/>
              <w:left w:val="nil"/>
              <w:bottom w:val="single" w:sz="4" w:space="0" w:color="auto"/>
              <w:right w:val="nil"/>
            </w:tcBorders>
            <w:noWrap/>
            <w:vAlign w:val="center"/>
            <w:hideMark/>
          </w:tcPr>
          <w:p w14:paraId="099D75D6" w14:textId="77777777" w:rsidR="00B1608A" w:rsidRPr="00723086" w:rsidRDefault="00B1608A" w:rsidP="004F1CBC">
            <w:pPr>
              <w:jc w:val="center"/>
              <w:rPr>
                <w:rFonts w:ascii="Calibri" w:hAnsi="Calibri" w:cs="Calibri"/>
                <w:b/>
                <w:bCs/>
                <w:sz w:val="20"/>
                <w:szCs w:val="20"/>
              </w:rPr>
            </w:pPr>
            <w:r w:rsidRPr="00723086">
              <w:rPr>
                <w:rFonts w:ascii="Calibri" w:hAnsi="Calibri" w:cs="Calibri"/>
                <w:b/>
                <w:bCs/>
                <w:sz w:val="20"/>
                <w:szCs w:val="20"/>
              </w:rPr>
              <w:t>2.714.750.281</w:t>
            </w:r>
          </w:p>
        </w:tc>
        <w:tc>
          <w:tcPr>
            <w:tcW w:w="881" w:type="dxa"/>
            <w:tcBorders>
              <w:top w:val="single" w:sz="4" w:space="0" w:color="auto"/>
              <w:left w:val="nil"/>
              <w:bottom w:val="single" w:sz="4" w:space="0" w:color="auto"/>
              <w:right w:val="nil"/>
            </w:tcBorders>
            <w:noWrap/>
            <w:vAlign w:val="center"/>
            <w:hideMark/>
          </w:tcPr>
          <w:p w14:paraId="78BE5487" w14:textId="77777777" w:rsidR="00B1608A" w:rsidRPr="00723086" w:rsidRDefault="00B1608A" w:rsidP="004F1CBC">
            <w:pPr>
              <w:jc w:val="center"/>
              <w:rPr>
                <w:rFonts w:ascii="Calibri" w:hAnsi="Calibri" w:cs="Calibri"/>
                <w:b/>
                <w:bCs/>
                <w:sz w:val="20"/>
                <w:szCs w:val="20"/>
              </w:rPr>
            </w:pPr>
            <w:r w:rsidRPr="00723086">
              <w:rPr>
                <w:rFonts w:ascii="Calibri" w:hAnsi="Calibri" w:cs="Calibri"/>
                <w:b/>
                <w:bCs/>
                <w:sz w:val="20"/>
                <w:szCs w:val="20"/>
              </w:rPr>
              <w:t>100,0%</w:t>
            </w:r>
          </w:p>
        </w:tc>
        <w:tc>
          <w:tcPr>
            <w:tcW w:w="1000" w:type="dxa"/>
            <w:gridSpan w:val="2"/>
            <w:tcBorders>
              <w:top w:val="single" w:sz="4" w:space="0" w:color="auto"/>
              <w:left w:val="nil"/>
              <w:bottom w:val="single" w:sz="4" w:space="0" w:color="auto"/>
              <w:right w:val="nil"/>
            </w:tcBorders>
            <w:noWrap/>
            <w:vAlign w:val="center"/>
            <w:hideMark/>
          </w:tcPr>
          <w:p w14:paraId="38BDAB51" w14:textId="77777777" w:rsidR="00B1608A" w:rsidRPr="00723086" w:rsidRDefault="00B1608A" w:rsidP="004F1CBC">
            <w:pPr>
              <w:jc w:val="center"/>
              <w:rPr>
                <w:rFonts w:ascii="Calibri" w:hAnsi="Calibri" w:cs="Calibri"/>
                <w:b/>
                <w:bCs/>
                <w:sz w:val="20"/>
                <w:szCs w:val="20"/>
              </w:rPr>
            </w:pPr>
            <w:r w:rsidRPr="00723086">
              <w:rPr>
                <w:rFonts w:ascii="Calibri" w:hAnsi="Calibri" w:cs="Calibri"/>
                <w:b/>
                <w:bCs/>
                <w:sz w:val="20"/>
                <w:szCs w:val="20"/>
              </w:rPr>
              <w:t>-2,4%</w:t>
            </w:r>
          </w:p>
        </w:tc>
        <w:tc>
          <w:tcPr>
            <w:tcW w:w="1075" w:type="dxa"/>
            <w:gridSpan w:val="2"/>
            <w:tcBorders>
              <w:top w:val="single" w:sz="4" w:space="0" w:color="auto"/>
              <w:left w:val="nil"/>
              <w:bottom w:val="single" w:sz="4" w:space="0" w:color="auto"/>
              <w:right w:val="nil"/>
            </w:tcBorders>
            <w:noWrap/>
            <w:vAlign w:val="center"/>
            <w:hideMark/>
          </w:tcPr>
          <w:p w14:paraId="5F620808" w14:textId="77777777" w:rsidR="00B1608A" w:rsidRPr="00723086" w:rsidRDefault="00B1608A" w:rsidP="004F1CBC">
            <w:pPr>
              <w:jc w:val="center"/>
              <w:rPr>
                <w:rFonts w:ascii="Calibri" w:hAnsi="Calibri" w:cs="Calibri"/>
                <w:b/>
                <w:bCs/>
                <w:i/>
                <w:iCs/>
                <w:sz w:val="20"/>
                <w:szCs w:val="20"/>
              </w:rPr>
            </w:pPr>
            <w:r w:rsidRPr="00723086">
              <w:rPr>
                <w:rFonts w:ascii="Calibri" w:hAnsi="Calibri" w:cs="Calibri"/>
                <w:b/>
                <w:bCs/>
                <w:i/>
                <w:iCs/>
                <w:sz w:val="20"/>
                <w:szCs w:val="20"/>
              </w:rPr>
              <w:t>-2,4%</w:t>
            </w:r>
          </w:p>
        </w:tc>
      </w:tr>
      <w:tr w:rsidR="00B1608A" w14:paraId="5ABC522E" w14:textId="77777777" w:rsidTr="005A6585">
        <w:trPr>
          <w:trHeight w:val="255"/>
        </w:trPr>
        <w:tc>
          <w:tcPr>
            <w:tcW w:w="9345" w:type="dxa"/>
            <w:gridSpan w:val="9"/>
            <w:tcBorders>
              <w:top w:val="nil"/>
              <w:left w:val="nil"/>
              <w:bottom w:val="nil"/>
            </w:tcBorders>
            <w:noWrap/>
            <w:vAlign w:val="center"/>
            <w:hideMark/>
          </w:tcPr>
          <w:p w14:paraId="453343C9" w14:textId="77777777" w:rsidR="00B1608A" w:rsidRDefault="00B1608A" w:rsidP="004F1CBC">
            <w:pPr>
              <w:rPr>
                <w:sz w:val="20"/>
                <w:szCs w:val="20"/>
              </w:rPr>
            </w:pPr>
            <w:r>
              <w:rPr>
                <w:rFonts w:ascii="Calibri" w:hAnsi="Calibri" w:cs="Calibri"/>
                <w:i/>
                <w:iCs/>
                <w:color w:val="000000"/>
                <w:sz w:val="20"/>
                <w:szCs w:val="20"/>
              </w:rPr>
              <w:t>Fonte: Elaborazioni Camera di Commercio Toscana Nord-Ovest - ISR su dati Istat (dati provvisori)</w:t>
            </w:r>
          </w:p>
        </w:tc>
      </w:tr>
    </w:tbl>
    <w:p w14:paraId="42D0612F" w14:textId="44B07E51" w:rsidR="00B1608A" w:rsidRDefault="005A6585" w:rsidP="008C5D96">
      <w:pPr>
        <w:spacing w:before="240"/>
        <w:jc w:val="both"/>
        <w:rPr>
          <w:rFonts w:ascii="Calibri" w:hAnsi="Calibri" w:cs="Calibri"/>
        </w:rPr>
      </w:pPr>
      <w:r w:rsidRPr="00824539">
        <w:rPr>
          <w:rFonts w:ascii="Calibri" w:hAnsi="Calibri" w:cs="Calibri"/>
        </w:rPr>
        <w:t>È proseguita invece la contrazione de</w:t>
      </w:r>
      <w:r w:rsidR="00707F77">
        <w:rPr>
          <w:rFonts w:ascii="Calibri" w:hAnsi="Calibri" w:cs="Calibri"/>
        </w:rPr>
        <w:t xml:space="preserve">lle vendite </w:t>
      </w:r>
      <w:r w:rsidR="00707F77" w:rsidRPr="0077050B">
        <w:rPr>
          <w:rFonts w:ascii="Calibri" w:hAnsi="Calibri" w:cs="Calibri"/>
        </w:rPr>
        <w:t xml:space="preserve">di </w:t>
      </w:r>
      <w:r w:rsidR="00707F77" w:rsidRPr="0077050B">
        <w:rPr>
          <w:rFonts w:ascii="Calibri" w:hAnsi="Calibri" w:cs="Calibri"/>
          <w:b/>
          <w:bCs/>
          <w:i/>
          <w:iCs/>
        </w:rPr>
        <w:t>oli</w:t>
      </w:r>
      <w:r w:rsidR="00C64FDD" w:rsidRPr="0077050B">
        <w:rPr>
          <w:rFonts w:ascii="Calibri" w:hAnsi="Calibri" w:cs="Calibri"/>
          <w:b/>
          <w:bCs/>
          <w:i/>
          <w:iCs/>
        </w:rPr>
        <w:t>o</w:t>
      </w:r>
      <w:r w:rsidRPr="0077050B">
        <w:rPr>
          <w:rFonts w:ascii="Calibri" w:hAnsi="Calibri" w:cs="Calibri"/>
        </w:rPr>
        <w:t>, sces</w:t>
      </w:r>
      <w:r w:rsidR="00707F77" w:rsidRPr="0077050B">
        <w:rPr>
          <w:rFonts w:ascii="Calibri" w:hAnsi="Calibri" w:cs="Calibri"/>
        </w:rPr>
        <w:t>e</w:t>
      </w:r>
      <w:r w:rsidRPr="0077050B">
        <w:rPr>
          <w:rFonts w:ascii="Calibri" w:hAnsi="Calibri" w:cs="Calibri"/>
        </w:rPr>
        <w:t xml:space="preserve"> a 141,5 milioni di euro (-11,6%, oltre 18 milioni in meno). Il calo è interamente attribuibile</w:t>
      </w:r>
      <w:r w:rsidRPr="00824539">
        <w:rPr>
          <w:rFonts w:ascii="Calibri" w:hAnsi="Calibri" w:cs="Calibri"/>
        </w:rPr>
        <w:t xml:space="preserve"> agli Stati Uniti che, pur </w:t>
      </w:r>
      <w:r w:rsidRPr="00824539">
        <w:rPr>
          <w:rFonts w:ascii="Calibri" w:hAnsi="Calibri" w:cs="Calibri"/>
        </w:rPr>
        <w:lastRenderedPageBreak/>
        <w:t>restando il primo mercato con 47,6 milioni, hanno ridotto gli acquisti del 37,3%, pari a 28,3 milioni di euro in meno. In netta controtendenza il Regno Unito, salito a 38,8 milioni (+27,9%), e la Russia (9,4 milioni, +40,3%), mentre tra i nuovi mercati si segnala Israele con 5 milioni. La Germania ha invece quasi dimezzato la propria domanda, scendendo a 6,7 milioni (-43,9%).</w:t>
      </w:r>
      <w:r w:rsidR="008C5D96">
        <w:rPr>
          <w:rFonts w:ascii="Calibri" w:hAnsi="Calibri" w:cs="Calibri"/>
        </w:rPr>
        <w:t xml:space="preserve"> </w:t>
      </w:r>
      <w:r w:rsidR="00B1608A">
        <w:rPr>
          <w:rFonts w:ascii="Calibri" w:hAnsi="Calibri" w:cs="Calibri"/>
        </w:rPr>
        <w:t xml:space="preserve">Le </w:t>
      </w:r>
      <w:r w:rsidR="00B1608A">
        <w:rPr>
          <w:rFonts w:ascii="Calibri" w:hAnsi="Calibri" w:cs="Calibri"/>
          <w:b/>
          <w:i/>
        </w:rPr>
        <w:t>altre macchine di impiego generale</w:t>
      </w:r>
      <w:r w:rsidR="00B1608A">
        <w:rPr>
          <w:rFonts w:ascii="Calibri" w:hAnsi="Calibri" w:cs="Calibri"/>
        </w:rPr>
        <w:t xml:space="preserve"> (forni, macchine per il sollevamento, utensili portatili a motore, refrigeratori non domestici e simili) hanno esportato per 84,2 milioni di euro, in crescita del 19,1%. La Germania resta il primo mercato di sbocco con 12,6 milioni (+16,5%), seguita dalla Francia (7,9 milioni, +59,8%). Gli Stati Uniti hanno ridimensionato gli acquisti a 5,9 milioni (-38,8%) e la Polonia, che lo scorso anno era tra i primi mercati, è scesa a 3,6 milioni (-60,7%, -5,5 milioni). Alle flessioni hanno fatto da contrappeso nuovi mercati di sbocco: Slovenia (4,9 milioni), Egitto (4,6 milioni) e Finlandia (2,9 milioni), oltre al Messico più che raddoppiato a 3,7 milioni.</w:t>
      </w:r>
      <w:r w:rsidR="008C5D96">
        <w:rPr>
          <w:rFonts w:ascii="Calibri" w:hAnsi="Calibri" w:cs="Calibri"/>
        </w:rPr>
        <w:t xml:space="preserve"> </w:t>
      </w:r>
      <w:r w:rsidR="00B1608A" w:rsidRPr="00492871">
        <w:rPr>
          <w:rFonts w:ascii="Calibri" w:hAnsi="Calibri" w:cs="Calibri"/>
        </w:rPr>
        <w:t xml:space="preserve">Le </w:t>
      </w:r>
      <w:r w:rsidR="00B1608A" w:rsidRPr="00492871">
        <w:rPr>
          <w:rFonts w:ascii="Calibri" w:hAnsi="Calibri" w:cs="Calibri"/>
          <w:b/>
          <w:i/>
        </w:rPr>
        <w:t>macchine di impiego generale</w:t>
      </w:r>
      <w:r w:rsidR="00B1608A" w:rsidRPr="00492871">
        <w:rPr>
          <w:rFonts w:ascii="Calibri" w:hAnsi="Calibri" w:cs="Calibri"/>
        </w:rPr>
        <w:t xml:space="preserve"> (motori, pompe, valvole, compressori e simili) hanno invece perso il 16,2%, scendendo a 68,3 milioni di euro dopo la forte crescita registrata nel 2025. Hanno pesato soprattutto l’arretramento della Cina, che lo scorso anno era il primo mercato e ha ridotto gli acquisti di 11 milioni, del Qatar (-5,9 milioni) e del Brasile, sceso a 4,2 milioni (-57,6%). Gli Stati Uniti restano il primo mercato con 6,3 milioni, sostanzialmente stabili. Il comparto ha però trovato nuovi sbocchi in Asia e nel Golfo, con Emirati Arabi Uniti (5,9 milioni, +457,3%), Vietnam (4,8 milioni) e Malaysia (4,5 milioni), ai quali si aggiunge la Spagna (5,8 milioni) in recupero del 28,5%.</w:t>
      </w:r>
      <w:r w:rsidR="008C5D96">
        <w:rPr>
          <w:rFonts w:ascii="Calibri" w:hAnsi="Calibri" w:cs="Calibri"/>
        </w:rPr>
        <w:t xml:space="preserve"> </w:t>
      </w:r>
      <w:r w:rsidR="00B1608A" w:rsidRPr="00E3557D">
        <w:rPr>
          <w:rFonts w:ascii="Calibri" w:hAnsi="Calibri" w:cs="Calibri"/>
        </w:rPr>
        <w:t xml:space="preserve">Tra i settori con vendite estere minori, gli </w:t>
      </w:r>
      <w:r w:rsidR="00B1608A" w:rsidRPr="00E3557D">
        <w:rPr>
          <w:rFonts w:ascii="Calibri" w:hAnsi="Calibri" w:cs="Calibri"/>
          <w:b/>
          <w:i/>
        </w:rPr>
        <w:t>articoli in materie plastiche</w:t>
      </w:r>
      <w:r w:rsidR="00B1608A" w:rsidRPr="00E3557D">
        <w:rPr>
          <w:rFonts w:ascii="Calibri" w:hAnsi="Calibri" w:cs="Calibri"/>
        </w:rPr>
        <w:t xml:space="preserve"> sono cresciuti del 5,1% superando i 55,9 milioni di euro, sost</w:t>
      </w:r>
      <w:r w:rsidR="00B1608A" w:rsidRPr="00D7161F">
        <w:rPr>
          <w:rFonts w:ascii="Calibri" w:hAnsi="Calibri" w:cs="Calibri"/>
        </w:rPr>
        <w:t xml:space="preserve">enuti da Francia (9,8 milioni, +13,9%) e Spagna (6,5 milioni, +23,3%). Le </w:t>
      </w:r>
      <w:r w:rsidR="00B1608A" w:rsidRPr="00D7161F">
        <w:rPr>
          <w:rFonts w:ascii="Calibri" w:hAnsi="Calibri" w:cs="Calibri"/>
          <w:b/>
          <w:i/>
        </w:rPr>
        <w:t>calzature</w:t>
      </w:r>
      <w:r w:rsidR="00B1608A" w:rsidRPr="00D7161F">
        <w:rPr>
          <w:rFonts w:ascii="Calibri" w:hAnsi="Calibri" w:cs="Calibri"/>
        </w:rPr>
        <w:t xml:space="preserve"> hanno invece perso il 14,8% fermandosi a 50,2 milioni: gli Stati Uniti restano il primo mercato con 17,6 milioni (-5,8%), mentre la Francia ha ridotto gli acquisti del 27,7%</w:t>
      </w:r>
      <w:r w:rsidR="00B1608A">
        <w:rPr>
          <w:rFonts w:ascii="Calibri" w:hAnsi="Calibri" w:cs="Calibri"/>
        </w:rPr>
        <w:t xml:space="preserve"> fermandosi a 10,7 milioni</w:t>
      </w:r>
      <w:r w:rsidR="00B1608A" w:rsidRPr="00D7161F">
        <w:rPr>
          <w:rFonts w:ascii="Calibri" w:hAnsi="Calibri" w:cs="Calibri"/>
        </w:rPr>
        <w:t>.</w:t>
      </w:r>
    </w:p>
    <w:p w14:paraId="4F2D19BF" w14:textId="77777777" w:rsidR="00B1608A" w:rsidRPr="003802E3" w:rsidRDefault="00B1608A" w:rsidP="00B1608A">
      <w:pPr>
        <w:spacing w:after="240"/>
        <w:jc w:val="both"/>
        <w:rPr>
          <w:rFonts w:ascii="Calibri" w:hAnsi="Calibri" w:cs="Calibri"/>
          <w:iCs/>
        </w:rPr>
      </w:pPr>
      <w:r>
        <w:rPr>
          <w:rFonts w:ascii="Calibri" w:hAnsi="Calibri" w:cs="Calibri"/>
          <w:iCs/>
        </w:rPr>
        <w:t xml:space="preserve">In flessione anche le </w:t>
      </w:r>
      <w:r>
        <w:rPr>
          <w:rFonts w:ascii="Calibri" w:hAnsi="Calibri" w:cs="Calibri"/>
          <w:b/>
          <w:i/>
          <w:iCs/>
        </w:rPr>
        <w:t>pietre tagliate, modellate e finite</w:t>
      </w:r>
      <w:r>
        <w:rPr>
          <w:rFonts w:ascii="Calibri" w:hAnsi="Calibri" w:cs="Calibri"/>
          <w:iCs/>
        </w:rPr>
        <w:t xml:space="preserve"> (42,7 milioni, -13,9%), penalizzate dal calo del mercato statunitense (18 milioni, -9,2%) e di quello olandese, e gli </w:t>
      </w:r>
      <w:r>
        <w:rPr>
          <w:rFonts w:ascii="Calibri" w:hAnsi="Calibri" w:cs="Calibri"/>
          <w:b/>
          <w:i/>
          <w:iCs/>
        </w:rPr>
        <w:t>strumenti di misurazione, prova e navigazione</w:t>
      </w:r>
      <w:r>
        <w:rPr>
          <w:rFonts w:ascii="Calibri" w:hAnsi="Calibri" w:cs="Calibri"/>
          <w:iCs/>
        </w:rPr>
        <w:t xml:space="preserve"> (21,3 milioni, -15,9%). In crescita, invece, gli </w:t>
      </w:r>
      <w:r>
        <w:rPr>
          <w:rFonts w:ascii="Calibri" w:hAnsi="Calibri" w:cs="Calibri"/>
          <w:b/>
          <w:i/>
          <w:iCs/>
        </w:rPr>
        <w:t>articoli di coltelleria, utensili e oggetti di ferramenta</w:t>
      </w:r>
      <w:r>
        <w:rPr>
          <w:rFonts w:ascii="Calibri" w:hAnsi="Calibri" w:cs="Calibri"/>
          <w:iCs/>
        </w:rPr>
        <w:t>, saliti a 33,3 milioni di euro (+7,1%).</w:t>
      </w:r>
    </w:p>
    <w:p w14:paraId="10418DC8" w14:textId="77777777" w:rsidR="00B1608A" w:rsidRPr="00D54505" w:rsidRDefault="00B1608A" w:rsidP="00B1608A">
      <w:pPr>
        <w:rPr>
          <w:rFonts w:ascii="Calibri" w:hAnsi="Calibri"/>
          <w:b/>
          <w:szCs w:val="22"/>
        </w:rPr>
      </w:pPr>
      <w:r w:rsidRPr="00D54505">
        <w:rPr>
          <w:rFonts w:ascii="Calibri" w:hAnsi="Calibri"/>
          <w:b/>
          <w:szCs w:val="22"/>
        </w:rPr>
        <w:t>I mercati di destinazione</w:t>
      </w:r>
    </w:p>
    <w:p w14:paraId="3DE8D985" w14:textId="77777777" w:rsidR="00B1608A" w:rsidRDefault="00B1608A" w:rsidP="00013496">
      <w:pPr>
        <w:jc w:val="both"/>
        <w:rPr>
          <w:rFonts w:ascii="Calibri" w:hAnsi="Calibri" w:cs="Calibri"/>
          <w:iCs/>
        </w:rPr>
      </w:pPr>
      <w:r w:rsidRPr="00D54505">
        <w:rPr>
          <w:rFonts w:ascii="Calibri" w:hAnsi="Calibri" w:cs="Calibri"/>
          <w:iCs/>
        </w:rPr>
        <w:t>La Francia si conferma la prima destinazione dei prodotti lucchesi e ha rafforzato la propria posizione, concentrando il 15,6% dell’export provinciale con 422,5 milioni di euro, in crescita del 7,2%. A trainare sono state le navi (+23,2 milioni) e le apparecchiature di cablaggio (+19,5 milioni), che hanno più che compensato la flessione degli articoli di carta e delle macchine per impieghi speciali. Gli Stati Uniti si mantengono al secondo posto con 286,5 milioni (+5,5%): qui il balzo del farmaceutico, cresciuto di 62,5 milioni, ha assorbito il forte calo degli oli e grassi. Terza la Germania, in lieve arretramento a 232,7 milioni (-3,2%), penalizzata soprattutto dall’andamento del cartario e degli oli e grassi.</w:t>
      </w:r>
    </w:p>
    <w:p w14:paraId="2CA0B0C6" w14:textId="77777777" w:rsidR="00013496" w:rsidRDefault="00013496" w:rsidP="00013496">
      <w:pPr>
        <w:jc w:val="both"/>
        <w:rPr>
          <w:rFonts w:ascii="Calibri" w:hAnsi="Calibri" w:cs="Calibri"/>
          <w:iCs/>
        </w:rPr>
      </w:pPr>
      <w:r>
        <w:rPr>
          <w:rFonts w:ascii="Calibri" w:hAnsi="Calibri" w:cs="Calibri"/>
          <w:iCs/>
        </w:rPr>
        <w:t>Il Regno Unito, che un anno fa era in forte espansione, ha perso il 23,2% scendendo a 202,7 milioni di euro e alla quarta posizione, quasi interamente per effetto della cantieristica. Seguono le Isole Cayman (109,4 milioni, -9%) e la Spagna (97,4 milioni, -13,2%), mentre Malta è salita a 88,3 milioni (+44,3%) e la Svizzera a 82,1 milioni (+14,3%). Come sempre gli andamenti di Cayman, Malta e Isole Marshall (74,2 milioni, -25,5%) riflettono i tempi di consegna e fatturazione dei natanti più che tendenze di mercato. In calo la Polonia (67,4 milioni, -21,1%) per effetto della pasta-carta, il Belgio (66,8 milioni, -10,3%), i Paesi Bassi (62,1 milioni, -9,8%) e soprattutto l’Austria (36 milioni, -35,9%). In forte crescita, infine, la Turchia (59,6 milioni, +47,2%), trainata dalla farmaceutica.</w:t>
      </w:r>
    </w:p>
    <w:p w14:paraId="2DC9AA8D" w14:textId="7424F6A9" w:rsidR="00013496" w:rsidRDefault="00013496" w:rsidP="00013496">
      <w:pPr>
        <w:spacing w:after="240"/>
        <w:jc w:val="both"/>
        <w:rPr>
          <w:rFonts w:ascii="Calibri" w:hAnsi="Calibri" w:cs="Calibri"/>
          <w:iCs/>
        </w:rPr>
      </w:pPr>
      <w:r>
        <w:rPr>
          <w:rFonts w:ascii="Calibri" w:hAnsi="Calibri" w:cs="Calibri"/>
          <w:iCs/>
        </w:rPr>
        <w:t xml:space="preserve">Sul piano delle aree geografiche, l’Unione europea assorbe poco meno della metà dell’export provinciale (49,1%, pari a 1.333 milioni di euro) e ha registrato una flessione contenuta (-1,5%), mentre i </w:t>
      </w:r>
      <w:r w:rsidRPr="0077050B">
        <w:rPr>
          <w:rFonts w:ascii="Calibri" w:hAnsi="Calibri" w:cs="Calibri"/>
          <w:iCs/>
        </w:rPr>
        <w:t xml:space="preserve">paesi europei non Ue hanno perso il 7,1%. È cresciuta invece </w:t>
      </w:r>
      <w:r w:rsidRPr="0077050B">
        <w:rPr>
          <w:rFonts w:ascii="Calibri" w:hAnsi="Calibri" w:cs="Calibri"/>
          <w:iCs/>
        </w:rPr>
        <w:lastRenderedPageBreak/>
        <w:t>l’America settentrionale (316,4 milioni, +7,4%), che rappresenta l’11,7% del totale, mentre l’America centro-meridionale ha tenuto (+3,1%). In forte calo l’Asia (-22,4%),</w:t>
      </w:r>
      <w:r w:rsidR="00AD3A06" w:rsidRPr="0077050B">
        <w:rPr>
          <w:rFonts w:ascii="Calibri" w:hAnsi="Calibri" w:cs="Calibri"/>
          <w:iCs/>
        </w:rPr>
        <w:t xml:space="preserve"> anche per la diminuzione del Medio Oriente (-30%)</w:t>
      </w:r>
      <w:r w:rsidR="00425BDA" w:rsidRPr="0077050B">
        <w:rPr>
          <w:rFonts w:ascii="Calibri" w:hAnsi="Calibri" w:cs="Calibri"/>
          <w:iCs/>
        </w:rPr>
        <w:t xml:space="preserve"> </w:t>
      </w:r>
      <w:r w:rsidR="005D5698" w:rsidRPr="0077050B">
        <w:rPr>
          <w:rFonts w:ascii="Calibri" w:hAnsi="Calibri" w:cs="Calibri"/>
          <w:iCs/>
        </w:rPr>
        <w:t>dovut</w:t>
      </w:r>
      <w:r w:rsidR="00CE67CF" w:rsidRPr="0077050B">
        <w:rPr>
          <w:rFonts w:ascii="Calibri" w:hAnsi="Calibri" w:cs="Calibri"/>
          <w:iCs/>
        </w:rPr>
        <w:t>a</w:t>
      </w:r>
      <w:r w:rsidR="005D5698" w:rsidRPr="0077050B">
        <w:rPr>
          <w:rFonts w:ascii="Calibri" w:hAnsi="Calibri" w:cs="Calibri"/>
          <w:iCs/>
        </w:rPr>
        <w:t xml:space="preserve"> quasi interamente alle minori consegne della</w:t>
      </w:r>
      <w:r w:rsidR="00425BDA" w:rsidRPr="0077050B">
        <w:rPr>
          <w:rFonts w:ascii="Calibri" w:hAnsi="Calibri" w:cs="Calibri"/>
          <w:iCs/>
        </w:rPr>
        <w:t xml:space="preserve"> cantieristica. L</w:t>
      </w:r>
      <w:r w:rsidRPr="0077050B">
        <w:rPr>
          <w:rFonts w:ascii="Calibri" w:hAnsi="Calibri" w:cs="Calibri"/>
          <w:iCs/>
        </w:rPr>
        <w:t>’Africa, su valori più contenuti, è avanzata del 38,5%.</w:t>
      </w:r>
    </w:p>
    <w:tbl>
      <w:tblPr>
        <w:tblW w:w="8855" w:type="dxa"/>
        <w:tblLayout w:type="fixed"/>
        <w:tblCellMar>
          <w:left w:w="0" w:type="dxa"/>
          <w:right w:w="0" w:type="dxa"/>
        </w:tblCellMar>
        <w:tblLook w:val="04A0" w:firstRow="1" w:lastRow="0" w:firstColumn="1" w:lastColumn="0" w:noHBand="0" w:noVBand="1"/>
      </w:tblPr>
      <w:tblGrid>
        <w:gridCol w:w="2005"/>
        <w:gridCol w:w="1538"/>
        <w:gridCol w:w="1700"/>
        <w:gridCol w:w="1278"/>
        <w:gridCol w:w="1134"/>
        <w:gridCol w:w="989"/>
        <w:gridCol w:w="145"/>
        <w:gridCol w:w="66"/>
      </w:tblGrid>
      <w:tr w:rsidR="00B1608A" w:rsidRPr="001B5F8B" w14:paraId="4185A743" w14:textId="77777777" w:rsidTr="004F1CBC">
        <w:trPr>
          <w:trHeight w:val="255"/>
        </w:trPr>
        <w:tc>
          <w:tcPr>
            <w:tcW w:w="8855" w:type="dxa"/>
            <w:gridSpan w:val="8"/>
            <w:tcBorders>
              <w:top w:val="nil"/>
              <w:left w:val="nil"/>
              <w:bottom w:val="nil"/>
              <w:right w:val="nil"/>
            </w:tcBorders>
            <w:noWrap/>
            <w:tcMar>
              <w:top w:w="15" w:type="dxa"/>
              <w:left w:w="15" w:type="dxa"/>
              <w:bottom w:w="0" w:type="dxa"/>
              <w:right w:w="15" w:type="dxa"/>
            </w:tcMar>
            <w:vAlign w:val="center"/>
            <w:hideMark/>
          </w:tcPr>
          <w:p w14:paraId="728DB5D5" w14:textId="77777777" w:rsidR="00B1608A" w:rsidRPr="001B5F8B" w:rsidRDefault="00B1608A" w:rsidP="004F1CBC">
            <w:pPr>
              <w:rPr>
                <w:rFonts w:asciiTheme="minorHAnsi" w:hAnsiTheme="minorHAnsi" w:cstheme="minorHAnsi"/>
                <w:b/>
                <w:bCs/>
                <w:sz w:val="20"/>
                <w:szCs w:val="20"/>
              </w:rPr>
            </w:pPr>
            <w:r w:rsidRPr="001B5F8B">
              <w:rPr>
                <w:rFonts w:asciiTheme="minorHAnsi" w:hAnsiTheme="minorHAnsi" w:cstheme="minorHAnsi"/>
                <w:b/>
                <w:bCs/>
                <w:sz w:val="20"/>
                <w:szCs w:val="20"/>
              </w:rPr>
              <w:t>I principali paesi di destinazione delle esportazioni della provincia di Lucca - I semestre 2026</w:t>
            </w:r>
          </w:p>
        </w:tc>
      </w:tr>
      <w:tr w:rsidR="00B1608A" w:rsidRPr="001B5F8B" w14:paraId="3EC39897" w14:textId="77777777" w:rsidTr="004F1CBC">
        <w:trPr>
          <w:gridAfter w:val="1"/>
          <w:wAfter w:w="66" w:type="dxa"/>
          <w:trHeight w:val="255"/>
        </w:trPr>
        <w:tc>
          <w:tcPr>
            <w:tcW w:w="5243" w:type="dxa"/>
            <w:gridSpan w:val="3"/>
            <w:tcBorders>
              <w:top w:val="nil"/>
              <w:left w:val="nil"/>
              <w:bottom w:val="nil"/>
              <w:right w:val="nil"/>
            </w:tcBorders>
            <w:noWrap/>
            <w:tcMar>
              <w:top w:w="15" w:type="dxa"/>
              <w:left w:w="15" w:type="dxa"/>
              <w:bottom w:w="0" w:type="dxa"/>
              <w:right w:w="15" w:type="dxa"/>
            </w:tcMar>
            <w:vAlign w:val="center"/>
            <w:hideMark/>
          </w:tcPr>
          <w:p w14:paraId="3F6E8AFC" w14:textId="77777777" w:rsidR="00B1608A" w:rsidRPr="001B5F8B" w:rsidRDefault="00B1608A" w:rsidP="004F1CBC">
            <w:pP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Valori assoluti in euro, var. % e contributi % alla crescita </w:t>
            </w:r>
          </w:p>
        </w:tc>
        <w:tc>
          <w:tcPr>
            <w:tcW w:w="1278" w:type="dxa"/>
            <w:tcBorders>
              <w:top w:val="nil"/>
              <w:left w:val="nil"/>
              <w:bottom w:val="nil"/>
              <w:right w:val="nil"/>
            </w:tcBorders>
            <w:noWrap/>
            <w:tcMar>
              <w:top w:w="15" w:type="dxa"/>
              <w:left w:w="15" w:type="dxa"/>
              <w:bottom w:w="0" w:type="dxa"/>
              <w:right w:w="15" w:type="dxa"/>
            </w:tcMar>
            <w:vAlign w:val="center"/>
            <w:hideMark/>
          </w:tcPr>
          <w:p w14:paraId="0ED6B0A1" w14:textId="77777777" w:rsidR="00B1608A" w:rsidRPr="001B5F8B" w:rsidRDefault="00B1608A" w:rsidP="004F1CBC">
            <w:pPr>
              <w:rPr>
                <w:rFonts w:asciiTheme="minorHAnsi" w:hAnsiTheme="minorHAnsi" w:cstheme="minorHAnsi"/>
                <w:i/>
                <w:iCs/>
                <w:color w:val="000000"/>
                <w:sz w:val="20"/>
                <w:szCs w:val="20"/>
              </w:rPr>
            </w:pPr>
          </w:p>
        </w:tc>
        <w:tc>
          <w:tcPr>
            <w:tcW w:w="1134" w:type="dxa"/>
            <w:tcBorders>
              <w:top w:val="nil"/>
              <w:left w:val="nil"/>
              <w:bottom w:val="nil"/>
              <w:right w:val="nil"/>
            </w:tcBorders>
            <w:noWrap/>
            <w:tcMar>
              <w:top w:w="15" w:type="dxa"/>
              <w:left w:w="15" w:type="dxa"/>
              <w:bottom w:w="0" w:type="dxa"/>
              <w:right w:w="15" w:type="dxa"/>
            </w:tcMar>
            <w:vAlign w:val="center"/>
            <w:hideMark/>
          </w:tcPr>
          <w:p w14:paraId="5D42C41D" w14:textId="77777777" w:rsidR="00B1608A" w:rsidRPr="001B5F8B" w:rsidRDefault="00B1608A" w:rsidP="004F1CBC">
            <w:pPr>
              <w:rPr>
                <w:rFonts w:asciiTheme="minorHAnsi" w:hAnsiTheme="minorHAnsi" w:cstheme="minorHAnsi"/>
                <w:sz w:val="20"/>
                <w:szCs w:val="20"/>
              </w:rPr>
            </w:pP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656A6C24" w14:textId="77777777" w:rsidR="00B1608A" w:rsidRPr="001B5F8B" w:rsidRDefault="00B1608A" w:rsidP="004F1CBC">
            <w:pPr>
              <w:rPr>
                <w:rFonts w:asciiTheme="minorHAnsi" w:hAnsiTheme="minorHAnsi" w:cstheme="minorHAnsi"/>
                <w:sz w:val="20"/>
                <w:szCs w:val="20"/>
              </w:rPr>
            </w:pPr>
          </w:p>
        </w:tc>
      </w:tr>
      <w:tr w:rsidR="00B1608A" w:rsidRPr="001B5F8B" w14:paraId="28458690" w14:textId="77777777" w:rsidTr="004F1CBC">
        <w:trPr>
          <w:gridAfter w:val="1"/>
          <w:wAfter w:w="66" w:type="dxa"/>
          <w:trHeight w:val="255"/>
        </w:trPr>
        <w:tc>
          <w:tcPr>
            <w:tcW w:w="2005" w:type="dxa"/>
            <w:vMerge w:val="restart"/>
            <w:tcBorders>
              <w:top w:val="single" w:sz="4" w:space="0" w:color="auto"/>
              <w:left w:val="nil"/>
              <w:bottom w:val="single" w:sz="4" w:space="0" w:color="000000"/>
              <w:right w:val="nil"/>
            </w:tcBorders>
            <w:noWrap/>
            <w:tcMar>
              <w:top w:w="15" w:type="dxa"/>
              <w:left w:w="15" w:type="dxa"/>
              <w:bottom w:w="0" w:type="dxa"/>
              <w:right w:w="15" w:type="dxa"/>
            </w:tcMar>
            <w:vAlign w:val="center"/>
            <w:hideMark/>
          </w:tcPr>
          <w:p w14:paraId="70C1A7D4" w14:textId="77777777" w:rsidR="00B1608A" w:rsidRPr="001B5F8B" w:rsidRDefault="00B1608A" w:rsidP="004F1CBC">
            <w:pPr>
              <w:rPr>
                <w:rFonts w:asciiTheme="minorHAnsi" w:hAnsiTheme="minorHAnsi" w:cstheme="minorHAnsi"/>
                <w:b/>
                <w:bCs/>
                <w:color w:val="000000"/>
                <w:sz w:val="20"/>
                <w:szCs w:val="20"/>
              </w:rPr>
            </w:pPr>
            <w:r w:rsidRPr="001B5F8B">
              <w:rPr>
                <w:rFonts w:asciiTheme="minorHAnsi" w:hAnsiTheme="minorHAnsi" w:cstheme="minorHAnsi"/>
                <w:b/>
                <w:bCs/>
                <w:color w:val="000000"/>
                <w:sz w:val="20"/>
                <w:szCs w:val="20"/>
              </w:rPr>
              <w:t>Paesi di destinazione</w:t>
            </w:r>
          </w:p>
        </w:tc>
        <w:tc>
          <w:tcPr>
            <w:tcW w:w="3238" w:type="dxa"/>
            <w:gridSpan w:val="2"/>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50505B16" w14:textId="77777777" w:rsidR="00B1608A" w:rsidRPr="001B5F8B" w:rsidRDefault="00B1608A" w:rsidP="004F1CBC">
            <w:pPr>
              <w:jc w:val="center"/>
              <w:rPr>
                <w:rFonts w:asciiTheme="minorHAnsi" w:hAnsiTheme="minorHAnsi" w:cstheme="minorHAnsi"/>
                <w:b/>
                <w:bCs/>
                <w:color w:val="000000"/>
                <w:sz w:val="20"/>
                <w:szCs w:val="20"/>
              </w:rPr>
            </w:pPr>
            <w:r w:rsidRPr="001B5F8B">
              <w:rPr>
                <w:rFonts w:asciiTheme="minorHAnsi" w:hAnsiTheme="minorHAnsi" w:cstheme="minorHAnsi"/>
                <w:b/>
                <w:bCs/>
                <w:color w:val="000000"/>
                <w:sz w:val="20"/>
                <w:szCs w:val="20"/>
              </w:rPr>
              <w:t>Valori assoluti in euro</w:t>
            </w:r>
          </w:p>
        </w:tc>
        <w:tc>
          <w:tcPr>
            <w:tcW w:w="1278" w:type="dxa"/>
            <w:vMerge w:val="restart"/>
            <w:tcBorders>
              <w:top w:val="single" w:sz="4" w:space="0" w:color="auto"/>
              <w:left w:val="nil"/>
              <w:right w:val="nil"/>
            </w:tcBorders>
            <w:noWrap/>
            <w:tcMar>
              <w:top w:w="15" w:type="dxa"/>
              <w:left w:w="15" w:type="dxa"/>
              <w:bottom w:w="0" w:type="dxa"/>
              <w:right w:w="15" w:type="dxa"/>
            </w:tcMar>
            <w:vAlign w:val="center"/>
            <w:hideMark/>
          </w:tcPr>
          <w:p w14:paraId="35C34A90" w14:textId="77777777" w:rsidR="00B1608A" w:rsidRPr="001B5F8B" w:rsidRDefault="00B1608A" w:rsidP="004F1CBC">
            <w:pPr>
              <w:jc w:val="center"/>
              <w:rPr>
                <w:rFonts w:asciiTheme="minorHAnsi" w:hAnsiTheme="minorHAnsi" w:cstheme="minorHAnsi"/>
                <w:b/>
                <w:bCs/>
                <w:color w:val="000000"/>
                <w:sz w:val="20"/>
                <w:szCs w:val="20"/>
              </w:rPr>
            </w:pPr>
            <w:r w:rsidRPr="001B5F8B">
              <w:rPr>
                <w:rFonts w:asciiTheme="minorHAnsi" w:hAnsiTheme="minorHAnsi" w:cstheme="minorHAnsi"/>
                <w:b/>
                <w:bCs/>
                <w:color w:val="000000"/>
                <w:sz w:val="20"/>
                <w:szCs w:val="20"/>
              </w:rPr>
              <w:t>Quota %</w:t>
            </w:r>
          </w:p>
        </w:tc>
        <w:tc>
          <w:tcPr>
            <w:tcW w:w="1134" w:type="dxa"/>
            <w:vMerge w:val="restart"/>
            <w:tcBorders>
              <w:top w:val="single" w:sz="4" w:space="0" w:color="auto"/>
              <w:left w:val="nil"/>
              <w:right w:val="nil"/>
            </w:tcBorders>
            <w:noWrap/>
            <w:tcMar>
              <w:top w:w="15" w:type="dxa"/>
              <w:left w:w="15" w:type="dxa"/>
              <w:bottom w:w="0" w:type="dxa"/>
              <w:right w:w="15" w:type="dxa"/>
            </w:tcMar>
            <w:vAlign w:val="center"/>
            <w:hideMark/>
          </w:tcPr>
          <w:p w14:paraId="20103B8C" w14:textId="77777777" w:rsidR="00B1608A" w:rsidRPr="001B5F8B" w:rsidRDefault="00B1608A" w:rsidP="004F1CBC">
            <w:pPr>
              <w:jc w:val="center"/>
              <w:rPr>
                <w:rFonts w:asciiTheme="minorHAnsi" w:hAnsiTheme="minorHAnsi" w:cstheme="minorHAnsi"/>
                <w:b/>
                <w:bCs/>
                <w:color w:val="000000"/>
                <w:sz w:val="20"/>
                <w:szCs w:val="20"/>
              </w:rPr>
            </w:pPr>
            <w:r w:rsidRPr="001B5F8B">
              <w:rPr>
                <w:rFonts w:asciiTheme="minorHAnsi" w:hAnsiTheme="minorHAnsi" w:cstheme="minorHAnsi"/>
                <w:b/>
                <w:bCs/>
                <w:color w:val="000000"/>
                <w:sz w:val="20"/>
                <w:szCs w:val="20"/>
              </w:rPr>
              <w:t>Var. %</w:t>
            </w:r>
          </w:p>
        </w:tc>
        <w:tc>
          <w:tcPr>
            <w:tcW w:w="1134" w:type="dxa"/>
            <w:gridSpan w:val="2"/>
            <w:vMerge w:val="restart"/>
            <w:tcBorders>
              <w:top w:val="single" w:sz="4" w:space="0" w:color="auto"/>
              <w:left w:val="nil"/>
              <w:right w:val="nil"/>
            </w:tcBorders>
            <w:tcMar>
              <w:top w:w="15" w:type="dxa"/>
              <w:left w:w="15" w:type="dxa"/>
              <w:bottom w:w="0" w:type="dxa"/>
              <w:right w:w="15" w:type="dxa"/>
            </w:tcMar>
            <w:vAlign w:val="center"/>
            <w:hideMark/>
          </w:tcPr>
          <w:p w14:paraId="29C93D68" w14:textId="77777777" w:rsidR="00B1608A" w:rsidRPr="001B5F8B" w:rsidRDefault="00B1608A" w:rsidP="004F1CBC">
            <w:pPr>
              <w:jc w:val="center"/>
              <w:rPr>
                <w:rFonts w:asciiTheme="minorHAnsi" w:hAnsiTheme="minorHAnsi" w:cstheme="minorHAnsi"/>
                <w:b/>
                <w:bCs/>
                <w:color w:val="000000"/>
                <w:sz w:val="20"/>
                <w:szCs w:val="20"/>
              </w:rPr>
            </w:pPr>
            <w:r w:rsidRPr="001B5F8B">
              <w:rPr>
                <w:rFonts w:asciiTheme="minorHAnsi" w:hAnsiTheme="minorHAnsi" w:cstheme="minorHAnsi"/>
                <w:b/>
                <w:bCs/>
                <w:color w:val="000000"/>
                <w:sz w:val="20"/>
                <w:szCs w:val="20"/>
              </w:rPr>
              <w:t>Contributo %</w:t>
            </w:r>
          </w:p>
        </w:tc>
      </w:tr>
      <w:tr w:rsidR="00B1608A" w:rsidRPr="001B5F8B" w14:paraId="41C9492F" w14:textId="77777777" w:rsidTr="004F1CBC">
        <w:trPr>
          <w:gridAfter w:val="1"/>
          <w:wAfter w:w="66" w:type="dxa"/>
          <w:trHeight w:val="255"/>
        </w:trPr>
        <w:tc>
          <w:tcPr>
            <w:tcW w:w="2005" w:type="dxa"/>
            <w:vMerge/>
            <w:tcBorders>
              <w:top w:val="single" w:sz="4" w:space="0" w:color="auto"/>
              <w:left w:val="nil"/>
              <w:bottom w:val="single" w:sz="4" w:space="0" w:color="000000"/>
              <w:right w:val="nil"/>
            </w:tcBorders>
            <w:vAlign w:val="center"/>
            <w:hideMark/>
          </w:tcPr>
          <w:p w14:paraId="0E481C9B" w14:textId="77777777" w:rsidR="00B1608A" w:rsidRPr="001B5F8B" w:rsidRDefault="00B1608A" w:rsidP="004F1CBC">
            <w:pPr>
              <w:rPr>
                <w:rFonts w:asciiTheme="minorHAnsi" w:hAnsiTheme="minorHAnsi" w:cstheme="minorHAnsi"/>
                <w:b/>
                <w:bCs/>
                <w:color w:val="000000"/>
                <w:sz w:val="20"/>
                <w:szCs w:val="20"/>
              </w:rPr>
            </w:pPr>
          </w:p>
        </w:tc>
        <w:tc>
          <w:tcPr>
            <w:tcW w:w="1538" w:type="dxa"/>
            <w:tcBorders>
              <w:top w:val="nil"/>
              <w:left w:val="nil"/>
              <w:bottom w:val="single" w:sz="4" w:space="0" w:color="auto"/>
              <w:right w:val="nil"/>
            </w:tcBorders>
            <w:noWrap/>
            <w:tcMar>
              <w:top w:w="15" w:type="dxa"/>
              <w:left w:w="15" w:type="dxa"/>
              <w:bottom w:w="0" w:type="dxa"/>
              <w:right w:w="15" w:type="dxa"/>
            </w:tcMar>
            <w:vAlign w:val="center"/>
            <w:hideMark/>
          </w:tcPr>
          <w:p w14:paraId="7F7E150F" w14:textId="77777777" w:rsidR="00B1608A" w:rsidRPr="001B5F8B" w:rsidRDefault="00B1608A" w:rsidP="004F1CBC">
            <w:pPr>
              <w:jc w:val="center"/>
              <w:rPr>
                <w:rFonts w:asciiTheme="minorHAnsi" w:hAnsiTheme="minorHAnsi" w:cstheme="minorHAnsi"/>
                <w:b/>
                <w:bCs/>
                <w:color w:val="000000"/>
                <w:sz w:val="20"/>
                <w:szCs w:val="20"/>
              </w:rPr>
            </w:pPr>
            <w:r w:rsidRPr="001B5F8B">
              <w:rPr>
                <w:rFonts w:asciiTheme="minorHAnsi" w:hAnsiTheme="minorHAnsi" w:cstheme="minorHAnsi"/>
                <w:b/>
                <w:bCs/>
                <w:color w:val="000000"/>
                <w:sz w:val="20"/>
                <w:szCs w:val="20"/>
              </w:rPr>
              <w:t xml:space="preserve">I </w:t>
            </w:r>
            <w:proofErr w:type="spellStart"/>
            <w:r w:rsidRPr="001B5F8B">
              <w:rPr>
                <w:rFonts w:asciiTheme="minorHAnsi" w:hAnsiTheme="minorHAnsi" w:cstheme="minorHAnsi"/>
                <w:b/>
                <w:bCs/>
                <w:color w:val="000000"/>
                <w:sz w:val="20"/>
                <w:szCs w:val="20"/>
              </w:rPr>
              <w:t>sem</w:t>
            </w:r>
            <w:proofErr w:type="spellEnd"/>
            <w:r>
              <w:rPr>
                <w:rFonts w:asciiTheme="minorHAnsi" w:hAnsiTheme="minorHAnsi" w:cstheme="minorHAnsi"/>
                <w:b/>
                <w:bCs/>
                <w:color w:val="000000"/>
                <w:sz w:val="20"/>
                <w:szCs w:val="20"/>
              </w:rPr>
              <w:t>.</w:t>
            </w:r>
            <w:r w:rsidRPr="001B5F8B">
              <w:rPr>
                <w:rFonts w:asciiTheme="minorHAnsi" w:hAnsiTheme="minorHAnsi" w:cstheme="minorHAnsi"/>
                <w:b/>
                <w:bCs/>
                <w:color w:val="000000"/>
                <w:sz w:val="20"/>
                <w:szCs w:val="20"/>
              </w:rPr>
              <w:t xml:space="preserve"> 2025</w:t>
            </w:r>
          </w:p>
        </w:tc>
        <w:tc>
          <w:tcPr>
            <w:tcW w:w="1700" w:type="dxa"/>
            <w:tcBorders>
              <w:top w:val="nil"/>
              <w:left w:val="nil"/>
              <w:bottom w:val="single" w:sz="4" w:space="0" w:color="auto"/>
              <w:right w:val="nil"/>
            </w:tcBorders>
            <w:noWrap/>
            <w:tcMar>
              <w:top w:w="15" w:type="dxa"/>
              <w:left w:w="15" w:type="dxa"/>
              <w:bottom w:w="0" w:type="dxa"/>
              <w:right w:w="15" w:type="dxa"/>
            </w:tcMar>
            <w:vAlign w:val="center"/>
            <w:hideMark/>
          </w:tcPr>
          <w:p w14:paraId="22FAEDD7" w14:textId="77777777" w:rsidR="00B1608A" w:rsidRPr="001B5F8B" w:rsidRDefault="00B1608A" w:rsidP="004F1CBC">
            <w:pPr>
              <w:jc w:val="center"/>
              <w:rPr>
                <w:rFonts w:asciiTheme="minorHAnsi" w:hAnsiTheme="minorHAnsi" w:cstheme="minorHAnsi"/>
                <w:b/>
                <w:bCs/>
                <w:color w:val="000000"/>
                <w:sz w:val="20"/>
                <w:szCs w:val="20"/>
              </w:rPr>
            </w:pPr>
            <w:r w:rsidRPr="001B5F8B">
              <w:rPr>
                <w:rFonts w:asciiTheme="minorHAnsi" w:hAnsiTheme="minorHAnsi" w:cstheme="minorHAnsi"/>
                <w:b/>
                <w:bCs/>
                <w:color w:val="000000"/>
                <w:sz w:val="20"/>
                <w:szCs w:val="20"/>
              </w:rPr>
              <w:t xml:space="preserve">I </w:t>
            </w:r>
            <w:proofErr w:type="spellStart"/>
            <w:r w:rsidRPr="001B5F8B">
              <w:rPr>
                <w:rFonts w:asciiTheme="minorHAnsi" w:hAnsiTheme="minorHAnsi" w:cstheme="minorHAnsi"/>
                <w:b/>
                <w:bCs/>
                <w:color w:val="000000"/>
                <w:sz w:val="20"/>
                <w:szCs w:val="20"/>
              </w:rPr>
              <w:t>sem</w:t>
            </w:r>
            <w:proofErr w:type="spellEnd"/>
            <w:r>
              <w:rPr>
                <w:rFonts w:asciiTheme="minorHAnsi" w:hAnsiTheme="minorHAnsi" w:cstheme="minorHAnsi"/>
                <w:b/>
                <w:bCs/>
                <w:color w:val="000000"/>
                <w:sz w:val="20"/>
                <w:szCs w:val="20"/>
              </w:rPr>
              <w:t>.</w:t>
            </w:r>
            <w:r w:rsidRPr="001B5F8B">
              <w:rPr>
                <w:rFonts w:asciiTheme="minorHAnsi" w:hAnsiTheme="minorHAnsi" w:cstheme="minorHAnsi"/>
                <w:b/>
                <w:bCs/>
                <w:color w:val="000000"/>
                <w:sz w:val="20"/>
                <w:szCs w:val="20"/>
              </w:rPr>
              <w:t xml:space="preserve"> 2026</w:t>
            </w:r>
          </w:p>
        </w:tc>
        <w:tc>
          <w:tcPr>
            <w:tcW w:w="1278" w:type="dxa"/>
            <w:vMerge/>
            <w:tcBorders>
              <w:left w:val="nil"/>
              <w:bottom w:val="single" w:sz="4" w:space="0" w:color="000000"/>
              <w:right w:val="nil"/>
            </w:tcBorders>
            <w:vAlign w:val="center"/>
            <w:hideMark/>
          </w:tcPr>
          <w:p w14:paraId="0F8321A8" w14:textId="77777777" w:rsidR="00B1608A" w:rsidRPr="001B5F8B" w:rsidRDefault="00B1608A" w:rsidP="004F1CBC">
            <w:pPr>
              <w:jc w:val="center"/>
              <w:rPr>
                <w:rFonts w:asciiTheme="minorHAnsi" w:hAnsiTheme="minorHAnsi" w:cstheme="minorHAnsi"/>
                <w:b/>
                <w:bCs/>
                <w:color w:val="000000"/>
                <w:sz w:val="20"/>
                <w:szCs w:val="20"/>
              </w:rPr>
            </w:pPr>
          </w:p>
        </w:tc>
        <w:tc>
          <w:tcPr>
            <w:tcW w:w="1134" w:type="dxa"/>
            <w:vMerge/>
            <w:tcBorders>
              <w:left w:val="nil"/>
              <w:bottom w:val="single" w:sz="4" w:space="0" w:color="000000"/>
              <w:right w:val="nil"/>
            </w:tcBorders>
            <w:vAlign w:val="center"/>
            <w:hideMark/>
          </w:tcPr>
          <w:p w14:paraId="34AEE7A0" w14:textId="77777777" w:rsidR="00B1608A" w:rsidRPr="001B5F8B" w:rsidRDefault="00B1608A" w:rsidP="004F1CBC">
            <w:pPr>
              <w:jc w:val="center"/>
              <w:rPr>
                <w:rFonts w:asciiTheme="minorHAnsi" w:hAnsiTheme="minorHAnsi" w:cstheme="minorHAnsi"/>
                <w:b/>
                <w:bCs/>
                <w:color w:val="000000"/>
                <w:sz w:val="20"/>
                <w:szCs w:val="20"/>
              </w:rPr>
            </w:pPr>
          </w:p>
        </w:tc>
        <w:tc>
          <w:tcPr>
            <w:tcW w:w="1134" w:type="dxa"/>
            <w:gridSpan w:val="2"/>
            <w:vMerge/>
            <w:tcBorders>
              <w:left w:val="nil"/>
              <w:bottom w:val="single" w:sz="4" w:space="0" w:color="000000"/>
              <w:right w:val="nil"/>
            </w:tcBorders>
            <w:vAlign w:val="center"/>
            <w:hideMark/>
          </w:tcPr>
          <w:p w14:paraId="34F8A471" w14:textId="77777777" w:rsidR="00B1608A" w:rsidRPr="001B5F8B" w:rsidRDefault="00B1608A" w:rsidP="004F1CBC">
            <w:pPr>
              <w:jc w:val="center"/>
              <w:rPr>
                <w:rFonts w:asciiTheme="minorHAnsi" w:hAnsiTheme="minorHAnsi" w:cstheme="minorHAnsi"/>
                <w:b/>
                <w:bCs/>
                <w:color w:val="000000"/>
                <w:sz w:val="20"/>
                <w:szCs w:val="20"/>
              </w:rPr>
            </w:pPr>
          </w:p>
        </w:tc>
      </w:tr>
      <w:tr w:rsidR="00B1608A" w:rsidRPr="001B5F8B" w14:paraId="3C076134"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62096A83"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Francia</w:t>
            </w:r>
          </w:p>
        </w:tc>
        <w:tc>
          <w:tcPr>
            <w:tcW w:w="1538" w:type="dxa"/>
            <w:tcBorders>
              <w:top w:val="nil"/>
              <w:left w:val="nil"/>
              <w:bottom w:val="nil"/>
              <w:right w:val="nil"/>
            </w:tcBorders>
            <w:noWrap/>
            <w:tcMar>
              <w:top w:w="15" w:type="dxa"/>
              <w:left w:w="15" w:type="dxa"/>
              <w:bottom w:w="0" w:type="dxa"/>
              <w:right w:w="15" w:type="dxa"/>
            </w:tcMar>
            <w:vAlign w:val="center"/>
            <w:hideMark/>
          </w:tcPr>
          <w:p w14:paraId="1E4806A6"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394.177.870</w:t>
            </w:r>
          </w:p>
        </w:tc>
        <w:tc>
          <w:tcPr>
            <w:tcW w:w="1700" w:type="dxa"/>
            <w:tcBorders>
              <w:top w:val="nil"/>
              <w:left w:val="nil"/>
              <w:bottom w:val="nil"/>
              <w:right w:val="nil"/>
            </w:tcBorders>
            <w:noWrap/>
            <w:tcMar>
              <w:top w:w="15" w:type="dxa"/>
              <w:left w:w="15" w:type="dxa"/>
              <w:bottom w:w="0" w:type="dxa"/>
              <w:right w:w="15" w:type="dxa"/>
            </w:tcMar>
            <w:vAlign w:val="center"/>
            <w:hideMark/>
          </w:tcPr>
          <w:p w14:paraId="4C33C6BA"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422.457.054</w:t>
            </w:r>
          </w:p>
        </w:tc>
        <w:tc>
          <w:tcPr>
            <w:tcW w:w="1278" w:type="dxa"/>
            <w:tcBorders>
              <w:top w:val="nil"/>
              <w:left w:val="nil"/>
              <w:bottom w:val="nil"/>
              <w:right w:val="nil"/>
            </w:tcBorders>
            <w:noWrap/>
            <w:tcMar>
              <w:top w:w="15" w:type="dxa"/>
              <w:left w:w="15" w:type="dxa"/>
              <w:bottom w:w="0" w:type="dxa"/>
              <w:right w:w="15" w:type="dxa"/>
            </w:tcMar>
            <w:vAlign w:val="center"/>
            <w:hideMark/>
          </w:tcPr>
          <w:p w14:paraId="795B9ECA"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15,6%</w:t>
            </w:r>
          </w:p>
        </w:tc>
        <w:tc>
          <w:tcPr>
            <w:tcW w:w="1134" w:type="dxa"/>
            <w:tcBorders>
              <w:top w:val="nil"/>
              <w:left w:val="nil"/>
              <w:bottom w:val="nil"/>
              <w:right w:val="nil"/>
            </w:tcBorders>
            <w:noWrap/>
            <w:tcMar>
              <w:top w:w="15" w:type="dxa"/>
              <w:left w:w="15" w:type="dxa"/>
              <w:bottom w:w="0" w:type="dxa"/>
              <w:right w:w="15" w:type="dxa"/>
            </w:tcMar>
            <w:vAlign w:val="center"/>
            <w:hideMark/>
          </w:tcPr>
          <w:p w14:paraId="4AE7A7B0"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7,2%</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3418F1F7"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1,0%</w:t>
            </w:r>
          </w:p>
        </w:tc>
      </w:tr>
      <w:tr w:rsidR="00B1608A" w:rsidRPr="001B5F8B" w14:paraId="094BB83F"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0228E4E1"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Stati Uniti</w:t>
            </w:r>
          </w:p>
        </w:tc>
        <w:tc>
          <w:tcPr>
            <w:tcW w:w="1538" w:type="dxa"/>
            <w:tcBorders>
              <w:top w:val="nil"/>
              <w:left w:val="nil"/>
              <w:bottom w:val="nil"/>
              <w:right w:val="nil"/>
            </w:tcBorders>
            <w:noWrap/>
            <w:tcMar>
              <w:top w:w="15" w:type="dxa"/>
              <w:left w:w="15" w:type="dxa"/>
              <w:bottom w:w="0" w:type="dxa"/>
              <w:right w:w="15" w:type="dxa"/>
            </w:tcMar>
            <w:vAlign w:val="center"/>
            <w:hideMark/>
          </w:tcPr>
          <w:p w14:paraId="75E14F2C"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271.503.837</w:t>
            </w:r>
          </w:p>
        </w:tc>
        <w:tc>
          <w:tcPr>
            <w:tcW w:w="1700" w:type="dxa"/>
            <w:tcBorders>
              <w:top w:val="nil"/>
              <w:left w:val="nil"/>
              <w:bottom w:val="nil"/>
              <w:right w:val="nil"/>
            </w:tcBorders>
            <w:noWrap/>
            <w:tcMar>
              <w:top w:w="15" w:type="dxa"/>
              <w:left w:w="15" w:type="dxa"/>
              <w:bottom w:w="0" w:type="dxa"/>
              <w:right w:w="15" w:type="dxa"/>
            </w:tcMar>
            <w:vAlign w:val="center"/>
            <w:hideMark/>
          </w:tcPr>
          <w:p w14:paraId="5FA7371B"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286.470.975</w:t>
            </w:r>
          </w:p>
        </w:tc>
        <w:tc>
          <w:tcPr>
            <w:tcW w:w="1278" w:type="dxa"/>
            <w:tcBorders>
              <w:top w:val="nil"/>
              <w:left w:val="nil"/>
              <w:bottom w:val="nil"/>
              <w:right w:val="nil"/>
            </w:tcBorders>
            <w:noWrap/>
            <w:tcMar>
              <w:top w:w="15" w:type="dxa"/>
              <w:left w:w="15" w:type="dxa"/>
              <w:bottom w:w="0" w:type="dxa"/>
              <w:right w:w="15" w:type="dxa"/>
            </w:tcMar>
            <w:vAlign w:val="center"/>
            <w:hideMark/>
          </w:tcPr>
          <w:p w14:paraId="2CF9FBC6"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10,6%</w:t>
            </w:r>
          </w:p>
        </w:tc>
        <w:tc>
          <w:tcPr>
            <w:tcW w:w="1134" w:type="dxa"/>
            <w:tcBorders>
              <w:top w:val="nil"/>
              <w:left w:val="nil"/>
              <w:bottom w:val="nil"/>
              <w:right w:val="nil"/>
            </w:tcBorders>
            <w:noWrap/>
            <w:tcMar>
              <w:top w:w="15" w:type="dxa"/>
              <w:left w:w="15" w:type="dxa"/>
              <w:bottom w:w="0" w:type="dxa"/>
              <w:right w:w="15" w:type="dxa"/>
            </w:tcMar>
            <w:vAlign w:val="center"/>
            <w:hideMark/>
          </w:tcPr>
          <w:p w14:paraId="0D3CA32A"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5,5%</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6A4C39A1"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0,5%</w:t>
            </w:r>
          </w:p>
        </w:tc>
      </w:tr>
      <w:tr w:rsidR="00B1608A" w:rsidRPr="001B5F8B" w14:paraId="7A89DD24"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38E80BCC"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Germania</w:t>
            </w:r>
          </w:p>
        </w:tc>
        <w:tc>
          <w:tcPr>
            <w:tcW w:w="1538" w:type="dxa"/>
            <w:tcBorders>
              <w:top w:val="nil"/>
              <w:left w:val="nil"/>
              <w:bottom w:val="nil"/>
              <w:right w:val="nil"/>
            </w:tcBorders>
            <w:noWrap/>
            <w:tcMar>
              <w:top w:w="15" w:type="dxa"/>
              <w:left w:w="15" w:type="dxa"/>
              <w:bottom w:w="0" w:type="dxa"/>
              <w:right w:w="15" w:type="dxa"/>
            </w:tcMar>
            <w:vAlign w:val="center"/>
            <w:hideMark/>
          </w:tcPr>
          <w:p w14:paraId="391972D1"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240.470.150</w:t>
            </w:r>
          </w:p>
        </w:tc>
        <w:tc>
          <w:tcPr>
            <w:tcW w:w="1700" w:type="dxa"/>
            <w:tcBorders>
              <w:top w:val="nil"/>
              <w:left w:val="nil"/>
              <w:bottom w:val="nil"/>
              <w:right w:val="nil"/>
            </w:tcBorders>
            <w:noWrap/>
            <w:tcMar>
              <w:top w:w="15" w:type="dxa"/>
              <w:left w:w="15" w:type="dxa"/>
              <w:bottom w:w="0" w:type="dxa"/>
              <w:right w:w="15" w:type="dxa"/>
            </w:tcMar>
            <w:vAlign w:val="center"/>
            <w:hideMark/>
          </w:tcPr>
          <w:p w14:paraId="2056905F"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232.723.248</w:t>
            </w:r>
          </w:p>
        </w:tc>
        <w:tc>
          <w:tcPr>
            <w:tcW w:w="1278" w:type="dxa"/>
            <w:tcBorders>
              <w:top w:val="nil"/>
              <w:left w:val="nil"/>
              <w:bottom w:val="nil"/>
              <w:right w:val="nil"/>
            </w:tcBorders>
            <w:noWrap/>
            <w:tcMar>
              <w:top w:w="15" w:type="dxa"/>
              <w:left w:w="15" w:type="dxa"/>
              <w:bottom w:w="0" w:type="dxa"/>
              <w:right w:w="15" w:type="dxa"/>
            </w:tcMar>
            <w:vAlign w:val="center"/>
            <w:hideMark/>
          </w:tcPr>
          <w:p w14:paraId="33ED5B30"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8,6%</w:t>
            </w:r>
          </w:p>
        </w:tc>
        <w:tc>
          <w:tcPr>
            <w:tcW w:w="1134" w:type="dxa"/>
            <w:tcBorders>
              <w:top w:val="nil"/>
              <w:left w:val="nil"/>
              <w:bottom w:val="nil"/>
              <w:right w:val="nil"/>
            </w:tcBorders>
            <w:noWrap/>
            <w:tcMar>
              <w:top w:w="15" w:type="dxa"/>
              <w:left w:w="15" w:type="dxa"/>
              <w:bottom w:w="0" w:type="dxa"/>
              <w:right w:w="15" w:type="dxa"/>
            </w:tcMar>
            <w:vAlign w:val="center"/>
            <w:hideMark/>
          </w:tcPr>
          <w:p w14:paraId="33D00FA3"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-3,2%</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4FF4B9D4"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-0,3%</w:t>
            </w:r>
          </w:p>
        </w:tc>
      </w:tr>
      <w:tr w:rsidR="00B1608A" w:rsidRPr="001B5F8B" w14:paraId="5C836BA6"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15F5BA32"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Regno Unito</w:t>
            </w:r>
          </w:p>
        </w:tc>
        <w:tc>
          <w:tcPr>
            <w:tcW w:w="1538" w:type="dxa"/>
            <w:tcBorders>
              <w:top w:val="nil"/>
              <w:left w:val="nil"/>
              <w:bottom w:val="nil"/>
              <w:right w:val="nil"/>
            </w:tcBorders>
            <w:noWrap/>
            <w:tcMar>
              <w:top w:w="15" w:type="dxa"/>
              <w:left w:w="15" w:type="dxa"/>
              <w:bottom w:w="0" w:type="dxa"/>
              <w:right w:w="15" w:type="dxa"/>
            </w:tcMar>
            <w:vAlign w:val="center"/>
            <w:hideMark/>
          </w:tcPr>
          <w:p w14:paraId="0EF4DD6B"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264.028.333</w:t>
            </w:r>
          </w:p>
        </w:tc>
        <w:tc>
          <w:tcPr>
            <w:tcW w:w="1700" w:type="dxa"/>
            <w:tcBorders>
              <w:top w:val="nil"/>
              <w:left w:val="nil"/>
              <w:bottom w:val="nil"/>
              <w:right w:val="nil"/>
            </w:tcBorders>
            <w:noWrap/>
            <w:tcMar>
              <w:top w:w="15" w:type="dxa"/>
              <w:left w:w="15" w:type="dxa"/>
              <w:bottom w:w="0" w:type="dxa"/>
              <w:right w:w="15" w:type="dxa"/>
            </w:tcMar>
            <w:vAlign w:val="center"/>
            <w:hideMark/>
          </w:tcPr>
          <w:p w14:paraId="62DF0FC3"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202.695.167</w:t>
            </w:r>
          </w:p>
        </w:tc>
        <w:tc>
          <w:tcPr>
            <w:tcW w:w="1278" w:type="dxa"/>
            <w:tcBorders>
              <w:top w:val="nil"/>
              <w:left w:val="nil"/>
              <w:bottom w:val="nil"/>
              <w:right w:val="nil"/>
            </w:tcBorders>
            <w:noWrap/>
            <w:tcMar>
              <w:top w:w="15" w:type="dxa"/>
              <w:left w:w="15" w:type="dxa"/>
              <w:bottom w:w="0" w:type="dxa"/>
              <w:right w:w="15" w:type="dxa"/>
            </w:tcMar>
            <w:vAlign w:val="center"/>
            <w:hideMark/>
          </w:tcPr>
          <w:p w14:paraId="226C8708"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7,5%</w:t>
            </w:r>
          </w:p>
        </w:tc>
        <w:tc>
          <w:tcPr>
            <w:tcW w:w="1134" w:type="dxa"/>
            <w:tcBorders>
              <w:top w:val="nil"/>
              <w:left w:val="nil"/>
              <w:bottom w:val="nil"/>
              <w:right w:val="nil"/>
            </w:tcBorders>
            <w:noWrap/>
            <w:tcMar>
              <w:top w:w="15" w:type="dxa"/>
              <w:left w:w="15" w:type="dxa"/>
              <w:bottom w:w="0" w:type="dxa"/>
              <w:right w:w="15" w:type="dxa"/>
            </w:tcMar>
            <w:vAlign w:val="center"/>
            <w:hideMark/>
          </w:tcPr>
          <w:p w14:paraId="3884F38E"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-23,2%</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5F806A85"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-2,2%</w:t>
            </w:r>
          </w:p>
        </w:tc>
      </w:tr>
      <w:tr w:rsidR="00B1608A" w:rsidRPr="001B5F8B" w14:paraId="5D835F18"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38C59865"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Isole Cayman</w:t>
            </w:r>
          </w:p>
        </w:tc>
        <w:tc>
          <w:tcPr>
            <w:tcW w:w="1538" w:type="dxa"/>
            <w:tcBorders>
              <w:top w:val="nil"/>
              <w:left w:val="nil"/>
              <w:bottom w:val="nil"/>
              <w:right w:val="nil"/>
            </w:tcBorders>
            <w:noWrap/>
            <w:tcMar>
              <w:top w:w="15" w:type="dxa"/>
              <w:left w:w="15" w:type="dxa"/>
              <w:bottom w:w="0" w:type="dxa"/>
              <w:right w:w="15" w:type="dxa"/>
            </w:tcMar>
            <w:vAlign w:val="center"/>
            <w:hideMark/>
          </w:tcPr>
          <w:p w14:paraId="0F743369"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120.224.333</w:t>
            </w:r>
          </w:p>
        </w:tc>
        <w:tc>
          <w:tcPr>
            <w:tcW w:w="1700" w:type="dxa"/>
            <w:tcBorders>
              <w:top w:val="nil"/>
              <w:left w:val="nil"/>
              <w:bottom w:val="nil"/>
              <w:right w:val="nil"/>
            </w:tcBorders>
            <w:noWrap/>
            <w:tcMar>
              <w:top w:w="15" w:type="dxa"/>
              <w:left w:w="15" w:type="dxa"/>
              <w:bottom w:w="0" w:type="dxa"/>
              <w:right w:w="15" w:type="dxa"/>
            </w:tcMar>
            <w:vAlign w:val="center"/>
            <w:hideMark/>
          </w:tcPr>
          <w:p w14:paraId="77E4F904"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109.445.731</w:t>
            </w:r>
          </w:p>
        </w:tc>
        <w:tc>
          <w:tcPr>
            <w:tcW w:w="1278" w:type="dxa"/>
            <w:tcBorders>
              <w:top w:val="nil"/>
              <w:left w:val="nil"/>
              <w:bottom w:val="nil"/>
              <w:right w:val="nil"/>
            </w:tcBorders>
            <w:noWrap/>
            <w:tcMar>
              <w:top w:w="15" w:type="dxa"/>
              <w:left w:w="15" w:type="dxa"/>
              <w:bottom w:w="0" w:type="dxa"/>
              <w:right w:w="15" w:type="dxa"/>
            </w:tcMar>
            <w:vAlign w:val="center"/>
            <w:hideMark/>
          </w:tcPr>
          <w:p w14:paraId="2631FF4C"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4,0%</w:t>
            </w:r>
          </w:p>
        </w:tc>
        <w:tc>
          <w:tcPr>
            <w:tcW w:w="1134" w:type="dxa"/>
            <w:tcBorders>
              <w:top w:val="nil"/>
              <w:left w:val="nil"/>
              <w:bottom w:val="nil"/>
              <w:right w:val="nil"/>
            </w:tcBorders>
            <w:noWrap/>
            <w:tcMar>
              <w:top w:w="15" w:type="dxa"/>
              <w:left w:w="15" w:type="dxa"/>
              <w:bottom w:w="0" w:type="dxa"/>
              <w:right w:w="15" w:type="dxa"/>
            </w:tcMar>
            <w:vAlign w:val="center"/>
            <w:hideMark/>
          </w:tcPr>
          <w:p w14:paraId="671BCF5D"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-9,0%</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30EF0AF0"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-0,4%</w:t>
            </w:r>
          </w:p>
        </w:tc>
      </w:tr>
      <w:tr w:rsidR="00B1608A" w:rsidRPr="001B5F8B" w14:paraId="3A6E186F"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13E4079E"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Spagna</w:t>
            </w:r>
          </w:p>
        </w:tc>
        <w:tc>
          <w:tcPr>
            <w:tcW w:w="1538" w:type="dxa"/>
            <w:tcBorders>
              <w:top w:val="nil"/>
              <w:left w:val="nil"/>
              <w:bottom w:val="nil"/>
              <w:right w:val="nil"/>
            </w:tcBorders>
            <w:noWrap/>
            <w:tcMar>
              <w:top w:w="15" w:type="dxa"/>
              <w:left w:w="15" w:type="dxa"/>
              <w:bottom w:w="0" w:type="dxa"/>
              <w:right w:w="15" w:type="dxa"/>
            </w:tcMar>
            <w:vAlign w:val="center"/>
            <w:hideMark/>
          </w:tcPr>
          <w:p w14:paraId="2E050174"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112.266.842</w:t>
            </w:r>
          </w:p>
        </w:tc>
        <w:tc>
          <w:tcPr>
            <w:tcW w:w="1700" w:type="dxa"/>
            <w:tcBorders>
              <w:top w:val="nil"/>
              <w:left w:val="nil"/>
              <w:bottom w:val="nil"/>
              <w:right w:val="nil"/>
            </w:tcBorders>
            <w:noWrap/>
            <w:tcMar>
              <w:top w:w="15" w:type="dxa"/>
              <w:left w:w="15" w:type="dxa"/>
              <w:bottom w:w="0" w:type="dxa"/>
              <w:right w:w="15" w:type="dxa"/>
            </w:tcMar>
            <w:vAlign w:val="center"/>
            <w:hideMark/>
          </w:tcPr>
          <w:p w14:paraId="11159CCE"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97.444.553</w:t>
            </w:r>
          </w:p>
        </w:tc>
        <w:tc>
          <w:tcPr>
            <w:tcW w:w="1278" w:type="dxa"/>
            <w:tcBorders>
              <w:top w:val="nil"/>
              <w:left w:val="nil"/>
              <w:bottom w:val="nil"/>
              <w:right w:val="nil"/>
            </w:tcBorders>
            <w:noWrap/>
            <w:tcMar>
              <w:top w:w="15" w:type="dxa"/>
              <w:left w:w="15" w:type="dxa"/>
              <w:bottom w:w="0" w:type="dxa"/>
              <w:right w:w="15" w:type="dxa"/>
            </w:tcMar>
            <w:vAlign w:val="center"/>
            <w:hideMark/>
          </w:tcPr>
          <w:p w14:paraId="052D4044"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3,6%</w:t>
            </w:r>
          </w:p>
        </w:tc>
        <w:tc>
          <w:tcPr>
            <w:tcW w:w="1134" w:type="dxa"/>
            <w:tcBorders>
              <w:top w:val="nil"/>
              <w:left w:val="nil"/>
              <w:bottom w:val="nil"/>
              <w:right w:val="nil"/>
            </w:tcBorders>
            <w:noWrap/>
            <w:tcMar>
              <w:top w:w="15" w:type="dxa"/>
              <w:left w:w="15" w:type="dxa"/>
              <w:bottom w:w="0" w:type="dxa"/>
              <w:right w:w="15" w:type="dxa"/>
            </w:tcMar>
            <w:vAlign w:val="center"/>
            <w:hideMark/>
          </w:tcPr>
          <w:p w14:paraId="3407115F"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-13,2%</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0E324AD9"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-0,5%</w:t>
            </w:r>
          </w:p>
        </w:tc>
      </w:tr>
      <w:tr w:rsidR="00B1608A" w:rsidRPr="001B5F8B" w14:paraId="190ED3D0"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2CAC3D9B"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Malta</w:t>
            </w:r>
          </w:p>
        </w:tc>
        <w:tc>
          <w:tcPr>
            <w:tcW w:w="1538" w:type="dxa"/>
            <w:tcBorders>
              <w:top w:val="nil"/>
              <w:left w:val="nil"/>
              <w:bottom w:val="nil"/>
              <w:right w:val="nil"/>
            </w:tcBorders>
            <w:noWrap/>
            <w:tcMar>
              <w:top w:w="15" w:type="dxa"/>
              <w:left w:w="15" w:type="dxa"/>
              <w:bottom w:w="0" w:type="dxa"/>
              <w:right w:w="15" w:type="dxa"/>
            </w:tcMar>
            <w:vAlign w:val="center"/>
            <w:hideMark/>
          </w:tcPr>
          <w:p w14:paraId="66C430A2"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61.185.573</w:t>
            </w:r>
          </w:p>
        </w:tc>
        <w:tc>
          <w:tcPr>
            <w:tcW w:w="1700" w:type="dxa"/>
            <w:tcBorders>
              <w:top w:val="nil"/>
              <w:left w:val="nil"/>
              <w:bottom w:val="nil"/>
              <w:right w:val="nil"/>
            </w:tcBorders>
            <w:noWrap/>
            <w:tcMar>
              <w:top w:w="15" w:type="dxa"/>
              <w:left w:w="15" w:type="dxa"/>
              <w:bottom w:w="0" w:type="dxa"/>
              <w:right w:w="15" w:type="dxa"/>
            </w:tcMar>
            <w:vAlign w:val="center"/>
            <w:hideMark/>
          </w:tcPr>
          <w:p w14:paraId="0F8AA214"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88.310.340</w:t>
            </w:r>
          </w:p>
        </w:tc>
        <w:tc>
          <w:tcPr>
            <w:tcW w:w="1278" w:type="dxa"/>
            <w:tcBorders>
              <w:top w:val="nil"/>
              <w:left w:val="nil"/>
              <w:bottom w:val="nil"/>
              <w:right w:val="nil"/>
            </w:tcBorders>
            <w:noWrap/>
            <w:tcMar>
              <w:top w:w="15" w:type="dxa"/>
              <w:left w:w="15" w:type="dxa"/>
              <w:bottom w:w="0" w:type="dxa"/>
              <w:right w:w="15" w:type="dxa"/>
            </w:tcMar>
            <w:vAlign w:val="center"/>
            <w:hideMark/>
          </w:tcPr>
          <w:p w14:paraId="547889F8"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3,3%</w:t>
            </w:r>
          </w:p>
        </w:tc>
        <w:tc>
          <w:tcPr>
            <w:tcW w:w="1134" w:type="dxa"/>
            <w:tcBorders>
              <w:top w:val="nil"/>
              <w:left w:val="nil"/>
              <w:bottom w:val="nil"/>
              <w:right w:val="nil"/>
            </w:tcBorders>
            <w:noWrap/>
            <w:tcMar>
              <w:top w:w="15" w:type="dxa"/>
              <w:left w:w="15" w:type="dxa"/>
              <w:bottom w:w="0" w:type="dxa"/>
              <w:right w:w="15" w:type="dxa"/>
            </w:tcMar>
            <w:vAlign w:val="center"/>
            <w:hideMark/>
          </w:tcPr>
          <w:p w14:paraId="2F51CB7B"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44,3%</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6FF80619"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1,0%</w:t>
            </w:r>
          </w:p>
        </w:tc>
      </w:tr>
      <w:tr w:rsidR="00B1608A" w:rsidRPr="001B5F8B" w14:paraId="23292191"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68E0873C"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Svizzera</w:t>
            </w:r>
          </w:p>
        </w:tc>
        <w:tc>
          <w:tcPr>
            <w:tcW w:w="1538" w:type="dxa"/>
            <w:tcBorders>
              <w:top w:val="nil"/>
              <w:left w:val="nil"/>
              <w:bottom w:val="nil"/>
              <w:right w:val="nil"/>
            </w:tcBorders>
            <w:noWrap/>
            <w:tcMar>
              <w:top w:w="15" w:type="dxa"/>
              <w:left w:w="15" w:type="dxa"/>
              <w:bottom w:w="0" w:type="dxa"/>
              <w:right w:w="15" w:type="dxa"/>
            </w:tcMar>
            <w:vAlign w:val="center"/>
            <w:hideMark/>
          </w:tcPr>
          <w:p w14:paraId="08B0FD3D"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71.845.159</w:t>
            </w:r>
          </w:p>
        </w:tc>
        <w:tc>
          <w:tcPr>
            <w:tcW w:w="1700" w:type="dxa"/>
            <w:tcBorders>
              <w:top w:val="nil"/>
              <w:left w:val="nil"/>
              <w:bottom w:val="nil"/>
              <w:right w:val="nil"/>
            </w:tcBorders>
            <w:noWrap/>
            <w:tcMar>
              <w:top w:w="15" w:type="dxa"/>
              <w:left w:w="15" w:type="dxa"/>
              <w:bottom w:w="0" w:type="dxa"/>
              <w:right w:w="15" w:type="dxa"/>
            </w:tcMar>
            <w:vAlign w:val="center"/>
            <w:hideMark/>
          </w:tcPr>
          <w:p w14:paraId="08EFCAFB"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82.097.228</w:t>
            </w:r>
          </w:p>
        </w:tc>
        <w:tc>
          <w:tcPr>
            <w:tcW w:w="1278" w:type="dxa"/>
            <w:tcBorders>
              <w:top w:val="nil"/>
              <w:left w:val="nil"/>
              <w:bottom w:val="nil"/>
              <w:right w:val="nil"/>
            </w:tcBorders>
            <w:noWrap/>
            <w:tcMar>
              <w:top w:w="15" w:type="dxa"/>
              <w:left w:w="15" w:type="dxa"/>
              <w:bottom w:w="0" w:type="dxa"/>
              <w:right w:w="15" w:type="dxa"/>
            </w:tcMar>
            <w:vAlign w:val="center"/>
            <w:hideMark/>
          </w:tcPr>
          <w:p w14:paraId="724AAD09"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3,0%</w:t>
            </w:r>
          </w:p>
        </w:tc>
        <w:tc>
          <w:tcPr>
            <w:tcW w:w="1134" w:type="dxa"/>
            <w:tcBorders>
              <w:top w:val="nil"/>
              <w:left w:val="nil"/>
              <w:bottom w:val="nil"/>
              <w:right w:val="nil"/>
            </w:tcBorders>
            <w:noWrap/>
            <w:tcMar>
              <w:top w:w="15" w:type="dxa"/>
              <w:left w:w="15" w:type="dxa"/>
              <w:bottom w:w="0" w:type="dxa"/>
              <w:right w:w="15" w:type="dxa"/>
            </w:tcMar>
            <w:vAlign w:val="center"/>
            <w:hideMark/>
          </w:tcPr>
          <w:p w14:paraId="35DD38C4"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14,3%</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02D792D8"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0,4%</w:t>
            </w:r>
          </w:p>
        </w:tc>
      </w:tr>
      <w:tr w:rsidR="00B1608A" w:rsidRPr="001B5F8B" w14:paraId="5A56B6EB"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7BF97AE3"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Isole Marshall</w:t>
            </w:r>
          </w:p>
        </w:tc>
        <w:tc>
          <w:tcPr>
            <w:tcW w:w="1538" w:type="dxa"/>
            <w:tcBorders>
              <w:top w:val="nil"/>
              <w:left w:val="nil"/>
              <w:bottom w:val="nil"/>
              <w:right w:val="nil"/>
            </w:tcBorders>
            <w:noWrap/>
            <w:tcMar>
              <w:top w:w="15" w:type="dxa"/>
              <w:left w:w="15" w:type="dxa"/>
              <w:bottom w:w="0" w:type="dxa"/>
              <w:right w:w="15" w:type="dxa"/>
            </w:tcMar>
            <w:vAlign w:val="center"/>
            <w:hideMark/>
          </w:tcPr>
          <w:p w14:paraId="2CEC44B0"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99.590.320</w:t>
            </w:r>
          </w:p>
        </w:tc>
        <w:tc>
          <w:tcPr>
            <w:tcW w:w="1700" w:type="dxa"/>
            <w:tcBorders>
              <w:top w:val="nil"/>
              <w:left w:val="nil"/>
              <w:bottom w:val="nil"/>
              <w:right w:val="nil"/>
            </w:tcBorders>
            <w:noWrap/>
            <w:tcMar>
              <w:top w:w="15" w:type="dxa"/>
              <w:left w:w="15" w:type="dxa"/>
              <w:bottom w:w="0" w:type="dxa"/>
              <w:right w:w="15" w:type="dxa"/>
            </w:tcMar>
            <w:vAlign w:val="center"/>
            <w:hideMark/>
          </w:tcPr>
          <w:p w14:paraId="7F13CEE7"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74.181.460</w:t>
            </w:r>
          </w:p>
        </w:tc>
        <w:tc>
          <w:tcPr>
            <w:tcW w:w="1278" w:type="dxa"/>
            <w:tcBorders>
              <w:top w:val="nil"/>
              <w:left w:val="nil"/>
              <w:bottom w:val="nil"/>
              <w:right w:val="nil"/>
            </w:tcBorders>
            <w:noWrap/>
            <w:tcMar>
              <w:top w:w="15" w:type="dxa"/>
              <w:left w:w="15" w:type="dxa"/>
              <w:bottom w:w="0" w:type="dxa"/>
              <w:right w:w="15" w:type="dxa"/>
            </w:tcMar>
            <w:vAlign w:val="center"/>
            <w:hideMark/>
          </w:tcPr>
          <w:p w14:paraId="35F5723F"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2,7%</w:t>
            </w:r>
          </w:p>
        </w:tc>
        <w:tc>
          <w:tcPr>
            <w:tcW w:w="1134" w:type="dxa"/>
            <w:tcBorders>
              <w:top w:val="nil"/>
              <w:left w:val="nil"/>
              <w:bottom w:val="nil"/>
              <w:right w:val="nil"/>
            </w:tcBorders>
            <w:noWrap/>
            <w:tcMar>
              <w:top w:w="15" w:type="dxa"/>
              <w:left w:w="15" w:type="dxa"/>
              <w:bottom w:w="0" w:type="dxa"/>
              <w:right w:w="15" w:type="dxa"/>
            </w:tcMar>
            <w:vAlign w:val="center"/>
            <w:hideMark/>
          </w:tcPr>
          <w:p w14:paraId="242CBE52"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-25,5%</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638E04B0"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-0,9%</w:t>
            </w:r>
          </w:p>
        </w:tc>
      </w:tr>
      <w:tr w:rsidR="00B1608A" w:rsidRPr="001B5F8B" w14:paraId="78EBAA3C"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4BB42D30"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Polonia</w:t>
            </w:r>
          </w:p>
        </w:tc>
        <w:tc>
          <w:tcPr>
            <w:tcW w:w="1538" w:type="dxa"/>
            <w:tcBorders>
              <w:top w:val="nil"/>
              <w:left w:val="nil"/>
              <w:bottom w:val="nil"/>
              <w:right w:val="nil"/>
            </w:tcBorders>
            <w:noWrap/>
            <w:tcMar>
              <w:top w:w="15" w:type="dxa"/>
              <w:left w:w="15" w:type="dxa"/>
              <w:bottom w:w="0" w:type="dxa"/>
              <w:right w:w="15" w:type="dxa"/>
            </w:tcMar>
            <w:vAlign w:val="center"/>
            <w:hideMark/>
          </w:tcPr>
          <w:p w14:paraId="5A365FC8"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85.435.127</w:t>
            </w:r>
          </w:p>
        </w:tc>
        <w:tc>
          <w:tcPr>
            <w:tcW w:w="1700" w:type="dxa"/>
            <w:tcBorders>
              <w:top w:val="nil"/>
              <w:left w:val="nil"/>
              <w:bottom w:val="nil"/>
              <w:right w:val="nil"/>
            </w:tcBorders>
            <w:noWrap/>
            <w:tcMar>
              <w:top w:w="15" w:type="dxa"/>
              <w:left w:w="15" w:type="dxa"/>
              <w:bottom w:w="0" w:type="dxa"/>
              <w:right w:w="15" w:type="dxa"/>
            </w:tcMar>
            <w:vAlign w:val="center"/>
            <w:hideMark/>
          </w:tcPr>
          <w:p w14:paraId="73055139"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67.425.075</w:t>
            </w:r>
          </w:p>
        </w:tc>
        <w:tc>
          <w:tcPr>
            <w:tcW w:w="1278" w:type="dxa"/>
            <w:tcBorders>
              <w:top w:val="nil"/>
              <w:left w:val="nil"/>
              <w:bottom w:val="nil"/>
              <w:right w:val="nil"/>
            </w:tcBorders>
            <w:noWrap/>
            <w:tcMar>
              <w:top w:w="15" w:type="dxa"/>
              <w:left w:w="15" w:type="dxa"/>
              <w:bottom w:w="0" w:type="dxa"/>
              <w:right w:w="15" w:type="dxa"/>
            </w:tcMar>
            <w:vAlign w:val="center"/>
            <w:hideMark/>
          </w:tcPr>
          <w:p w14:paraId="2E09E22E"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2,5%</w:t>
            </w:r>
          </w:p>
        </w:tc>
        <w:tc>
          <w:tcPr>
            <w:tcW w:w="1134" w:type="dxa"/>
            <w:tcBorders>
              <w:top w:val="nil"/>
              <w:left w:val="nil"/>
              <w:bottom w:val="nil"/>
              <w:right w:val="nil"/>
            </w:tcBorders>
            <w:noWrap/>
            <w:tcMar>
              <w:top w:w="15" w:type="dxa"/>
              <w:left w:w="15" w:type="dxa"/>
              <w:bottom w:w="0" w:type="dxa"/>
              <w:right w:w="15" w:type="dxa"/>
            </w:tcMar>
            <w:vAlign w:val="center"/>
            <w:hideMark/>
          </w:tcPr>
          <w:p w14:paraId="4C36DCE5"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-21,1%</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6FC52364"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-0,6%</w:t>
            </w:r>
          </w:p>
        </w:tc>
      </w:tr>
      <w:tr w:rsidR="00B1608A" w:rsidRPr="001B5F8B" w14:paraId="7C28C0A3"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03EECA32"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Belgio</w:t>
            </w:r>
          </w:p>
        </w:tc>
        <w:tc>
          <w:tcPr>
            <w:tcW w:w="1538" w:type="dxa"/>
            <w:tcBorders>
              <w:top w:val="nil"/>
              <w:left w:val="nil"/>
              <w:bottom w:val="nil"/>
              <w:right w:val="nil"/>
            </w:tcBorders>
            <w:noWrap/>
            <w:tcMar>
              <w:top w:w="15" w:type="dxa"/>
              <w:left w:w="15" w:type="dxa"/>
              <w:bottom w:w="0" w:type="dxa"/>
              <w:right w:w="15" w:type="dxa"/>
            </w:tcMar>
            <w:vAlign w:val="center"/>
            <w:hideMark/>
          </w:tcPr>
          <w:p w14:paraId="7ACF8028"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74.496.374</w:t>
            </w:r>
          </w:p>
        </w:tc>
        <w:tc>
          <w:tcPr>
            <w:tcW w:w="1700" w:type="dxa"/>
            <w:tcBorders>
              <w:top w:val="nil"/>
              <w:left w:val="nil"/>
              <w:bottom w:val="nil"/>
              <w:right w:val="nil"/>
            </w:tcBorders>
            <w:noWrap/>
            <w:tcMar>
              <w:top w:w="15" w:type="dxa"/>
              <w:left w:w="15" w:type="dxa"/>
              <w:bottom w:w="0" w:type="dxa"/>
              <w:right w:w="15" w:type="dxa"/>
            </w:tcMar>
            <w:vAlign w:val="center"/>
            <w:hideMark/>
          </w:tcPr>
          <w:p w14:paraId="05746DE1"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66.818.779</w:t>
            </w:r>
          </w:p>
        </w:tc>
        <w:tc>
          <w:tcPr>
            <w:tcW w:w="1278" w:type="dxa"/>
            <w:tcBorders>
              <w:top w:val="nil"/>
              <w:left w:val="nil"/>
              <w:bottom w:val="nil"/>
              <w:right w:val="nil"/>
            </w:tcBorders>
            <w:noWrap/>
            <w:tcMar>
              <w:top w:w="15" w:type="dxa"/>
              <w:left w:w="15" w:type="dxa"/>
              <w:bottom w:w="0" w:type="dxa"/>
              <w:right w:w="15" w:type="dxa"/>
            </w:tcMar>
            <w:vAlign w:val="center"/>
            <w:hideMark/>
          </w:tcPr>
          <w:p w14:paraId="5EA80137"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2,5%</w:t>
            </w:r>
          </w:p>
        </w:tc>
        <w:tc>
          <w:tcPr>
            <w:tcW w:w="1134" w:type="dxa"/>
            <w:tcBorders>
              <w:top w:val="nil"/>
              <w:left w:val="nil"/>
              <w:bottom w:val="nil"/>
              <w:right w:val="nil"/>
            </w:tcBorders>
            <w:noWrap/>
            <w:tcMar>
              <w:top w:w="15" w:type="dxa"/>
              <w:left w:w="15" w:type="dxa"/>
              <w:bottom w:w="0" w:type="dxa"/>
              <w:right w:w="15" w:type="dxa"/>
            </w:tcMar>
            <w:vAlign w:val="center"/>
            <w:hideMark/>
          </w:tcPr>
          <w:p w14:paraId="6E4388D3"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-10,3%</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2FE4EB6F"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-0,3%</w:t>
            </w:r>
          </w:p>
        </w:tc>
      </w:tr>
      <w:tr w:rsidR="00B1608A" w:rsidRPr="001B5F8B" w14:paraId="283EFF13"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427319B6"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Paesi Bassi</w:t>
            </w:r>
          </w:p>
        </w:tc>
        <w:tc>
          <w:tcPr>
            <w:tcW w:w="1538" w:type="dxa"/>
            <w:tcBorders>
              <w:top w:val="nil"/>
              <w:left w:val="nil"/>
              <w:bottom w:val="nil"/>
              <w:right w:val="nil"/>
            </w:tcBorders>
            <w:noWrap/>
            <w:tcMar>
              <w:top w:w="15" w:type="dxa"/>
              <w:left w:w="15" w:type="dxa"/>
              <w:bottom w:w="0" w:type="dxa"/>
              <w:right w:w="15" w:type="dxa"/>
            </w:tcMar>
            <w:vAlign w:val="center"/>
            <w:hideMark/>
          </w:tcPr>
          <w:p w14:paraId="54AE358E"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68.854.690</w:t>
            </w:r>
          </w:p>
        </w:tc>
        <w:tc>
          <w:tcPr>
            <w:tcW w:w="1700" w:type="dxa"/>
            <w:tcBorders>
              <w:top w:val="nil"/>
              <w:left w:val="nil"/>
              <w:bottom w:val="nil"/>
              <w:right w:val="nil"/>
            </w:tcBorders>
            <w:noWrap/>
            <w:tcMar>
              <w:top w:w="15" w:type="dxa"/>
              <w:left w:w="15" w:type="dxa"/>
              <w:bottom w:w="0" w:type="dxa"/>
              <w:right w:w="15" w:type="dxa"/>
            </w:tcMar>
            <w:vAlign w:val="center"/>
            <w:hideMark/>
          </w:tcPr>
          <w:p w14:paraId="3A496BA4"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62.093.290</w:t>
            </w:r>
          </w:p>
        </w:tc>
        <w:tc>
          <w:tcPr>
            <w:tcW w:w="1278" w:type="dxa"/>
            <w:tcBorders>
              <w:top w:val="nil"/>
              <w:left w:val="nil"/>
              <w:bottom w:val="nil"/>
              <w:right w:val="nil"/>
            </w:tcBorders>
            <w:noWrap/>
            <w:tcMar>
              <w:top w:w="15" w:type="dxa"/>
              <w:left w:w="15" w:type="dxa"/>
              <w:bottom w:w="0" w:type="dxa"/>
              <w:right w:w="15" w:type="dxa"/>
            </w:tcMar>
            <w:vAlign w:val="center"/>
            <w:hideMark/>
          </w:tcPr>
          <w:p w14:paraId="2DB3515D"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2,3%</w:t>
            </w:r>
          </w:p>
        </w:tc>
        <w:tc>
          <w:tcPr>
            <w:tcW w:w="1134" w:type="dxa"/>
            <w:tcBorders>
              <w:top w:val="nil"/>
              <w:left w:val="nil"/>
              <w:bottom w:val="nil"/>
              <w:right w:val="nil"/>
            </w:tcBorders>
            <w:noWrap/>
            <w:tcMar>
              <w:top w:w="15" w:type="dxa"/>
              <w:left w:w="15" w:type="dxa"/>
              <w:bottom w:w="0" w:type="dxa"/>
              <w:right w:w="15" w:type="dxa"/>
            </w:tcMar>
            <w:vAlign w:val="center"/>
            <w:hideMark/>
          </w:tcPr>
          <w:p w14:paraId="53452E02"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-9,8%</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2002D8AC"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-0,2%</w:t>
            </w:r>
          </w:p>
        </w:tc>
      </w:tr>
      <w:tr w:rsidR="00B1608A" w:rsidRPr="001B5F8B" w14:paraId="447C2621"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13CC4569"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Turchia</w:t>
            </w:r>
          </w:p>
        </w:tc>
        <w:tc>
          <w:tcPr>
            <w:tcW w:w="1538" w:type="dxa"/>
            <w:tcBorders>
              <w:top w:val="nil"/>
              <w:left w:val="nil"/>
              <w:bottom w:val="nil"/>
              <w:right w:val="nil"/>
            </w:tcBorders>
            <w:noWrap/>
            <w:tcMar>
              <w:top w:w="15" w:type="dxa"/>
              <w:left w:w="15" w:type="dxa"/>
              <w:bottom w:w="0" w:type="dxa"/>
              <w:right w:w="15" w:type="dxa"/>
            </w:tcMar>
            <w:vAlign w:val="center"/>
            <w:hideMark/>
          </w:tcPr>
          <w:p w14:paraId="1E8F87E4"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40.502.487</w:t>
            </w:r>
          </w:p>
        </w:tc>
        <w:tc>
          <w:tcPr>
            <w:tcW w:w="1700" w:type="dxa"/>
            <w:tcBorders>
              <w:top w:val="nil"/>
              <w:left w:val="nil"/>
              <w:bottom w:val="nil"/>
              <w:right w:val="nil"/>
            </w:tcBorders>
            <w:noWrap/>
            <w:tcMar>
              <w:top w:w="15" w:type="dxa"/>
              <w:left w:w="15" w:type="dxa"/>
              <w:bottom w:w="0" w:type="dxa"/>
              <w:right w:w="15" w:type="dxa"/>
            </w:tcMar>
            <w:vAlign w:val="center"/>
            <w:hideMark/>
          </w:tcPr>
          <w:p w14:paraId="035CF8E5"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59.607.755</w:t>
            </w:r>
          </w:p>
        </w:tc>
        <w:tc>
          <w:tcPr>
            <w:tcW w:w="1278" w:type="dxa"/>
            <w:tcBorders>
              <w:top w:val="nil"/>
              <w:left w:val="nil"/>
              <w:bottom w:val="nil"/>
              <w:right w:val="nil"/>
            </w:tcBorders>
            <w:noWrap/>
            <w:tcMar>
              <w:top w:w="15" w:type="dxa"/>
              <w:left w:w="15" w:type="dxa"/>
              <w:bottom w:w="0" w:type="dxa"/>
              <w:right w:w="15" w:type="dxa"/>
            </w:tcMar>
            <w:vAlign w:val="center"/>
            <w:hideMark/>
          </w:tcPr>
          <w:p w14:paraId="20C50C1C"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2,2%</w:t>
            </w:r>
          </w:p>
        </w:tc>
        <w:tc>
          <w:tcPr>
            <w:tcW w:w="1134" w:type="dxa"/>
            <w:tcBorders>
              <w:top w:val="nil"/>
              <w:left w:val="nil"/>
              <w:bottom w:val="nil"/>
              <w:right w:val="nil"/>
            </w:tcBorders>
            <w:noWrap/>
            <w:tcMar>
              <w:top w:w="15" w:type="dxa"/>
              <w:left w:w="15" w:type="dxa"/>
              <w:bottom w:w="0" w:type="dxa"/>
              <w:right w:w="15" w:type="dxa"/>
            </w:tcMar>
            <w:vAlign w:val="center"/>
            <w:hideMark/>
          </w:tcPr>
          <w:p w14:paraId="426E5A60"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47,2%</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1E8DE44D"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0,7%</w:t>
            </w:r>
          </w:p>
        </w:tc>
      </w:tr>
      <w:tr w:rsidR="00B1608A" w:rsidRPr="001B5F8B" w14:paraId="412CF1A8"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69CF96C1"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Grecia</w:t>
            </w:r>
          </w:p>
        </w:tc>
        <w:tc>
          <w:tcPr>
            <w:tcW w:w="1538" w:type="dxa"/>
            <w:tcBorders>
              <w:top w:val="nil"/>
              <w:left w:val="nil"/>
              <w:bottom w:val="nil"/>
              <w:right w:val="nil"/>
            </w:tcBorders>
            <w:noWrap/>
            <w:tcMar>
              <w:top w:w="15" w:type="dxa"/>
              <w:left w:w="15" w:type="dxa"/>
              <w:bottom w:w="0" w:type="dxa"/>
              <w:right w:w="15" w:type="dxa"/>
            </w:tcMar>
            <w:vAlign w:val="center"/>
            <w:hideMark/>
          </w:tcPr>
          <w:p w14:paraId="5BD750FD"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44.270.807</w:t>
            </w:r>
          </w:p>
        </w:tc>
        <w:tc>
          <w:tcPr>
            <w:tcW w:w="1700" w:type="dxa"/>
            <w:tcBorders>
              <w:top w:val="nil"/>
              <w:left w:val="nil"/>
              <w:bottom w:val="nil"/>
              <w:right w:val="nil"/>
            </w:tcBorders>
            <w:noWrap/>
            <w:tcMar>
              <w:top w:w="15" w:type="dxa"/>
              <w:left w:w="15" w:type="dxa"/>
              <w:bottom w:w="0" w:type="dxa"/>
              <w:right w:w="15" w:type="dxa"/>
            </w:tcMar>
            <w:vAlign w:val="center"/>
            <w:hideMark/>
          </w:tcPr>
          <w:p w14:paraId="6E4AE2CF"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37.363.413</w:t>
            </w:r>
          </w:p>
        </w:tc>
        <w:tc>
          <w:tcPr>
            <w:tcW w:w="1278" w:type="dxa"/>
            <w:tcBorders>
              <w:top w:val="nil"/>
              <w:left w:val="nil"/>
              <w:bottom w:val="nil"/>
              <w:right w:val="nil"/>
            </w:tcBorders>
            <w:noWrap/>
            <w:tcMar>
              <w:top w:w="15" w:type="dxa"/>
              <w:left w:w="15" w:type="dxa"/>
              <w:bottom w:w="0" w:type="dxa"/>
              <w:right w:w="15" w:type="dxa"/>
            </w:tcMar>
            <w:vAlign w:val="center"/>
            <w:hideMark/>
          </w:tcPr>
          <w:p w14:paraId="49EC046D"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1,4%</w:t>
            </w:r>
          </w:p>
        </w:tc>
        <w:tc>
          <w:tcPr>
            <w:tcW w:w="1134" w:type="dxa"/>
            <w:tcBorders>
              <w:top w:val="nil"/>
              <w:left w:val="nil"/>
              <w:bottom w:val="nil"/>
              <w:right w:val="nil"/>
            </w:tcBorders>
            <w:noWrap/>
            <w:tcMar>
              <w:top w:w="15" w:type="dxa"/>
              <w:left w:w="15" w:type="dxa"/>
              <w:bottom w:w="0" w:type="dxa"/>
              <w:right w:w="15" w:type="dxa"/>
            </w:tcMar>
            <w:vAlign w:val="center"/>
            <w:hideMark/>
          </w:tcPr>
          <w:p w14:paraId="7E72B2B8"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-15,6%</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113F36FB"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-0,2%</w:t>
            </w:r>
          </w:p>
        </w:tc>
      </w:tr>
      <w:tr w:rsidR="00B1608A" w:rsidRPr="001B5F8B" w14:paraId="36DCA46F"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743F95E4" w14:textId="77777777" w:rsidR="00B1608A" w:rsidRPr="001B5F8B" w:rsidRDefault="00B1608A" w:rsidP="004F1CBC">
            <w:pPr>
              <w:rPr>
                <w:rFonts w:asciiTheme="minorHAnsi" w:hAnsiTheme="minorHAnsi" w:cstheme="minorHAnsi"/>
                <w:color w:val="000000"/>
                <w:sz w:val="20"/>
                <w:szCs w:val="20"/>
              </w:rPr>
            </w:pPr>
            <w:r w:rsidRPr="001B5F8B">
              <w:rPr>
                <w:rFonts w:asciiTheme="minorHAnsi" w:hAnsiTheme="minorHAnsi" w:cstheme="minorHAnsi"/>
                <w:color w:val="000000"/>
                <w:sz w:val="20"/>
                <w:szCs w:val="20"/>
              </w:rPr>
              <w:t>Austria</w:t>
            </w:r>
          </w:p>
        </w:tc>
        <w:tc>
          <w:tcPr>
            <w:tcW w:w="1538" w:type="dxa"/>
            <w:tcBorders>
              <w:top w:val="nil"/>
              <w:left w:val="nil"/>
              <w:bottom w:val="nil"/>
              <w:right w:val="nil"/>
            </w:tcBorders>
            <w:noWrap/>
            <w:tcMar>
              <w:top w:w="15" w:type="dxa"/>
              <w:left w:w="15" w:type="dxa"/>
              <w:bottom w:w="0" w:type="dxa"/>
              <w:right w:w="15" w:type="dxa"/>
            </w:tcMar>
            <w:vAlign w:val="center"/>
            <w:hideMark/>
          </w:tcPr>
          <w:p w14:paraId="46664031"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56.132.520</w:t>
            </w:r>
          </w:p>
        </w:tc>
        <w:tc>
          <w:tcPr>
            <w:tcW w:w="1700" w:type="dxa"/>
            <w:tcBorders>
              <w:top w:val="nil"/>
              <w:left w:val="nil"/>
              <w:bottom w:val="nil"/>
              <w:right w:val="nil"/>
            </w:tcBorders>
            <w:noWrap/>
            <w:tcMar>
              <w:top w:w="15" w:type="dxa"/>
              <w:left w:w="15" w:type="dxa"/>
              <w:bottom w:w="0" w:type="dxa"/>
              <w:right w:w="15" w:type="dxa"/>
            </w:tcMar>
            <w:vAlign w:val="center"/>
            <w:hideMark/>
          </w:tcPr>
          <w:p w14:paraId="5BB97516"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35.961.644</w:t>
            </w:r>
          </w:p>
        </w:tc>
        <w:tc>
          <w:tcPr>
            <w:tcW w:w="1278" w:type="dxa"/>
            <w:tcBorders>
              <w:top w:val="nil"/>
              <w:left w:val="nil"/>
              <w:bottom w:val="nil"/>
              <w:right w:val="nil"/>
            </w:tcBorders>
            <w:noWrap/>
            <w:tcMar>
              <w:top w:w="15" w:type="dxa"/>
              <w:left w:w="15" w:type="dxa"/>
              <w:bottom w:w="0" w:type="dxa"/>
              <w:right w:w="15" w:type="dxa"/>
            </w:tcMar>
            <w:vAlign w:val="center"/>
            <w:hideMark/>
          </w:tcPr>
          <w:p w14:paraId="74CDAC4C"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1,3%</w:t>
            </w:r>
          </w:p>
        </w:tc>
        <w:tc>
          <w:tcPr>
            <w:tcW w:w="1134" w:type="dxa"/>
            <w:tcBorders>
              <w:top w:val="nil"/>
              <w:left w:val="nil"/>
              <w:bottom w:val="nil"/>
              <w:right w:val="nil"/>
            </w:tcBorders>
            <w:noWrap/>
            <w:tcMar>
              <w:top w:w="15" w:type="dxa"/>
              <w:left w:w="15" w:type="dxa"/>
              <w:bottom w:w="0" w:type="dxa"/>
              <w:right w:w="15" w:type="dxa"/>
            </w:tcMar>
            <w:vAlign w:val="center"/>
            <w:hideMark/>
          </w:tcPr>
          <w:p w14:paraId="1157E19D" w14:textId="77777777" w:rsidR="00B1608A" w:rsidRPr="001B5F8B" w:rsidRDefault="00B1608A" w:rsidP="004F1CBC">
            <w:pPr>
              <w:jc w:val="center"/>
              <w:rPr>
                <w:rFonts w:asciiTheme="minorHAnsi" w:hAnsiTheme="minorHAnsi" w:cstheme="minorHAnsi"/>
                <w:color w:val="000000"/>
                <w:sz w:val="20"/>
                <w:szCs w:val="20"/>
              </w:rPr>
            </w:pPr>
            <w:r w:rsidRPr="001B5F8B">
              <w:rPr>
                <w:rFonts w:asciiTheme="minorHAnsi" w:hAnsiTheme="minorHAnsi" w:cstheme="minorHAnsi"/>
                <w:color w:val="000000"/>
                <w:sz w:val="20"/>
                <w:szCs w:val="20"/>
              </w:rPr>
              <w:t>-35,9%</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7376FD34" w14:textId="77777777" w:rsidR="00B1608A" w:rsidRPr="001B5F8B" w:rsidRDefault="00B1608A" w:rsidP="004F1CBC">
            <w:pPr>
              <w:jc w:val="cente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-0,7%</w:t>
            </w:r>
          </w:p>
        </w:tc>
      </w:tr>
      <w:tr w:rsidR="00B1608A" w:rsidRPr="001B5F8B" w14:paraId="07FBAEC2" w14:textId="77777777" w:rsidTr="004F1CBC">
        <w:trPr>
          <w:gridAfter w:val="1"/>
          <w:wAfter w:w="66" w:type="dxa"/>
          <w:trHeight w:val="255"/>
        </w:trPr>
        <w:tc>
          <w:tcPr>
            <w:tcW w:w="2005" w:type="dxa"/>
            <w:tcBorders>
              <w:top w:val="nil"/>
              <w:left w:val="nil"/>
              <w:bottom w:val="nil"/>
              <w:right w:val="nil"/>
            </w:tcBorders>
            <w:noWrap/>
            <w:tcMar>
              <w:top w:w="15" w:type="dxa"/>
              <w:left w:w="15" w:type="dxa"/>
              <w:bottom w:w="0" w:type="dxa"/>
              <w:right w:w="15" w:type="dxa"/>
            </w:tcMar>
            <w:vAlign w:val="center"/>
            <w:hideMark/>
          </w:tcPr>
          <w:p w14:paraId="499D0992" w14:textId="77777777" w:rsidR="00B1608A" w:rsidRPr="001B5F8B" w:rsidRDefault="00B1608A" w:rsidP="004F1CBC">
            <w:pPr>
              <w:rPr>
                <w:rFonts w:asciiTheme="minorHAnsi" w:hAnsiTheme="minorHAnsi" w:cstheme="minorHAnsi"/>
                <w:sz w:val="20"/>
                <w:szCs w:val="20"/>
              </w:rPr>
            </w:pPr>
            <w:r w:rsidRPr="001B5F8B">
              <w:rPr>
                <w:rFonts w:asciiTheme="minorHAnsi" w:hAnsiTheme="minorHAnsi" w:cstheme="minorHAnsi"/>
                <w:sz w:val="20"/>
                <w:szCs w:val="20"/>
              </w:rPr>
              <w:t>Altro</w:t>
            </w:r>
          </w:p>
        </w:tc>
        <w:tc>
          <w:tcPr>
            <w:tcW w:w="1538" w:type="dxa"/>
            <w:tcBorders>
              <w:top w:val="nil"/>
              <w:left w:val="nil"/>
              <w:bottom w:val="nil"/>
              <w:right w:val="nil"/>
            </w:tcBorders>
            <w:noWrap/>
            <w:tcMar>
              <w:top w:w="15" w:type="dxa"/>
              <w:left w:w="15" w:type="dxa"/>
              <w:bottom w:w="0" w:type="dxa"/>
              <w:right w:w="15" w:type="dxa"/>
            </w:tcMar>
            <w:vAlign w:val="center"/>
            <w:hideMark/>
          </w:tcPr>
          <w:p w14:paraId="2884F850" w14:textId="77777777" w:rsidR="00B1608A" w:rsidRPr="001B5F8B" w:rsidRDefault="00B1608A" w:rsidP="004F1CBC">
            <w:pPr>
              <w:jc w:val="center"/>
              <w:rPr>
                <w:rFonts w:asciiTheme="minorHAnsi" w:hAnsiTheme="minorHAnsi" w:cstheme="minorHAnsi"/>
                <w:sz w:val="20"/>
                <w:szCs w:val="20"/>
              </w:rPr>
            </w:pPr>
            <w:r w:rsidRPr="001B5F8B">
              <w:rPr>
                <w:rFonts w:asciiTheme="minorHAnsi" w:hAnsiTheme="minorHAnsi" w:cstheme="minorHAnsi"/>
                <w:sz w:val="20"/>
                <w:szCs w:val="20"/>
              </w:rPr>
              <w:t>777.316.207</w:t>
            </w:r>
          </w:p>
        </w:tc>
        <w:tc>
          <w:tcPr>
            <w:tcW w:w="1700" w:type="dxa"/>
            <w:tcBorders>
              <w:top w:val="nil"/>
              <w:left w:val="nil"/>
              <w:bottom w:val="nil"/>
              <w:right w:val="nil"/>
            </w:tcBorders>
            <w:noWrap/>
            <w:tcMar>
              <w:top w:w="15" w:type="dxa"/>
              <w:left w:w="15" w:type="dxa"/>
              <w:bottom w:w="0" w:type="dxa"/>
              <w:right w:w="15" w:type="dxa"/>
            </w:tcMar>
            <w:vAlign w:val="center"/>
            <w:hideMark/>
          </w:tcPr>
          <w:p w14:paraId="1036D97A" w14:textId="77777777" w:rsidR="00B1608A" w:rsidRPr="001B5F8B" w:rsidRDefault="00B1608A" w:rsidP="004F1CBC">
            <w:pPr>
              <w:jc w:val="center"/>
              <w:rPr>
                <w:rFonts w:asciiTheme="minorHAnsi" w:hAnsiTheme="minorHAnsi" w:cstheme="minorHAnsi"/>
                <w:sz w:val="20"/>
                <w:szCs w:val="20"/>
              </w:rPr>
            </w:pPr>
            <w:r w:rsidRPr="001B5F8B">
              <w:rPr>
                <w:rFonts w:asciiTheme="minorHAnsi" w:hAnsiTheme="minorHAnsi" w:cstheme="minorHAnsi"/>
                <w:sz w:val="20"/>
                <w:szCs w:val="20"/>
              </w:rPr>
              <w:t>789.654.569</w:t>
            </w:r>
          </w:p>
        </w:tc>
        <w:tc>
          <w:tcPr>
            <w:tcW w:w="1278" w:type="dxa"/>
            <w:tcBorders>
              <w:top w:val="nil"/>
              <w:left w:val="nil"/>
              <w:bottom w:val="nil"/>
              <w:right w:val="nil"/>
            </w:tcBorders>
            <w:noWrap/>
            <w:tcMar>
              <w:top w:w="15" w:type="dxa"/>
              <w:left w:w="15" w:type="dxa"/>
              <w:bottom w:w="0" w:type="dxa"/>
              <w:right w:w="15" w:type="dxa"/>
            </w:tcMar>
            <w:vAlign w:val="center"/>
            <w:hideMark/>
          </w:tcPr>
          <w:p w14:paraId="2341CA94" w14:textId="77777777" w:rsidR="00B1608A" w:rsidRPr="001B5F8B" w:rsidRDefault="00B1608A" w:rsidP="004F1CBC">
            <w:pPr>
              <w:jc w:val="center"/>
              <w:rPr>
                <w:rFonts w:asciiTheme="minorHAnsi" w:hAnsiTheme="minorHAnsi" w:cstheme="minorHAnsi"/>
                <w:sz w:val="20"/>
                <w:szCs w:val="20"/>
              </w:rPr>
            </w:pPr>
            <w:r w:rsidRPr="001B5F8B">
              <w:rPr>
                <w:rFonts w:asciiTheme="minorHAnsi" w:hAnsiTheme="minorHAnsi" w:cstheme="minorHAnsi"/>
                <w:sz w:val="20"/>
                <w:szCs w:val="20"/>
              </w:rPr>
              <w:t>29,1%</w:t>
            </w:r>
          </w:p>
        </w:tc>
        <w:tc>
          <w:tcPr>
            <w:tcW w:w="1134" w:type="dxa"/>
            <w:tcBorders>
              <w:top w:val="nil"/>
              <w:left w:val="nil"/>
              <w:bottom w:val="nil"/>
              <w:right w:val="nil"/>
            </w:tcBorders>
            <w:noWrap/>
            <w:tcMar>
              <w:top w:w="15" w:type="dxa"/>
              <w:left w:w="15" w:type="dxa"/>
              <w:bottom w:w="0" w:type="dxa"/>
              <w:right w:w="15" w:type="dxa"/>
            </w:tcMar>
            <w:vAlign w:val="center"/>
            <w:hideMark/>
          </w:tcPr>
          <w:p w14:paraId="2E055E84" w14:textId="77777777" w:rsidR="00B1608A" w:rsidRPr="001B5F8B" w:rsidRDefault="00B1608A" w:rsidP="004F1CBC">
            <w:pPr>
              <w:jc w:val="center"/>
              <w:rPr>
                <w:rFonts w:asciiTheme="minorHAnsi" w:hAnsiTheme="minorHAnsi" w:cstheme="minorHAnsi"/>
                <w:sz w:val="20"/>
                <w:szCs w:val="20"/>
              </w:rPr>
            </w:pPr>
            <w:r w:rsidRPr="001B5F8B">
              <w:rPr>
                <w:rFonts w:asciiTheme="minorHAnsi" w:hAnsiTheme="minorHAnsi" w:cstheme="minorHAnsi"/>
                <w:sz w:val="20"/>
                <w:szCs w:val="20"/>
              </w:rPr>
              <w:t>1,6%</w:t>
            </w:r>
          </w:p>
        </w:tc>
        <w:tc>
          <w:tcPr>
            <w:tcW w:w="1134" w:type="dxa"/>
            <w:gridSpan w:val="2"/>
            <w:tcBorders>
              <w:top w:val="nil"/>
              <w:left w:val="nil"/>
              <w:bottom w:val="nil"/>
              <w:right w:val="nil"/>
            </w:tcBorders>
            <w:noWrap/>
            <w:tcMar>
              <w:top w:w="15" w:type="dxa"/>
              <w:left w:w="15" w:type="dxa"/>
              <w:bottom w:w="0" w:type="dxa"/>
              <w:right w:w="15" w:type="dxa"/>
            </w:tcMar>
            <w:vAlign w:val="center"/>
            <w:hideMark/>
          </w:tcPr>
          <w:p w14:paraId="1F07C41F" w14:textId="77777777" w:rsidR="00B1608A" w:rsidRPr="001B5F8B" w:rsidRDefault="00B1608A" w:rsidP="004F1CBC">
            <w:pPr>
              <w:jc w:val="center"/>
              <w:rPr>
                <w:rFonts w:asciiTheme="minorHAnsi" w:hAnsiTheme="minorHAnsi" w:cstheme="minorHAnsi"/>
                <w:i/>
                <w:iCs/>
                <w:sz w:val="20"/>
                <w:szCs w:val="20"/>
              </w:rPr>
            </w:pPr>
            <w:r w:rsidRPr="001B5F8B">
              <w:rPr>
                <w:rFonts w:asciiTheme="minorHAnsi" w:hAnsiTheme="minorHAnsi" w:cstheme="minorHAnsi"/>
                <w:i/>
                <w:iCs/>
                <w:sz w:val="20"/>
                <w:szCs w:val="20"/>
              </w:rPr>
              <w:t>0,4%</w:t>
            </w:r>
          </w:p>
        </w:tc>
      </w:tr>
      <w:tr w:rsidR="00B1608A" w:rsidRPr="001B5F8B" w14:paraId="634DB6FF" w14:textId="77777777" w:rsidTr="004F1CBC">
        <w:trPr>
          <w:gridAfter w:val="1"/>
          <w:wAfter w:w="66" w:type="dxa"/>
          <w:trHeight w:val="255"/>
        </w:trPr>
        <w:tc>
          <w:tcPr>
            <w:tcW w:w="2005"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5D6C059E" w14:textId="77777777" w:rsidR="00B1608A" w:rsidRPr="001B5F8B" w:rsidRDefault="00B1608A" w:rsidP="004F1CBC">
            <w:pPr>
              <w:rPr>
                <w:rFonts w:asciiTheme="minorHAnsi" w:hAnsiTheme="minorHAnsi" w:cstheme="minorHAnsi"/>
                <w:b/>
                <w:bCs/>
                <w:sz w:val="20"/>
                <w:szCs w:val="20"/>
              </w:rPr>
            </w:pPr>
            <w:r w:rsidRPr="001B5F8B">
              <w:rPr>
                <w:rFonts w:asciiTheme="minorHAnsi" w:hAnsiTheme="minorHAnsi" w:cstheme="minorHAnsi"/>
                <w:b/>
                <w:bCs/>
                <w:sz w:val="20"/>
                <w:szCs w:val="20"/>
              </w:rPr>
              <w:t>Totale</w:t>
            </w:r>
          </w:p>
        </w:tc>
        <w:tc>
          <w:tcPr>
            <w:tcW w:w="1538"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142060A2" w14:textId="77777777" w:rsidR="00B1608A" w:rsidRPr="001B5F8B" w:rsidRDefault="00B1608A" w:rsidP="004F1CBC">
            <w:pPr>
              <w:jc w:val="center"/>
              <w:rPr>
                <w:rFonts w:asciiTheme="minorHAnsi" w:hAnsiTheme="minorHAnsi" w:cstheme="minorHAnsi"/>
                <w:b/>
                <w:bCs/>
                <w:sz w:val="20"/>
                <w:szCs w:val="20"/>
              </w:rPr>
            </w:pPr>
            <w:r w:rsidRPr="001B5F8B">
              <w:rPr>
                <w:rFonts w:asciiTheme="minorHAnsi" w:hAnsiTheme="minorHAnsi" w:cstheme="minorHAnsi"/>
                <w:b/>
                <w:bCs/>
                <w:sz w:val="20"/>
                <w:szCs w:val="20"/>
              </w:rPr>
              <w:t>2.782.300.629</w:t>
            </w:r>
          </w:p>
        </w:tc>
        <w:tc>
          <w:tcPr>
            <w:tcW w:w="1700"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927DF59" w14:textId="77777777" w:rsidR="00B1608A" w:rsidRPr="001B5F8B" w:rsidRDefault="00B1608A" w:rsidP="004F1CBC">
            <w:pPr>
              <w:jc w:val="center"/>
              <w:rPr>
                <w:rFonts w:asciiTheme="minorHAnsi" w:hAnsiTheme="minorHAnsi" w:cstheme="minorHAnsi"/>
                <w:b/>
                <w:bCs/>
                <w:sz w:val="20"/>
                <w:szCs w:val="20"/>
              </w:rPr>
            </w:pPr>
            <w:r w:rsidRPr="001B5F8B">
              <w:rPr>
                <w:rFonts w:asciiTheme="minorHAnsi" w:hAnsiTheme="minorHAnsi" w:cstheme="minorHAnsi"/>
                <w:b/>
                <w:bCs/>
                <w:sz w:val="20"/>
                <w:szCs w:val="20"/>
              </w:rPr>
              <w:t>2.714.750.281</w:t>
            </w:r>
          </w:p>
        </w:tc>
        <w:tc>
          <w:tcPr>
            <w:tcW w:w="1278"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9B03186" w14:textId="77777777" w:rsidR="00B1608A" w:rsidRPr="001B5F8B" w:rsidRDefault="00B1608A" w:rsidP="004F1CBC">
            <w:pPr>
              <w:jc w:val="center"/>
              <w:rPr>
                <w:rFonts w:asciiTheme="minorHAnsi" w:hAnsiTheme="minorHAnsi" w:cstheme="minorHAnsi"/>
                <w:b/>
                <w:bCs/>
                <w:sz w:val="20"/>
                <w:szCs w:val="20"/>
              </w:rPr>
            </w:pPr>
            <w:r w:rsidRPr="001B5F8B">
              <w:rPr>
                <w:rFonts w:asciiTheme="minorHAnsi" w:hAnsiTheme="minorHAnsi" w:cstheme="minorHAnsi"/>
                <w:b/>
                <w:bCs/>
                <w:sz w:val="20"/>
                <w:szCs w:val="20"/>
              </w:rPr>
              <w:t>100,0%</w:t>
            </w:r>
          </w:p>
        </w:tc>
        <w:tc>
          <w:tcPr>
            <w:tcW w:w="1134"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0768B381" w14:textId="77777777" w:rsidR="00B1608A" w:rsidRPr="001B5F8B" w:rsidRDefault="00B1608A" w:rsidP="004F1CBC">
            <w:pPr>
              <w:jc w:val="center"/>
              <w:rPr>
                <w:rFonts w:asciiTheme="minorHAnsi" w:hAnsiTheme="minorHAnsi" w:cstheme="minorHAnsi"/>
                <w:b/>
                <w:bCs/>
                <w:sz w:val="20"/>
                <w:szCs w:val="20"/>
              </w:rPr>
            </w:pPr>
            <w:r w:rsidRPr="001B5F8B">
              <w:rPr>
                <w:rFonts w:asciiTheme="minorHAnsi" w:hAnsiTheme="minorHAnsi" w:cstheme="minorHAnsi"/>
                <w:b/>
                <w:bCs/>
                <w:sz w:val="20"/>
                <w:szCs w:val="20"/>
              </w:rPr>
              <w:t>-2,4%</w:t>
            </w:r>
          </w:p>
        </w:tc>
        <w:tc>
          <w:tcPr>
            <w:tcW w:w="1134" w:type="dxa"/>
            <w:gridSpan w:val="2"/>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56BB1CD3" w14:textId="77777777" w:rsidR="00B1608A" w:rsidRPr="001B5F8B" w:rsidRDefault="00B1608A" w:rsidP="004F1CBC">
            <w:pPr>
              <w:jc w:val="center"/>
              <w:rPr>
                <w:rFonts w:asciiTheme="minorHAnsi" w:hAnsiTheme="minorHAnsi" w:cstheme="minorHAnsi"/>
                <w:b/>
                <w:bCs/>
                <w:i/>
                <w:iCs/>
                <w:sz w:val="20"/>
                <w:szCs w:val="20"/>
              </w:rPr>
            </w:pPr>
            <w:r w:rsidRPr="001B5F8B">
              <w:rPr>
                <w:rFonts w:asciiTheme="minorHAnsi" w:hAnsiTheme="minorHAnsi" w:cstheme="minorHAnsi"/>
                <w:b/>
                <w:bCs/>
                <w:i/>
                <w:iCs/>
                <w:sz w:val="20"/>
                <w:szCs w:val="20"/>
              </w:rPr>
              <w:t>-2,4%</w:t>
            </w:r>
          </w:p>
        </w:tc>
      </w:tr>
      <w:tr w:rsidR="00B1608A" w:rsidRPr="001B5F8B" w14:paraId="362DE4CC" w14:textId="77777777" w:rsidTr="004F1CBC">
        <w:trPr>
          <w:gridAfter w:val="2"/>
          <w:wAfter w:w="211" w:type="dxa"/>
          <w:trHeight w:val="255"/>
        </w:trPr>
        <w:tc>
          <w:tcPr>
            <w:tcW w:w="8644" w:type="dxa"/>
            <w:gridSpan w:val="6"/>
            <w:tcBorders>
              <w:top w:val="nil"/>
              <w:left w:val="nil"/>
              <w:bottom w:val="nil"/>
            </w:tcBorders>
            <w:noWrap/>
            <w:tcMar>
              <w:top w:w="15" w:type="dxa"/>
              <w:left w:w="15" w:type="dxa"/>
              <w:bottom w:w="0" w:type="dxa"/>
              <w:right w:w="15" w:type="dxa"/>
            </w:tcMar>
            <w:vAlign w:val="center"/>
            <w:hideMark/>
          </w:tcPr>
          <w:p w14:paraId="37724781" w14:textId="77777777" w:rsidR="00B1608A" w:rsidRPr="001B5F8B" w:rsidRDefault="00B1608A" w:rsidP="004F1CBC">
            <w:pPr>
              <w:rPr>
                <w:rFonts w:asciiTheme="minorHAnsi" w:hAnsiTheme="minorHAnsi" w:cstheme="minorHAnsi"/>
                <w:i/>
                <w:iCs/>
                <w:color w:val="000000"/>
                <w:sz w:val="20"/>
                <w:szCs w:val="20"/>
              </w:rPr>
            </w:pPr>
            <w:r w:rsidRPr="001B5F8B">
              <w:rPr>
                <w:rFonts w:asciiTheme="minorHAnsi" w:hAnsiTheme="minorHAnsi" w:cstheme="minorHAnsi"/>
                <w:i/>
                <w:iCs/>
                <w:color w:val="000000"/>
                <w:sz w:val="20"/>
                <w:szCs w:val="20"/>
              </w:rPr>
              <w:t>Fonte: Elaborazioni Camera di Commercio Toscana Nord-Ovest -</w:t>
            </w:r>
            <w:r>
              <w:rPr>
                <w:rFonts w:asciiTheme="minorHAnsi" w:hAnsiTheme="minorHAnsi" w:cstheme="minorHAnsi"/>
                <w:i/>
                <w:iCs/>
                <w:color w:val="000000"/>
                <w:sz w:val="20"/>
                <w:szCs w:val="20"/>
              </w:rPr>
              <w:t xml:space="preserve"> </w:t>
            </w:r>
            <w:r w:rsidRPr="001B5F8B">
              <w:rPr>
                <w:rFonts w:asciiTheme="minorHAnsi" w:hAnsiTheme="minorHAnsi" w:cstheme="minorHAnsi"/>
                <w:i/>
                <w:iCs/>
                <w:color w:val="000000"/>
                <w:sz w:val="20"/>
                <w:szCs w:val="20"/>
              </w:rPr>
              <w:t>ISR su dati Istat (dati provvisori)</w:t>
            </w:r>
          </w:p>
        </w:tc>
      </w:tr>
    </w:tbl>
    <w:p w14:paraId="5BD41E10" w14:textId="48E3720D" w:rsidR="005A6585" w:rsidRDefault="005A6585">
      <w:pPr>
        <w:rPr>
          <w:rFonts w:ascii="Calibri" w:hAnsi="Calibri"/>
          <w:b/>
        </w:rPr>
      </w:pPr>
    </w:p>
    <w:p w14:paraId="589B38A9" w14:textId="77777777" w:rsidR="005A6585" w:rsidRDefault="005A6585">
      <w:pPr>
        <w:rPr>
          <w:rFonts w:ascii="Calibri" w:hAnsi="Calibri"/>
          <w:b/>
        </w:rPr>
      </w:pPr>
      <w:r>
        <w:rPr>
          <w:rFonts w:ascii="Calibri" w:hAnsi="Calibri"/>
          <w:b/>
        </w:rPr>
        <w:br w:type="page"/>
      </w:r>
    </w:p>
    <w:p w14:paraId="5A7F61E7" w14:textId="77777777" w:rsidR="00B1608A" w:rsidRPr="00192FB8" w:rsidRDefault="00B1608A" w:rsidP="00B1608A">
      <w:pPr>
        <w:tabs>
          <w:tab w:val="left" w:pos="1845"/>
        </w:tabs>
        <w:spacing w:after="240"/>
        <w:rPr>
          <w:rFonts w:ascii="Calibri" w:hAnsi="Calibri" w:cs="Calibri"/>
          <w:b/>
          <w:bCs/>
          <w:sz w:val="28"/>
          <w:szCs w:val="28"/>
        </w:rPr>
      </w:pPr>
      <w:r w:rsidRPr="00192FB8">
        <w:rPr>
          <w:rFonts w:ascii="Calibri" w:hAnsi="Calibri" w:cs="Calibri"/>
          <w:b/>
          <w:bCs/>
          <w:sz w:val="28"/>
          <w:szCs w:val="28"/>
        </w:rPr>
        <w:lastRenderedPageBreak/>
        <w:t>L’ANDAMENTO DELL’EXPORT DELLA PROVINCIA DI MASSA-CARRARA</w:t>
      </w:r>
    </w:p>
    <w:p w14:paraId="63DBB9B3" w14:textId="77777777" w:rsidR="00B1608A" w:rsidRPr="00192FB8" w:rsidRDefault="00B1608A" w:rsidP="00B1608A">
      <w:pPr>
        <w:pBdr>
          <w:top w:val="nil"/>
          <w:left w:val="nil"/>
          <w:bottom w:val="nil"/>
          <w:right w:val="nil"/>
          <w:between w:val="nil"/>
        </w:pBdr>
        <w:rPr>
          <w:rFonts w:ascii="Calibri" w:hAnsi="Calibri"/>
          <w:b/>
        </w:rPr>
      </w:pPr>
      <w:r w:rsidRPr="00192FB8">
        <w:rPr>
          <w:rFonts w:ascii="Calibri" w:hAnsi="Calibri"/>
          <w:b/>
        </w:rPr>
        <w:t>L’andamento generale</w:t>
      </w:r>
    </w:p>
    <w:p w14:paraId="7F6FFF9C" w14:textId="77777777" w:rsidR="00B1608A" w:rsidRPr="00192FB8" w:rsidRDefault="00B1608A" w:rsidP="00B1608A">
      <w:pPr>
        <w:pStyle w:val="Corpotesto"/>
        <w:jc w:val="both"/>
        <w:rPr>
          <w:rFonts w:ascii="Calibri" w:hAnsi="Calibri"/>
          <w:iCs/>
          <w:sz w:val="24"/>
          <w:lang w:val="it-IT"/>
        </w:rPr>
      </w:pPr>
      <w:r w:rsidRPr="00192FB8">
        <w:rPr>
          <w:rFonts w:ascii="Calibri" w:hAnsi="Calibri"/>
          <w:iCs/>
          <w:sz w:val="24"/>
          <w:lang w:val="it-IT"/>
        </w:rPr>
        <w:t xml:space="preserve">I dati relativi al primo semestre 2026 hanno evidenziato una crescita del 74,9% delle esportazioni della provincia di Massa-Carrara rispetto allo stesso periodo del 2025. In termini assoluti, l’incremento è stato di circa 809 milioni di euro, portando il valore complessivo dell’export a circa 1 miliardo e 890 milioni. Come spesso accade nel territorio apuano, il risultato complessivo è fortemente condizionato dal comparto della meccanica, che nel semestre rappresenta oltre il 72% del totale delle vendite estere provinciali. </w:t>
      </w:r>
    </w:p>
    <w:p w14:paraId="06ADFFFB" w14:textId="77777777" w:rsidR="00B1608A" w:rsidRPr="00192FB8" w:rsidRDefault="00B1608A" w:rsidP="00B1608A">
      <w:pPr>
        <w:pStyle w:val="Corpotesto"/>
        <w:jc w:val="both"/>
        <w:rPr>
          <w:rFonts w:ascii="Calibri" w:hAnsi="Calibri"/>
          <w:iCs/>
          <w:sz w:val="24"/>
          <w:lang w:val="it-IT"/>
        </w:rPr>
      </w:pPr>
      <w:r w:rsidRPr="00192FB8">
        <w:rPr>
          <w:rFonts w:ascii="Calibri" w:hAnsi="Calibri"/>
          <w:iCs/>
          <w:sz w:val="24"/>
          <w:lang w:val="it-IT"/>
        </w:rPr>
        <w:t xml:space="preserve">Il settore è caratterizzato da un andamento altalenante, strettamente collegato al ciclo di fatturazione di grandi commesse: nei primi sei mesi del 2026, infatti, la meccanica ha messo a segno un risultato molto elevato, trainato in particolare dal comparto delle </w:t>
      </w:r>
      <w:r w:rsidRPr="00192FB8">
        <w:rPr>
          <w:rFonts w:ascii="Calibri" w:hAnsi="Calibri"/>
          <w:b/>
          <w:bCs/>
          <w:iCs/>
          <w:sz w:val="24"/>
          <w:lang w:val="it-IT"/>
        </w:rPr>
        <w:t>altre macchine di impiego generale</w:t>
      </w:r>
      <w:r w:rsidRPr="00192FB8">
        <w:rPr>
          <w:rFonts w:ascii="Calibri" w:hAnsi="Calibri"/>
          <w:iCs/>
          <w:sz w:val="24"/>
          <w:lang w:val="it-IT"/>
        </w:rPr>
        <w:t>, le cui esportazioni sono risalite a 855,4 milioni di euro dopo il crollo del primo semestre 2025, quando si erano fermate a 74,8 milioni. Al netto di tale settore la crescita dell’export apuano si sarebbe fermata al 2,9%.</w:t>
      </w:r>
    </w:p>
    <w:p w14:paraId="5C4200D8" w14:textId="77777777" w:rsidR="00B1608A" w:rsidRPr="00192FB8" w:rsidRDefault="00B1608A" w:rsidP="00B1608A">
      <w:pPr>
        <w:pStyle w:val="Corpotesto"/>
        <w:jc w:val="both"/>
        <w:rPr>
          <w:rFonts w:ascii="Calibri" w:hAnsi="Calibri"/>
          <w:iCs/>
          <w:sz w:val="24"/>
          <w:lang w:val="it-IT"/>
        </w:rPr>
      </w:pPr>
      <w:r w:rsidRPr="00192FB8">
        <w:rPr>
          <w:rFonts w:ascii="Calibri" w:hAnsi="Calibri"/>
          <w:iCs/>
          <w:sz w:val="24"/>
          <w:lang w:val="it-IT"/>
        </w:rPr>
        <w:t>Sul fronte delle importazioni il dato si è confermato negativo. Il valore degli acquisti dall’estero della provincia di Massa-Carrara è sceso a 458,3 milioni dai 501,4 milioni di euro del primo semestre 2025, registrando una diminuzione di circa 43 milioni di euro, pari all’8,6%.</w:t>
      </w:r>
    </w:p>
    <w:p w14:paraId="6B27554D" w14:textId="77777777" w:rsidR="00B1608A" w:rsidRPr="00192FB8" w:rsidRDefault="00B1608A" w:rsidP="00B1608A">
      <w:pPr>
        <w:spacing w:before="240"/>
        <w:rPr>
          <w:rFonts w:ascii="Calibri" w:hAnsi="Calibri"/>
          <w:b/>
        </w:rPr>
      </w:pPr>
      <w:r w:rsidRPr="00192FB8">
        <w:rPr>
          <w:rFonts w:ascii="Calibri" w:hAnsi="Calibri"/>
          <w:b/>
        </w:rPr>
        <w:t>Gli andamenti settoriali</w:t>
      </w:r>
    </w:p>
    <w:p w14:paraId="4C720B41" w14:textId="56F3FFF8" w:rsidR="00B1608A" w:rsidRDefault="00B1608A" w:rsidP="008C5D96">
      <w:pPr>
        <w:jc w:val="both"/>
        <w:rPr>
          <w:rFonts w:ascii="Calibri" w:hAnsi="Calibri"/>
        </w:rPr>
      </w:pPr>
      <w:r w:rsidRPr="00192FB8">
        <w:rPr>
          <w:rFonts w:ascii="Calibri" w:hAnsi="Calibri"/>
        </w:rPr>
        <w:t xml:space="preserve">Il risultato del primo semestre 2026 risulta fortemente influenzato dalla crescita delle esportazioni delle </w:t>
      </w:r>
      <w:r w:rsidRPr="00192FB8">
        <w:rPr>
          <w:rFonts w:ascii="Calibri" w:hAnsi="Calibri"/>
          <w:b/>
          <w:i/>
        </w:rPr>
        <w:t>altre macchine di impiego generale</w:t>
      </w:r>
      <w:r w:rsidRPr="00192FB8">
        <w:rPr>
          <w:rFonts w:ascii="Calibri" w:hAnsi="Calibri"/>
        </w:rPr>
        <w:t>, che includono macchinari e apparecchiature destinate all’industria chimica, petrolchimica e petrolifera: le vendite estere sono salite a oltre 855 milioni di euro, con un incremento di circa 781 milioni di euro in valore assoluto rispetto al pari periodo del 2025 nel quale però si era registrato un valore particolarmente basso. Il comparto, che ora rappresenta il 45,3% dell’intero export provinciale, ha da solo contribuito per 72,3 punti percentuali alla crescita complessiva delle esportazioni apuane, risultando il principale motore della crescita registrata nel semestre. Si tratta, come già osservato, di una dinamica che risente dell’altalenante ciclo di fatturazione di grandi commesse, che può determinare forti oscillazioni dei valori esportati tra un semestre e l’altro.</w:t>
      </w:r>
      <w:r w:rsidR="008C5D96">
        <w:rPr>
          <w:rFonts w:ascii="Calibri" w:hAnsi="Calibri"/>
        </w:rPr>
        <w:t xml:space="preserve"> </w:t>
      </w:r>
      <w:r w:rsidRPr="00192FB8">
        <w:rPr>
          <w:rFonts w:ascii="Calibri" w:hAnsi="Calibri"/>
        </w:rPr>
        <w:t>Il balzo del comparto è quasi interamente riconducibile alla forte ripresa delle vendite verso gli Stati Uniti, che con 533 milioni di euro assorbono il 62,3% dell’intero export del settore. Si tratta di un recupero pieno: dopo essere crollate a poco più di 9 milioni di euro nel primo semestre 2025 (in forte flessione rispetto ai 384 milioni del primo semestre 2024), le esportazioni verso gli Stati Uniti sono tornate abbondantemente sopra i livelli precedenti. In forte crescita anche la Cina, che da un valore pressoché nullo nel 2025 è balzata a quasi 102 milioni di euro. In aumento anche gli Emirati Arabi Uniti (83,5 milioni di euro), l’Algeria (61,3 milioni), la Nigeria (40 milioni, da un valore quasi nullo nel 2025) e la Corea del Sud (25 milioni).</w:t>
      </w:r>
      <w:r w:rsidR="008C5D96">
        <w:rPr>
          <w:rFonts w:ascii="Calibri" w:hAnsi="Calibri"/>
        </w:rPr>
        <w:t xml:space="preserve"> </w:t>
      </w:r>
      <w:r w:rsidRPr="00192FB8">
        <w:rPr>
          <w:rFonts w:ascii="Calibri" w:hAnsi="Calibri"/>
        </w:rPr>
        <w:t xml:space="preserve">Dopo il forte rimbalzo registrato nel primo semestre 2025, le vendite all’estero di </w:t>
      </w:r>
      <w:r w:rsidRPr="00192FB8">
        <w:rPr>
          <w:rFonts w:ascii="Calibri" w:hAnsi="Calibri"/>
          <w:b/>
          <w:i/>
        </w:rPr>
        <w:t>macchine di impiego generale</w:t>
      </w:r>
      <w:r w:rsidRPr="00192FB8">
        <w:rPr>
          <w:rFonts w:ascii="Calibri" w:hAnsi="Calibri"/>
        </w:rPr>
        <w:t xml:space="preserve"> (turbine, pompe, accessori ed altro) hanno proseguito la crescita anche nel primo semestre 2026, raggiungendo i 431 milioni di euro, in aumento del 26,7% (+91 milioni) rispetto allo stesso periodo dell’anno precedente. Il comparto si conferma il secondo per rilevanza nell’export apuano, con un’incidenza del 22,8% sul totale e un contributo di 8,4 punti percentuali alla crescita complessiva.</w:t>
      </w:r>
      <w:r w:rsidR="008C5D96">
        <w:rPr>
          <w:rFonts w:ascii="Calibri" w:hAnsi="Calibri"/>
        </w:rPr>
        <w:t xml:space="preserve"> </w:t>
      </w:r>
      <w:r w:rsidRPr="00192FB8">
        <w:rPr>
          <w:rFonts w:ascii="Calibri" w:hAnsi="Calibri"/>
        </w:rPr>
        <w:t xml:space="preserve">Il mercato statunitense è il principale sbocco del comparto, con 107,3 milioni di euro (24,9% del totale) grazie a un incremento del 150% nel semestre (+64 milioni). In flessione, invece, la Corea del Sud, che dopo essere stata il primo mercato di sbocco nel 2025 (quasi 100 milioni di euro) è scesa a 51 milioni (-48,8%). Segue l’Indonesia, nuovo mercato nel semestre, con oltre 43 milioni di euro. In recupero la Norvegia (36,4 </w:t>
      </w:r>
      <w:r w:rsidRPr="00192FB8">
        <w:rPr>
          <w:rFonts w:ascii="Calibri" w:hAnsi="Calibri"/>
        </w:rPr>
        <w:lastRenderedPageBreak/>
        <w:t>milioni, +141%) che supera i livelli del 2024, mentre crescono Australia (27,3 milioni) e Algeria (24 milioni, sui livelli del 2024).</w:t>
      </w:r>
      <w:r w:rsidR="008C5D96">
        <w:rPr>
          <w:rFonts w:ascii="Calibri" w:hAnsi="Calibri"/>
        </w:rPr>
        <w:t xml:space="preserve"> </w:t>
      </w:r>
      <w:r w:rsidRPr="00192FB8">
        <w:rPr>
          <w:rFonts w:ascii="Calibri" w:hAnsi="Calibri"/>
        </w:rPr>
        <w:t xml:space="preserve">Tra gli altri segmenti della meccanica spicca il balzo dei </w:t>
      </w:r>
      <w:r w:rsidRPr="00192FB8">
        <w:rPr>
          <w:rFonts w:ascii="Calibri" w:hAnsi="Calibri"/>
          <w:b/>
          <w:i/>
        </w:rPr>
        <w:t>motori, generatori e trasformatori elettrici</w:t>
      </w:r>
      <w:r w:rsidRPr="00192FB8">
        <w:rPr>
          <w:rFonts w:ascii="Calibri" w:hAnsi="Calibri"/>
        </w:rPr>
        <w:t>, il cui export è quintuplicato raggiungendo i 71,9 milioni di euro. La crescita si è concentrata su Cina (25 milioni), Nigeria (24,2 milioni) e Corea del Sud (16 milioni), mentre gli Stati Uniti, primo mercato un anno fa, hanno quasi azzerato gli acquisti.</w:t>
      </w:r>
      <w:r w:rsidR="008C5D96">
        <w:rPr>
          <w:rFonts w:ascii="Calibri" w:hAnsi="Calibri"/>
        </w:rPr>
        <w:t xml:space="preserve"> </w:t>
      </w:r>
      <w:r w:rsidRPr="00192FB8">
        <w:rPr>
          <w:rFonts w:ascii="Calibri" w:hAnsi="Calibri"/>
        </w:rPr>
        <w:t xml:space="preserve">In marcato calo invece le vendite estere di </w:t>
      </w:r>
      <w:r w:rsidRPr="00192FB8">
        <w:rPr>
          <w:rFonts w:ascii="Calibri" w:hAnsi="Calibri"/>
          <w:b/>
          <w:i/>
        </w:rPr>
        <w:t>macchine per la formatura dei metalli</w:t>
      </w:r>
      <w:r w:rsidRPr="00192FB8">
        <w:rPr>
          <w:rFonts w:ascii="Calibri" w:hAnsi="Calibri"/>
        </w:rPr>
        <w:t xml:space="preserve">, il cui export è sceso a 11,3 milioni di euro, con una flessione del 26,1% rispetto allo stesso periodo dell’anno precedente. In controtendenza rispetto al primo semestre 2025, le </w:t>
      </w:r>
      <w:r w:rsidRPr="00192FB8">
        <w:rPr>
          <w:rFonts w:ascii="Calibri" w:hAnsi="Calibri"/>
          <w:b/>
          <w:i/>
        </w:rPr>
        <w:t>altre macchine per impieghi speciali</w:t>
      </w:r>
      <w:r w:rsidRPr="00192FB8">
        <w:rPr>
          <w:rFonts w:ascii="Calibri" w:hAnsi="Calibri"/>
        </w:rPr>
        <w:t xml:space="preserve"> hanno segnato una battuta d’arresto, con l’export sceso a 4,9 milioni di euro (-53,4%).</w:t>
      </w:r>
    </w:p>
    <w:p w14:paraId="14DFF6C3" w14:textId="77777777" w:rsidR="008C5D96" w:rsidRPr="00192FB8" w:rsidRDefault="008C5D96" w:rsidP="008C5D96">
      <w:pPr>
        <w:jc w:val="both"/>
        <w:rPr>
          <w:rFonts w:ascii="Calibri" w:hAnsi="Calibri"/>
        </w:rPr>
      </w:pPr>
    </w:p>
    <w:tbl>
      <w:tblPr>
        <w:tblW w:w="9537" w:type="dxa"/>
        <w:tblInd w:w="70" w:type="dxa"/>
        <w:tblCellMar>
          <w:left w:w="70" w:type="dxa"/>
          <w:right w:w="70" w:type="dxa"/>
        </w:tblCellMar>
        <w:tblLook w:val="04A0" w:firstRow="1" w:lastRow="0" w:firstColumn="1" w:lastColumn="0" w:noHBand="0" w:noVBand="1"/>
      </w:tblPr>
      <w:tblGrid>
        <w:gridCol w:w="3907"/>
        <w:gridCol w:w="1369"/>
        <w:gridCol w:w="1367"/>
        <w:gridCol w:w="1012"/>
        <w:gridCol w:w="840"/>
        <w:gridCol w:w="1042"/>
      </w:tblGrid>
      <w:tr w:rsidR="00B1608A" w:rsidRPr="00192FB8" w14:paraId="5A528226" w14:textId="77777777" w:rsidTr="004F1CBC">
        <w:trPr>
          <w:trHeight w:val="288"/>
        </w:trPr>
        <w:tc>
          <w:tcPr>
            <w:tcW w:w="7655" w:type="dxa"/>
            <w:gridSpan w:val="4"/>
            <w:tcBorders>
              <w:top w:val="nil"/>
              <w:left w:val="nil"/>
              <w:bottom w:val="nil"/>
              <w:right w:val="nil"/>
            </w:tcBorders>
            <w:noWrap/>
            <w:vAlign w:val="center"/>
            <w:hideMark/>
          </w:tcPr>
          <w:p w14:paraId="4E2698C6" w14:textId="77777777" w:rsidR="00B1608A" w:rsidRPr="00192FB8" w:rsidRDefault="00B1608A" w:rsidP="004F1CBC">
            <w:pPr>
              <w:rPr>
                <w:rFonts w:ascii="Calibri" w:hAnsi="Calibri" w:cs="Calibri"/>
                <w:b/>
                <w:bCs/>
                <w:color w:val="000000"/>
                <w:sz w:val="20"/>
                <w:szCs w:val="20"/>
              </w:rPr>
            </w:pPr>
            <w:r w:rsidRPr="00192FB8">
              <w:rPr>
                <w:rFonts w:ascii="Calibri" w:hAnsi="Calibri" w:cs="Calibri"/>
                <w:iCs/>
              </w:rPr>
              <w:br w:type="page"/>
            </w:r>
            <w:r w:rsidRPr="00192FB8">
              <w:rPr>
                <w:rFonts w:ascii="Calibri" w:hAnsi="Calibri" w:cs="Calibri"/>
                <w:iCs/>
              </w:rPr>
              <w:br w:type="page"/>
            </w:r>
            <w:r w:rsidRPr="00192FB8">
              <w:rPr>
                <w:rFonts w:ascii="Calibri" w:hAnsi="Calibri" w:cs="Calibri"/>
                <w:b/>
                <w:bCs/>
                <w:color w:val="000000"/>
                <w:sz w:val="20"/>
                <w:szCs w:val="20"/>
              </w:rPr>
              <w:t>I principali settori esportatori della provincia di Massa-Carrara - I semestre 2026</w:t>
            </w:r>
          </w:p>
        </w:tc>
        <w:tc>
          <w:tcPr>
            <w:tcW w:w="840" w:type="dxa"/>
            <w:tcBorders>
              <w:top w:val="nil"/>
              <w:left w:val="nil"/>
              <w:bottom w:val="nil"/>
              <w:right w:val="nil"/>
            </w:tcBorders>
            <w:noWrap/>
            <w:vAlign w:val="center"/>
            <w:hideMark/>
          </w:tcPr>
          <w:p w14:paraId="39BFCDCE" w14:textId="77777777" w:rsidR="00B1608A" w:rsidRPr="00192FB8" w:rsidRDefault="00B1608A" w:rsidP="004F1CBC">
            <w:pPr>
              <w:rPr>
                <w:rFonts w:ascii="Calibri" w:hAnsi="Calibri" w:cs="Calibri"/>
                <w:b/>
                <w:bCs/>
                <w:color w:val="000000"/>
                <w:sz w:val="20"/>
                <w:szCs w:val="20"/>
              </w:rPr>
            </w:pPr>
          </w:p>
        </w:tc>
        <w:tc>
          <w:tcPr>
            <w:tcW w:w="1042" w:type="dxa"/>
            <w:tcBorders>
              <w:top w:val="nil"/>
              <w:left w:val="nil"/>
              <w:bottom w:val="nil"/>
              <w:right w:val="nil"/>
            </w:tcBorders>
            <w:noWrap/>
            <w:vAlign w:val="center"/>
            <w:hideMark/>
          </w:tcPr>
          <w:p w14:paraId="0E472491" w14:textId="77777777" w:rsidR="00B1608A" w:rsidRPr="00192FB8" w:rsidRDefault="00B1608A" w:rsidP="004F1CBC">
            <w:pPr>
              <w:rPr>
                <w:sz w:val="20"/>
                <w:szCs w:val="20"/>
              </w:rPr>
            </w:pPr>
          </w:p>
        </w:tc>
      </w:tr>
      <w:tr w:rsidR="00B1608A" w:rsidRPr="00192FB8" w14:paraId="39E46E0E" w14:textId="77777777" w:rsidTr="004F1CBC">
        <w:trPr>
          <w:trHeight w:val="288"/>
        </w:trPr>
        <w:tc>
          <w:tcPr>
            <w:tcW w:w="5276" w:type="dxa"/>
            <w:gridSpan w:val="2"/>
            <w:tcBorders>
              <w:top w:val="nil"/>
              <w:left w:val="nil"/>
              <w:bottom w:val="nil"/>
              <w:right w:val="nil"/>
            </w:tcBorders>
            <w:noWrap/>
            <w:vAlign w:val="center"/>
            <w:hideMark/>
          </w:tcPr>
          <w:p w14:paraId="2A57E3D7" w14:textId="77777777" w:rsidR="00B1608A" w:rsidRPr="00192FB8" w:rsidRDefault="00B1608A" w:rsidP="004F1CBC">
            <w:pPr>
              <w:rPr>
                <w:rFonts w:ascii="Calibri" w:hAnsi="Calibri" w:cs="Calibri"/>
                <w:i/>
                <w:iCs/>
                <w:color w:val="000000"/>
                <w:sz w:val="20"/>
                <w:szCs w:val="20"/>
              </w:rPr>
            </w:pPr>
            <w:r w:rsidRPr="00192FB8">
              <w:rPr>
                <w:rFonts w:ascii="Calibri" w:hAnsi="Calibri" w:cs="Calibri"/>
                <w:i/>
                <w:iCs/>
                <w:color w:val="000000"/>
                <w:sz w:val="20"/>
                <w:szCs w:val="20"/>
              </w:rPr>
              <w:t>Valori assoluti in euro, var. % e contributi % alla crescita </w:t>
            </w:r>
          </w:p>
        </w:tc>
        <w:tc>
          <w:tcPr>
            <w:tcW w:w="1367" w:type="dxa"/>
            <w:tcBorders>
              <w:top w:val="nil"/>
              <w:left w:val="nil"/>
              <w:bottom w:val="nil"/>
              <w:right w:val="nil"/>
            </w:tcBorders>
            <w:noWrap/>
            <w:vAlign w:val="center"/>
            <w:hideMark/>
          </w:tcPr>
          <w:p w14:paraId="08CC8880" w14:textId="77777777" w:rsidR="00B1608A" w:rsidRPr="00192FB8" w:rsidRDefault="00B1608A" w:rsidP="004F1CBC">
            <w:pPr>
              <w:rPr>
                <w:rFonts w:ascii="Calibri" w:hAnsi="Calibri" w:cs="Calibri"/>
                <w:i/>
                <w:iCs/>
                <w:color w:val="000000"/>
                <w:sz w:val="20"/>
                <w:szCs w:val="20"/>
              </w:rPr>
            </w:pPr>
          </w:p>
        </w:tc>
        <w:tc>
          <w:tcPr>
            <w:tcW w:w="1012" w:type="dxa"/>
            <w:tcBorders>
              <w:top w:val="nil"/>
              <w:left w:val="nil"/>
              <w:bottom w:val="nil"/>
              <w:right w:val="nil"/>
            </w:tcBorders>
            <w:noWrap/>
            <w:vAlign w:val="center"/>
            <w:hideMark/>
          </w:tcPr>
          <w:p w14:paraId="299D3E5D" w14:textId="77777777" w:rsidR="00B1608A" w:rsidRPr="00192FB8" w:rsidRDefault="00B1608A" w:rsidP="004F1CBC">
            <w:pPr>
              <w:rPr>
                <w:sz w:val="20"/>
                <w:szCs w:val="20"/>
              </w:rPr>
            </w:pPr>
          </w:p>
        </w:tc>
        <w:tc>
          <w:tcPr>
            <w:tcW w:w="840" w:type="dxa"/>
            <w:tcBorders>
              <w:top w:val="nil"/>
              <w:left w:val="nil"/>
              <w:bottom w:val="nil"/>
              <w:right w:val="nil"/>
            </w:tcBorders>
            <w:noWrap/>
            <w:vAlign w:val="center"/>
            <w:hideMark/>
          </w:tcPr>
          <w:p w14:paraId="106E418A" w14:textId="77777777" w:rsidR="00B1608A" w:rsidRPr="00192FB8" w:rsidRDefault="00B1608A" w:rsidP="004F1CBC">
            <w:pPr>
              <w:rPr>
                <w:sz w:val="20"/>
                <w:szCs w:val="20"/>
              </w:rPr>
            </w:pPr>
          </w:p>
        </w:tc>
        <w:tc>
          <w:tcPr>
            <w:tcW w:w="1042" w:type="dxa"/>
            <w:tcBorders>
              <w:top w:val="nil"/>
              <w:left w:val="nil"/>
              <w:bottom w:val="nil"/>
              <w:right w:val="nil"/>
            </w:tcBorders>
            <w:noWrap/>
            <w:vAlign w:val="center"/>
            <w:hideMark/>
          </w:tcPr>
          <w:p w14:paraId="70D5171C" w14:textId="77777777" w:rsidR="00B1608A" w:rsidRPr="00192FB8" w:rsidRDefault="00B1608A" w:rsidP="004F1CBC">
            <w:pPr>
              <w:rPr>
                <w:sz w:val="20"/>
                <w:szCs w:val="20"/>
              </w:rPr>
            </w:pPr>
          </w:p>
        </w:tc>
      </w:tr>
      <w:tr w:rsidR="00B1608A" w:rsidRPr="00192FB8" w14:paraId="496758F7" w14:textId="77777777" w:rsidTr="004F1CBC">
        <w:trPr>
          <w:trHeight w:val="288"/>
        </w:trPr>
        <w:tc>
          <w:tcPr>
            <w:tcW w:w="3907" w:type="dxa"/>
            <w:vMerge w:val="restart"/>
            <w:tcBorders>
              <w:top w:val="single" w:sz="4" w:space="0" w:color="auto"/>
              <w:left w:val="nil"/>
              <w:bottom w:val="single" w:sz="4" w:space="0" w:color="000000"/>
              <w:right w:val="nil"/>
            </w:tcBorders>
            <w:noWrap/>
            <w:vAlign w:val="center"/>
            <w:hideMark/>
          </w:tcPr>
          <w:p w14:paraId="0B5EE3AF" w14:textId="77777777" w:rsidR="00B1608A" w:rsidRPr="00192FB8" w:rsidRDefault="00B1608A" w:rsidP="004F1CBC">
            <w:pPr>
              <w:rPr>
                <w:rFonts w:ascii="Calibri" w:hAnsi="Calibri" w:cs="Calibri"/>
                <w:b/>
                <w:bCs/>
                <w:color w:val="000000"/>
                <w:sz w:val="20"/>
                <w:szCs w:val="20"/>
              </w:rPr>
            </w:pPr>
            <w:r w:rsidRPr="00192FB8">
              <w:rPr>
                <w:rFonts w:ascii="Calibri" w:hAnsi="Calibri" w:cs="Calibri"/>
                <w:b/>
                <w:bCs/>
                <w:color w:val="000000"/>
                <w:sz w:val="20"/>
                <w:szCs w:val="20"/>
              </w:rPr>
              <w:t>Settori di attività</w:t>
            </w:r>
          </w:p>
        </w:tc>
        <w:tc>
          <w:tcPr>
            <w:tcW w:w="2736" w:type="dxa"/>
            <w:gridSpan w:val="2"/>
            <w:tcBorders>
              <w:top w:val="single" w:sz="4" w:space="0" w:color="auto"/>
              <w:left w:val="nil"/>
              <w:bottom w:val="single" w:sz="4" w:space="0" w:color="auto"/>
              <w:right w:val="nil"/>
            </w:tcBorders>
            <w:noWrap/>
            <w:vAlign w:val="center"/>
            <w:hideMark/>
          </w:tcPr>
          <w:p w14:paraId="525166D2" w14:textId="77777777" w:rsidR="00B1608A" w:rsidRPr="00192FB8" w:rsidRDefault="00B1608A" w:rsidP="004F1CBC">
            <w:pPr>
              <w:jc w:val="center"/>
              <w:rPr>
                <w:rFonts w:ascii="Calibri" w:hAnsi="Calibri" w:cs="Calibri"/>
                <w:b/>
                <w:bCs/>
                <w:color w:val="000000"/>
                <w:sz w:val="20"/>
                <w:szCs w:val="20"/>
              </w:rPr>
            </w:pPr>
            <w:r w:rsidRPr="00192FB8">
              <w:rPr>
                <w:rFonts w:ascii="Calibri" w:hAnsi="Calibri" w:cs="Calibri"/>
                <w:b/>
                <w:bCs/>
                <w:color w:val="000000"/>
                <w:sz w:val="20"/>
                <w:szCs w:val="20"/>
              </w:rPr>
              <w:t>Valori assoluti in euro</w:t>
            </w:r>
          </w:p>
        </w:tc>
        <w:tc>
          <w:tcPr>
            <w:tcW w:w="1012" w:type="dxa"/>
            <w:vMerge w:val="restart"/>
            <w:tcBorders>
              <w:top w:val="single" w:sz="4" w:space="0" w:color="auto"/>
              <w:left w:val="nil"/>
              <w:bottom w:val="single" w:sz="4" w:space="0" w:color="000000"/>
              <w:right w:val="nil"/>
            </w:tcBorders>
            <w:noWrap/>
            <w:vAlign w:val="center"/>
            <w:hideMark/>
          </w:tcPr>
          <w:p w14:paraId="17E2739D" w14:textId="77777777" w:rsidR="00B1608A" w:rsidRPr="00192FB8" w:rsidRDefault="00B1608A" w:rsidP="004F1CBC">
            <w:pPr>
              <w:jc w:val="center"/>
              <w:rPr>
                <w:rFonts w:ascii="Calibri" w:hAnsi="Calibri" w:cs="Calibri"/>
                <w:b/>
                <w:bCs/>
                <w:color w:val="000000"/>
                <w:sz w:val="20"/>
                <w:szCs w:val="20"/>
              </w:rPr>
            </w:pPr>
            <w:r w:rsidRPr="00192FB8">
              <w:rPr>
                <w:rFonts w:ascii="Calibri" w:hAnsi="Calibri" w:cs="Calibri"/>
                <w:b/>
                <w:bCs/>
                <w:color w:val="000000"/>
                <w:sz w:val="20"/>
                <w:szCs w:val="20"/>
              </w:rPr>
              <w:t>Quota %</w:t>
            </w:r>
          </w:p>
        </w:tc>
        <w:tc>
          <w:tcPr>
            <w:tcW w:w="840" w:type="dxa"/>
            <w:vMerge w:val="restart"/>
            <w:tcBorders>
              <w:top w:val="single" w:sz="4" w:space="0" w:color="auto"/>
              <w:left w:val="nil"/>
              <w:bottom w:val="single" w:sz="4" w:space="0" w:color="000000"/>
              <w:right w:val="nil"/>
            </w:tcBorders>
            <w:noWrap/>
            <w:vAlign w:val="center"/>
            <w:hideMark/>
          </w:tcPr>
          <w:p w14:paraId="657A0209" w14:textId="77777777" w:rsidR="00B1608A" w:rsidRPr="00192FB8" w:rsidRDefault="00B1608A" w:rsidP="004F1CBC">
            <w:pPr>
              <w:jc w:val="center"/>
              <w:rPr>
                <w:rFonts w:ascii="Calibri" w:hAnsi="Calibri" w:cs="Calibri"/>
                <w:b/>
                <w:bCs/>
                <w:color w:val="000000"/>
                <w:sz w:val="20"/>
                <w:szCs w:val="20"/>
              </w:rPr>
            </w:pPr>
            <w:r w:rsidRPr="00192FB8">
              <w:rPr>
                <w:rFonts w:ascii="Calibri" w:hAnsi="Calibri" w:cs="Calibri"/>
                <w:b/>
                <w:bCs/>
                <w:color w:val="000000"/>
                <w:sz w:val="20"/>
                <w:szCs w:val="20"/>
              </w:rPr>
              <w:t>Var. %</w:t>
            </w:r>
          </w:p>
        </w:tc>
        <w:tc>
          <w:tcPr>
            <w:tcW w:w="1042" w:type="dxa"/>
            <w:vMerge w:val="restart"/>
            <w:tcBorders>
              <w:top w:val="single" w:sz="4" w:space="0" w:color="auto"/>
              <w:left w:val="nil"/>
              <w:bottom w:val="single" w:sz="4" w:space="0" w:color="000000"/>
              <w:right w:val="nil"/>
            </w:tcBorders>
            <w:vAlign w:val="center"/>
            <w:hideMark/>
          </w:tcPr>
          <w:p w14:paraId="14ACEF5C" w14:textId="77777777" w:rsidR="00B1608A" w:rsidRPr="00192FB8" w:rsidRDefault="00B1608A" w:rsidP="004F1CBC">
            <w:pPr>
              <w:jc w:val="center"/>
              <w:rPr>
                <w:rFonts w:ascii="Calibri" w:hAnsi="Calibri" w:cs="Calibri"/>
                <w:b/>
                <w:bCs/>
                <w:color w:val="000000"/>
                <w:sz w:val="20"/>
                <w:szCs w:val="20"/>
              </w:rPr>
            </w:pPr>
            <w:r w:rsidRPr="00192FB8">
              <w:rPr>
                <w:rFonts w:ascii="Calibri" w:hAnsi="Calibri" w:cs="Calibri"/>
                <w:b/>
                <w:bCs/>
                <w:color w:val="000000"/>
                <w:sz w:val="20"/>
                <w:szCs w:val="20"/>
              </w:rPr>
              <w:t>Contributo %</w:t>
            </w:r>
          </w:p>
        </w:tc>
      </w:tr>
      <w:tr w:rsidR="00B1608A" w:rsidRPr="00192FB8" w14:paraId="07C6C12D" w14:textId="77777777" w:rsidTr="004F1CBC">
        <w:trPr>
          <w:trHeight w:val="288"/>
        </w:trPr>
        <w:tc>
          <w:tcPr>
            <w:tcW w:w="3907" w:type="dxa"/>
            <w:vMerge/>
            <w:tcBorders>
              <w:top w:val="single" w:sz="4" w:space="0" w:color="auto"/>
              <w:left w:val="nil"/>
              <w:bottom w:val="single" w:sz="4" w:space="0" w:color="000000"/>
              <w:right w:val="nil"/>
            </w:tcBorders>
            <w:vAlign w:val="center"/>
            <w:hideMark/>
          </w:tcPr>
          <w:p w14:paraId="1CCCCC95" w14:textId="77777777" w:rsidR="00B1608A" w:rsidRPr="00192FB8" w:rsidRDefault="00B1608A" w:rsidP="004F1CBC">
            <w:pPr>
              <w:rPr>
                <w:rFonts w:ascii="Calibri" w:hAnsi="Calibri" w:cs="Calibri"/>
                <w:b/>
                <w:bCs/>
                <w:color w:val="000000"/>
                <w:sz w:val="20"/>
                <w:szCs w:val="20"/>
              </w:rPr>
            </w:pPr>
          </w:p>
        </w:tc>
        <w:tc>
          <w:tcPr>
            <w:tcW w:w="1369" w:type="dxa"/>
            <w:tcBorders>
              <w:top w:val="nil"/>
              <w:left w:val="nil"/>
              <w:bottom w:val="single" w:sz="4" w:space="0" w:color="auto"/>
              <w:right w:val="nil"/>
            </w:tcBorders>
            <w:noWrap/>
            <w:vAlign w:val="center"/>
            <w:hideMark/>
          </w:tcPr>
          <w:p w14:paraId="77D1233A" w14:textId="77777777" w:rsidR="00B1608A" w:rsidRPr="00192FB8" w:rsidRDefault="00B1608A" w:rsidP="004F1CBC">
            <w:pPr>
              <w:jc w:val="center"/>
              <w:rPr>
                <w:rFonts w:ascii="Calibri" w:hAnsi="Calibri" w:cs="Calibri"/>
                <w:b/>
                <w:bCs/>
                <w:color w:val="000000"/>
                <w:sz w:val="20"/>
                <w:szCs w:val="20"/>
              </w:rPr>
            </w:pPr>
            <w:r w:rsidRPr="00192FB8">
              <w:rPr>
                <w:rFonts w:ascii="Calibri" w:hAnsi="Calibri" w:cs="Calibri"/>
                <w:b/>
                <w:bCs/>
                <w:color w:val="000000"/>
                <w:sz w:val="20"/>
                <w:szCs w:val="20"/>
              </w:rPr>
              <w:t xml:space="preserve">I </w:t>
            </w:r>
            <w:proofErr w:type="spellStart"/>
            <w:r w:rsidRPr="00192FB8">
              <w:rPr>
                <w:rFonts w:ascii="Calibri" w:hAnsi="Calibri" w:cs="Calibri"/>
                <w:b/>
                <w:bCs/>
                <w:color w:val="000000"/>
                <w:sz w:val="20"/>
                <w:szCs w:val="20"/>
              </w:rPr>
              <w:t>sem</w:t>
            </w:r>
            <w:proofErr w:type="spellEnd"/>
            <w:r w:rsidRPr="00192FB8">
              <w:rPr>
                <w:rFonts w:ascii="Calibri" w:hAnsi="Calibri" w:cs="Calibri"/>
                <w:b/>
                <w:bCs/>
                <w:color w:val="000000"/>
                <w:sz w:val="20"/>
                <w:szCs w:val="20"/>
              </w:rPr>
              <w:t>. 2025</w:t>
            </w:r>
          </w:p>
        </w:tc>
        <w:tc>
          <w:tcPr>
            <w:tcW w:w="1367" w:type="dxa"/>
            <w:tcBorders>
              <w:top w:val="nil"/>
              <w:left w:val="nil"/>
              <w:bottom w:val="single" w:sz="4" w:space="0" w:color="auto"/>
              <w:right w:val="nil"/>
            </w:tcBorders>
            <w:noWrap/>
            <w:vAlign w:val="center"/>
            <w:hideMark/>
          </w:tcPr>
          <w:p w14:paraId="2D4163A1" w14:textId="77777777" w:rsidR="00B1608A" w:rsidRPr="00192FB8" w:rsidRDefault="00B1608A" w:rsidP="004F1CBC">
            <w:pPr>
              <w:jc w:val="center"/>
              <w:rPr>
                <w:rFonts w:ascii="Calibri" w:hAnsi="Calibri" w:cs="Calibri"/>
                <w:b/>
                <w:bCs/>
                <w:color w:val="000000"/>
                <w:sz w:val="20"/>
                <w:szCs w:val="20"/>
              </w:rPr>
            </w:pPr>
            <w:r w:rsidRPr="00192FB8">
              <w:rPr>
                <w:rFonts w:ascii="Calibri" w:hAnsi="Calibri" w:cs="Calibri"/>
                <w:b/>
                <w:bCs/>
                <w:color w:val="000000"/>
                <w:sz w:val="20"/>
                <w:szCs w:val="20"/>
              </w:rPr>
              <w:t xml:space="preserve">I </w:t>
            </w:r>
            <w:proofErr w:type="spellStart"/>
            <w:r w:rsidRPr="00192FB8">
              <w:rPr>
                <w:rFonts w:ascii="Calibri" w:hAnsi="Calibri" w:cs="Calibri"/>
                <w:b/>
                <w:bCs/>
                <w:color w:val="000000"/>
                <w:sz w:val="20"/>
                <w:szCs w:val="20"/>
              </w:rPr>
              <w:t>sem</w:t>
            </w:r>
            <w:proofErr w:type="spellEnd"/>
            <w:r w:rsidRPr="00192FB8">
              <w:rPr>
                <w:rFonts w:ascii="Calibri" w:hAnsi="Calibri" w:cs="Calibri"/>
                <w:b/>
                <w:bCs/>
                <w:color w:val="000000"/>
                <w:sz w:val="20"/>
                <w:szCs w:val="20"/>
              </w:rPr>
              <w:t>. 2026</w:t>
            </w:r>
          </w:p>
        </w:tc>
        <w:tc>
          <w:tcPr>
            <w:tcW w:w="1012" w:type="dxa"/>
            <w:vMerge/>
            <w:tcBorders>
              <w:top w:val="single" w:sz="4" w:space="0" w:color="auto"/>
              <w:left w:val="nil"/>
              <w:bottom w:val="single" w:sz="4" w:space="0" w:color="000000"/>
              <w:right w:val="nil"/>
            </w:tcBorders>
            <w:vAlign w:val="center"/>
            <w:hideMark/>
          </w:tcPr>
          <w:p w14:paraId="4097DF32" w14:textId="77777777" w:rsidR="00B1608A" w:rsidRPr="00192FB8" w:rsidRDefault="00B1608A" w:rsidP="004F1CBC">
            <w:pPr>
              <w:jc w:val="center"/>
              <w:rPr>
                <w:rFonts w:ascii="Calibri" w:hAnsi="Calibri" w:cs="Calibri"/>
                <w:b/>
                <w:bCs/>
                <w:color w:val="000000"/>
                <w:sz w:val="20"/>
                <w:szCs w:val="20"/>
              </w:rPr>
            </w:pPr>
          </w:p>
        </w:tc>
        <w:tc>
          <w:tcPr>
            <w:tcW w:w="840" w:type="dxa"/>
            <w:vMerge/>
            <w:tcBorders>
              <w:top w:val="single" w:sz="4" w:space="0" w:color="auto"/>
              <w:left w:val="nil"/>
              <w:bottom w:val="single" w:sz="4" w:space="0" w:color="000000"/>
              <w:right w:val="nil"/>
            </w:tcBorders>
            <w:vAlign w:val="center"/>
            <w:hideMark/>
          </w:tcPr>
          <w:p w14:paraId="1D5A547D" w14:textId="77777777" w:rsidR="00B1608A" w:rsidRPr="00192FB8" w:rsidRDefault="00B1608A" w:rsidP="004F1CBC">
            <w:pPr>
              <w:jc w:val="center"/>
              <w:rPr>
                <w:rFonts w:ascii="Calibri" w:hAnsi="Calibri" w:cs="Calibri"/>
                <w:b/>
                <w:bCs/>
                <w:color w:val="000000"/>
                <w:sz w:val="20"/>
                <w:szCs w:val="20"/>
              </w:rPr>
            </w:pPr>
          </w:p>
        </w:tc>
        <w:tc>
          <w:tcPr>
            <w:tcW w:w="1042" w:type="dxa"/>
            <w:vMerge/>
            <w:tcBorders>
              <w:top w:val="single" w:sz="4" w:space="0" w:color="auto"/>
              <w:left w:val="nil"/>
              <w:bottom w:val="single" w:sz="4" w:space="0" w:color="000000"/>
              <w:right w:val="nil"/>
            </w:tcBorders>
            <w:vAlign w:val="center"/>
            <w:hideMark/>
          </w:tcPr>
          <w:p w14:paraId="2D67F24A" w14:textId="77777777" w:rsidR="00B1608A" w:rsidRPr="00192FB8" w:rsidRDefault="00B1608A" w:rsidP="004F1CBC">
            <w:pPr>
              <w:jc w:val="center"/>
              <w:rPr>
                <w:rFonts w:ascii="Calibri" w:hAnsi="Calibri" w:cs="Calibri"/>
                <w:b/>
                <w:bCs/>
                <w:color w:val="000000"/>
                <w:sz w:val="20"/>
                <w:szCs w:val="20"/>
              </w:rPr>
            </w:pPr>
          </w:p>
        </w:tc>
      </w:tr>
      <w:tr w:rsidR="00B1608A" w:rsidRPr="00192FB8" w14:paraId="5C5DDECD" w14:textId="77777777" w:rsidTr="004F1CBC">
        <w:trPr>
          <w:trHeight w:val="288"/>
        </w:trPr>
        <w:tc>
          <w:tcPr>
            <w:tcW w:w="3907" w:type="dxa"/>
            <w:tcBorders>
              <w:top w:val="nil"/>
              <w:left w:val="nil"/>
              <w:bottom w:val="nil"/>
              <w:right w:val="nil"/>
            </w:tcBorders>
            <w:noWrap/>
            <w:vAlign w:val="bottom"/>
            <w:hideMark/>
          </w:tcPr>
          <w:p w14:paraId="6EED88FA"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Altre macchine di impiego generale</w:t>
            </w:r>
          </w:p>
        </w:tc>
        <w:tc>
          <w:tcPr>
            <w:tcW w:w="1369" w:type="dxa"/>
            <w:tcBorders>
              <w:top w:val="nil"/>
              <w:left w:val="nil"/>
              <w:bottom w:val="nil"/>
              <w:right w:val="nil"/>
            </w:tcBorders>
            <w:noWrap/>
            <w:vAlign w:val="bottom"/>
            <w:hideMark/>
          </w:tcPr>
          <w:p w14:paraId="29ACD06A"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74.753.945</w:t>
            </w:r>
          </w:p>
        </w:tc>
        <w:tc>
          <w:tcPr>
            <w:tcW w:w="1367" w:type="dxa"/>
            <w:tcBorders>
              <w:top w:val="nil"/>
              <w:left w:val="nil"/>
              <w:bottom w:val="nil"/>
              <w:right w:val="nil"/>
            </w:tcBorders>
            <w:noWrap/>
            <w:vAlign w:val="bottom"/>
            <w:hideMark/>
          </w:tcPr>
          <w:p w14:paraId="65C43411"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855.416.404</w:t>
            </w:r>
          </w:p>
        </w:tc>
        <w:tc>
          <w:tcPr>
            <w:tcW w:w="1012" w:type="dxa"/>
            <w:tcBorders>
              <w:top w:val="nil"/>
              <w:left w:val="nil"/>
              <w:bottom w:val="nil"/>
              <w:right w:val="nil"/>
            </w:tcBorders>
            <w:noWrap/>
            <w:vAlign w:val="bottom"/>
            <w:hideMark/>
          </w:tcPr>
          <w:p w14:paraId="330E6DE8"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45,3%</w:t>
            </w:r>
          </w:p>
        </w:tc>
        <w:tc>
          <w:tcPr>
            <w:tcW w:w="840" w:type="dxa"/>
            <w:tcBorders>
              <w:top w:val="nil"/>
              <w:left w:val="nil"/>
              <w:bottom w:val="nil"/>
              <w:right w:val="nil"/>
            </w:tcBorders>
            <w:noWrap/>
            <w:vAlign w:val="bottom"/>
            <w:hideMark/>
          </w:tcPr>
          <w:p w14:paraId="4B9B2F2D"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1044,3%</w:t>
            </w:r>
          </w:p>
        </w:tc>
        <w:tc>
          <w:tcPr>
            <w:tcW w:w="1042" w:type="dxa"/>
            <w:tcBorders>
              <w:top w:val="nil"/>
              <w:left w:val="nil"/>
              <w:bottom w:val="nil"/>
              <w:right w:val="nil"/>
            </w:tcBorders>
            <w:noWrap/>
            <w:vAlign w:val="bottom"/>
            <w:hideMark/>
          </w:tcPr>
          <w:p w14:paraId="1B6DBFA5" w14:textId="77777777" w:rsidR="00B1608A" w:rsidRPr="00192FB8" w:rsidRDefault="00B1608A" w:rsidP="004F1CBC">
            <w:pPr>
              <w:jc w:val="center"/>
              <w:rPr>
                <w:rFonts w:asciiTheme="minorHAnsi" w:hAnsiTheme="minorHAnsi" w:cstheme="minorHAnsi"/>
                <w:i/>
                <w:iCs/>
                <w:color w:val="000000"/>
                <w:sz w:val="20"/>
                <w:szCs w:val="20"/>
              </w:rPr>
            </w:pPr>
            <w:r w:rsidRPr="00192FB8">
              <w:rPr>
                <w:rFonts w:asciiTheme="minorHAnsi" w:hAnsiTheme="minorHAnsi" w:cstheme="minorHAnsi"/>
                <w:color w:val="000000"/>
                <w:sz w:val="20"/>
                <w:szCs w:val="20"/>
              </w:rPr>
              <w:t>72,3%</w:t>
            </w:r>
          </w:p>
        </w:tc>
      </w:tr>
      <w:tr w:rsidR="00B1608A" w:rsidRPr="00192FB8" w14:paraId="0534FC6C" w14:textId="77777777" w:rsidTr="004F1CBC">
        <w:trPr>
          <w:trHeight w:val="288"/>
        </w:trPr>
        <w:tc>
          <w:tcPr>
            <w:tcW w:w="3907" w:type="dxa"/>
            <w:tcBorders>
              <w:top w:val="nil"/>
              <w:left w:val="nil"/>
              <w:bottom w:val="nil"/>
              <w:right w:val="nil"/>
            </w:tcBorders>
            <w:noWrap/>
            <w:vAlign w:val="bottom"/>
            <w:hideMark/>
          </w:tcPr>
          <w:p w14:paraId="183951B7"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Macchine di impiego generale</w:t>
            </w:r>
          </w:p>
        </w:tc>
        <w:tc>
          <w:tcPr>
            <w:tcW w:w="1369" w:type="dxa"/>
            <w:tcBorders>
              <w:top w:val="nil"/>
              <w:left w:val="nil"/>
              <w:bottom w:val="nil"/>
              <w:right w:val="nil"/>
            </w:tcBorders>
            <w:noWrap/>
            <w:vAlign w:val="bottom"/>
            <w:hideMark/>
          </w:tcPr>
          <w:p w14:paraId="6A009AE4"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340.284.067</w:t>
            </w:r>
          </w:p>
        </w:tc>
        <w:tc>
          <w:tcPr>
            <w:tcW w:w="1367" w:type="dxa"/>
            <w:tcBorders>
              <w:top w:val="nil"/>
              <w:left w:val="nil"/>
              <w:bottom w:val="nil"/>
              <w:right w:val="nil"/>
            </w:tcBorders>
            <w:noWrap/>
            <w:vAlign w:val="bottom"/>
            <w:hideMark/>
          </w:tcPr>
          <w:p w14:paraId="34430C9F"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431.078.315</w:t>
            </w:r>
          </w:p>
        </w:tc>
        <w:tc>
          <w:tcPr>
            <w:tcW w:w="1012" w:type="dxa"/>
            <w:tcBorders>
              <w:top w:val="nil"/>
              <w:left w:val="nil"/>
              <w:bottom w:val="nil"/>
              <w:right w:val="nil"/>
            </w:tcBorders>
            <w:noWrap/>
            <w:vAlign w:val="bottom"/>
            <w:hideMark/>
          </w:tcPr>
          <w:p w14:paraId="0B4809E7"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22,8%</w:t>
            </w:r>
          </w:p>
        </w:tc>
        <w:tc>
          <w:tcPr>
            <w:tcW w:w="840" w:type="dxa"/>
            <w:tcBorders>
              <w:top w:val="nil"/>
              <w:left w:val="nil"/>
              <w:bottom w:val="nil"/>
              <w:right w:val="nil"/>
            </w:tcBorders>
            <w:noWrap/>
            <w:vAlign w:val="bottom"/>
            <w:hideMark/>
          </w:tcPr>
          <w:p w14:paraId="65B0AA19"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26,7%</w:t>
            </w:r>
          </w:p>
        </w:tc>
        <w:tc>
          <w:tcPr>
            <w:tcW w:w="1042" w:type="dxa"/>
            <w:tcBorders>
              <w:top w:val="nil"/>
              <w:left w:val="nil"/>
              <w:bottom w:val="nil"/>
              <w:right w:val="nil"/>
            </w:tcBorders>
            <w:noWrap/>
            <w:vAlign w:val="bottom"/>
            <w:hideMark/>
          </w:tcPr>
          <w:p w14:paraId="457A705A" w14:textId="77777777" w:rsidR="00B1608A" w:rsidRPr="00192FB8" w:rsidRDefault="00B1608A" w:rsidP="004F1CBC">
            <w:pPr>
              <w:jc w:val="center"/>
              <w:rPr>
                <w:rFonts w:asciiTheme="minorHAnsi" w:hAnsiTheme="minorHAnsi" w:cstheme="minorHAnsi"/>
                <w:i/>
                <w:iCs/>
                <w:color w:val="000000"/>
                <w:sz w:val="20"/>
                <w:szCs w:val="20"/>
              </w:rPr>
            </w:pPr>
            <w:r w:rsidRPr="00192FB8">
              <w:rPr>
                <w:rFonts w:asciiTheme="minorHAnsi" w:hAnsiTheme="minorHAnsi" w:cstheme="minorHAnsi"/>
                <w:color w:val="000000"/>
                <w:sz w:val="20"/>
                <w:szCs w:val="20"/>
              </w:rPr>
              <w:t>8,4%</w:t>
            </w:r>
          </w:p>
        </w:tc>
      </w:tr>
      <w:tr w:rsidR="00B1608A" w:rsidRPr="00192FB8" w14:paraId="361C871F" w14:textId="77777777" w:rsidTr="004F1CBC">
        <w:trPr>
          <w:trHeight w:val="288"/>
        </w:trPr>
        <w:tc>
          <w:tcPr>
            <w:tcW w:w="3907" w:type="dxa"/>
            <w:tcBorders>
              <w:top w:val="nil"/>
              <w:left w:val="nil"/>
              <w:bottom w:val="nil"/>
              <w:right w:val="nil"/>
            </w:tcBorders>
            <w:noWrap/>
            <w:vAlign w:val="bottom"/>
            <w:hideMark/>
          </w:tcPr>
          <w:p w14:paraId="5CC478E6"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Pietre tagliate, modellate e finite</w:t>
            </w:r>
          </w:p>
        </w:tc>
        <w:tc>
          <w:tcPr>
            <w:tcW w:w="1369" w:type="dxa"/>
            <w:tcBorders>
              <w:top w:val="nil"/>
              <w:left w:val="nil"/>
              <w:bottom w:val="nil"/>
              <w:right w:val="nil"/>
            </w:tcBorders>
            <w:noWrap/>
            <w:vAlign w:val="bottom"/>
            <w:hideMark/>
          </w:tcPr>
          <w:p w14:paraId="785EFC33"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194.123.426</w:t>
            </w:r>
          </w:p>
        </w:tc>
        <w:tc>
          <w:tcPr>
            <w:tcW w:w="1367" w:type="dxa"/>
            <w:tcBorders>
              <w:top w:val="nil"/>
              <w:left w:val="nil"/>
              <w:bottom w:val="nil"/>
              <w:right w:val="nil"/>
            </w:tcBorders>
            <w:noWrap/>
            <w:vAlign w:val="bottom"/>
            <w:hideMark/>
          </w:tcPr>
          <w:p w14:paraId="6EFE18E6"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199.160.816</w:t>
            </w:r>
          </w:p>
        </w:tc>
        <w:tc>
          <w:tcPr>
            <w:tcW w:w="1012" w:type="dxa"/>
            <w:tcBorders>
              <w:top w:val="nil"/>
              <w:left w:val="nil"/>
              <w:bottom w:val="nil"/>
              <w:right w:val="nil"/>
            </w:tcBorders>
            <w:noWrap/>
            <w:vAlign w:val="bottom"/>
            <w:hideMark/>
          </w:tcPr>
          <w:p w14:paraId="250E30CF"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10,5%</w:t>
            </w:r>
          </w:p>
        </w:tc>
        <w:tc>
          <w:tcPr>
            <w:tcW w:w="840" w:type="dxa"/>
            <w:tcBorders>
              <w:top w:val="nil"/>
              <w:left w:val="nil"/>
              <w:bottom w:val="nil"/>
              <w:right w:val="nil"/>
            </w:tcBorders>
            <w:noWrap/>
            <w:vAlign w:val="bottom"/>
            <w:hideMark/>
          </w:tcPr>
          <w:p w14:paraId="2C73356A"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2,6%</w:t>
            </w:r>
          </w:p>
        </w:tc>
        <w:tc>
          <w:tcPr>
            <w:tcW w:w="1042" w:type="dxa"/>
            <w:tcBorders>
              <w:top w:val="nil"/>
              <w:left w:val="nil"/>
              <w:bottom w:val="nil"/>
              <w:right w:val="nil"/>
            </w:tcBorders>
            <w:noWrap/>
            <w:vAlign w:val="bottom"/>
            <w:hideMark/>
          </w:tcPr>
          <w:p w14:paraId="5AD4F088" w14:textId="77777777" w:rsidR="00B1608A" w:rsidRPr="00192FB8" w:rsidRDefault="00B1608A" w:rsidP="004F1CBC">
            <w:pPr>
              <w:jc w:val="center"/>
              <w:rPr>
                <w:rFonts w:asciiTheme="minorHAnsi" w:hAnsiTheme="minorHAnsi" w:cstheme="minorHAnsi"/>
                <w:i/>
                <w:iCs/>
                <w:color w:val="000000"/>
                <w:sz w:val="20"/>
                <w:szCs w:val="20"/>
              </w:rPr>
            </w:pPr>
            <w:r w:rsidRPr="00192FB8">
              <w:rPr>
                <w:rFonts w:asciiTheme="minorHAnsi" w:hAnsiTheme="minorHAnsi" w:cstheme="minorHAnsi"/>
                <w:color w:val="000000"/>
                <w:sz w:val="20"/>
                <w:szCs w:val="20"/>
              </w:rPr>
              <w:t>0,5%</w:t>
            </w:r>
          </w:p>
        </w:tc>
      </w:tr>
      <w:tr w:rsidR="00B1608A" w:rsidRPr="00192FB8" w14:paraId="5F458956" w14:textId="77777777" w:rsidTr="004F1CBC">
        <w:trPr>
          <w:trHeight w:val="288"/>
        </w:trPr>
        <w:tc>
          <w:tcPr>
            <w:tcW w:w="3907" w:type="dxa"/>
            <w:tcBorders>
              <w:top w:val="nil"/>
              <w:left w:val="nil"/>
              <w:bottom w:val="nil"/>
              <w:right w:val="nil"/>
            </w:tcBorders>
            <w:noWrap/>
            <w:vAlign w:val="bottom"/>
            <w:hideMark/>
          </w:tcPr>
          <w:p w14:paraId="7F787172" w14:textId="1C9B6B48" w:rsidR="00B1608A" w:rsidRPr="000069C3" w:rsidRDefault="000069C3" w:rsidP="004F1CBC">
            <w:pPr>
              <w:rPr>
                <w:rFonts w:asciiTheme="minorHAnsi" w:hAnsiTheme="minorHAnsi" w:cstheme="minorHAnsi"/>
                <w:color w:val="000000"/>
                <w:sz w:val="20"/>
                <w:szCs w:val="20"/>
                <w:highlight w:val="yellow"/>
              </w:rPr>
            </w:pPr>
            <w:r w:rsidRPr="0077050B">
              <w:rPr>
                <w:rFonts w:asciiTheme="minorHAnsi" w:hAnsiTheme="minorHAnsi" w:cstheme="minorHAnsi"/>
                <w:color w:val="000000"/>
                <w:sz w:val="20"/>
                <w:szCs w:val="20"/>
              </w:rPr>
              <w:t>Materiali lapidei grezzi</w:t>
            </w:r>
          </w:p>
        </w:tc>
        <w:tc>
          <w:tcPr>
            <w:tcW w:w="1369" w:type="dxa"/>
            <w:tcBorders>
              <w:top w:val="nil"/>
              <w:left w:val="nil"/>
              <w:bottom w:val="nil"/>
              <w:right w:val="nil"/>
            </w:tcBorders>
            <w:noWrap/>
            <w:vAlign w:val="bottom"/>
            <w:hideMark/>
          </w:tcPr>
          <w:p w14:paraId="4AA523AA"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91.103.379</w:t>
            </w:r>
          </w:p>
        </w:tc>
        <w:tc>
          <w:tcPr>
            <w:tcW w:w="1367" w:type="dxa"/>
            <w:tcBorders>
              <w:top w:val="nil"/>
              <w:left w:val="nil"/>
              <w:bottom w:val="nil"/>
              <w:right w:val="nil"/>
            </w:tcBorders>
            <w:noWrap/>
            <w:vAlign w:val="bottom"/>
            <w:hideMark/>
          </w:tcPr>
          <w:p w14:paraId="3C561756"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102.830.153</w:t>
            </w:r>
          </w:p>
        </w:tc>
        <w:tc>
          <w:tcPr>
            <w:tcW w:w="1012" w:type="dxa"/>
            <w:tcBorders>
              <w:top w:val="nil"/>
              <w:left w:val="nil"/>
              <w:bottom w:val="nil"/>
              <w:right w:val="nil"/>
            </w:tcBorders>
            <w:noWrap/>
            <w:vAlign w:val="bottom"/>
            <w:hideMark/>
          </w:tcPr>
          <w:p w14:paraId="4DCA0B45"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5,4%</w:t>
            </w:r>
          </w:p>
        </w:tc>
        <w:tc>
          <w:tcPr>
            <w:tcW w:w="840" w:type="dxa"/>
            <w:tcBorders>
              <w:top w:val="nil"/>
              <w:left w:val="nil"/>
              <w:bottom w:val="nil"/>
              <w:right w:val="nil"/>
            </w:tcBorders>
            <w:noWrap/>
            <w:vAlign w:val="bottom"/>
            <w:hideMark/>
          </w:tcPr>
          <w:p w14:paraId="5B1F256A"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12,9%</w:t>
            </w:r>
          </w:p>
        </w:tc>
        <w:tc>
          <w:tcPr>
            <w:tcW w:w="1042" w:type="dxa"/>
            <w:tcBorders>
              <w:top w:val="nil"/>
              <w:left w:val="nil"/>
              <w:bottom w:val="nil"/>
              <w:right w:val="nil"/>
            </w:tcBorders>
            <w:noWrap/>
            <w:vAlign w:val="bottom"/>
            <w:hideMark/>
          </w:tcPr>
          <w:p w14:paraId="54EB3B0F" w14:textId="77777777" w:rsidR="00B1608A" w:rsidRPr="00192FB8" w:rsidRDefault="00B1608A" w:rsidP="004F1CBC">
            <w:pPr>
              <w:jc w:val="center"/>
              <w:rPr>
                <w:rFonts w:asciiTheme="minorHAnsi" w:hAnsiTheme="minorHAnsi" w:cstheme="minorHAnsi"/>
                <w:i/>
                <w:iCs/>
                <w:color w:val="000000"/>
                <w:sz w:val="20"/>
                <w:szCs w:val="20"/>
              </w:rPr>
            </w:pPr>
            <w:r w:rsidRPr="00192FB8">
              <w:rPr>
                <w:rFonts w:asciiTheme="minorHAnsi" w:hAnsiTheme="minorHAnsi" w:cstheme="minorHAnsi"/>
                <w:color w:val="000000"/>
                <w:sz w:val="20"/>
                <w:szCs w:val="20"/>
              </w:rPr>
              <w:t>1,1%</w:t>
            </w:r>
          </w:p>
        </w:tc>
      </w:tr>
      <w:tr w:rsidR="00B1608A" w:rsidRPr="00192FB8" w14:paraId="3BB68D92" w14:textId="77777777" w:rsidTr="004F1CBC">
        <w:trPr>
          <w:trHeight w:val="288"/>
        </w:trPr>
        <w:tc>
          <w:tcPr>
            <w:tcW w:w="3907" w:type="dxa"/>
            <w:tcBorders>
              <w:top w:val="nil"/>
              <w:left w:val="nil"/>
              <w:bottom w:val="nil"/>
              <w:right w:val="nil"/>
            </w:tcBorders>
            <w:noWrap/>
            <w:vAlign w:val="bottom"/>
            <w:hideMark/>
          </w:tcPr>
          <w:p w14:paraId="09B28EBF"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Altri prodotti chimici</w:t>
            </w:r>
          </w:p>
        </w:tc>
        <w:tc>
          <w:tcPr>
            <w:tcW w:w="1369" w:type="dxa"/>
            <w:tcBorders>
              <w:top w:val="nil"/>
              <w:left w:val="nil"/>
              <w:bottom w:val="nil"/>
              <w:right w:val="nil"/>
            </w:tcBorders>
            <w:noWrap/>
            <w:vAlign w:val="bottom"/>
            <w:hideMark/>
          </w:tcPr>
          <w:p w14:paraId="221AFB72"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85.764.808</w:t>
            </w:r>
          </w:p>
        </w:tc>
        <w:tc>
          <w:tcPr>
            <w:tcW w:w="1367" w:type="dxa"/>
            <w:tcBorders>
              <w:top w:val="nil"/>
              <w:left w:val="nil"/>
              <w:bottom w:val="nil"/>
              <w:right w:val="nil"/>
            </w:tcBorders>
            <w:noWrap/>
            <w:vAlign w:val="bottom"/>
            <w:hideMark/>
          </w:tcPr>
          <w:p w14:paraId="002D17E3"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92.236.435</w:t>
            </w:r>
          </w:p>
        </w:tc>
        <w:tc>
          <w:tcPr>
            <w:tcW w:w="1012" w:type="dxa"/>
            <w:tcBorders>
              <w:top w:val="nil"/>
              <w:left w:val="nil"/>
              <w:bottom w:val="nil"/>
              <w:right w:val="nil"/>
            </w:tcBorders>
            <w:noWrap/>
            <w:vAlign w:val="bottom"/>
            <w:hideMark/>
          </w:tcPr>
          <w:p w14:paraId="5CFA2047"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4,9%</w:t>
            </w:r>
          </w:p>
        </w:tc>
        <w:tc>
          <w:tcPr>
            <w:tcW w:w="840" w:type="dxa"/>
            <w:tcBorders>
              <w:top w:val="nil"/>
              <w:left w:val="nil"/>
              <w:bottom w:val="nil"/>
              <w:right w:val="nil"/>
            </w:tcBorders>
            <w:noWrap/>
            <w:vAlign w:val="bottom"/>
            <w:hideMark/>
          </w:tcPr>
          <w:p w14:paraId="02B52235"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7,5%</w:t>
            </w:r>
          </w:p>
        </w:tc>
        <w:tc>
          <w:tcPr>
            <w:tcW w:w="1042" w:type="dxa"/>
            <w:tcBorders>
              <w:top w:val="nil"/>
              <w:left w:val="nil"/>
              <w:bottom w:val="nil"/>
              <w:right w:val="nil"/>
            </w:tcBorders>
            <w:noWrap/>
            <w:vAlign w:val="bottom"/>
            <w:hideMark/>
          </w:tcPr>
          <w:p w14:paraId="79EE0804" w14:textId="77777777" w:rsidR="00B1608A" w:rsidRPr="00192FB8" w:rsidRDefault="00B1608A" w:rsidP="004F1CBC">
            <w:pPr>
              <w:jc w:val="center"/>
              <w:rPr>
                <w:rFonts w:asciiTheme="minorHAnsi" w:hAnsiTheme="minorHAnsi" w:cstheme="minorHAnsi"/>
                <w:i/>
                <w:iCs/>
                <w:color w:val="000000"/>
                <w:sz w:val="20"/>
                <w:szCs w:val="20"/>
              </w:rPr>
            </w:pPr>
            <w:r w:rsidRPr="00192FB8">
              <w:rPr>
                <w:rFonts w:asciiTheme="minorHAnsi" w:hAnsiTheme="minorHAnsi" w:cstheme="minorHAnsi"/>
                <w:color w:val="000000"/>
                <w:sz w:val="20"/>
                <w:szCs w:val="20"/>
              </w:rPr>
              <w:t>0,6%</w:t>
            </w:r>
          </w:p>
        </w:tc>
      </w:tr>
      <w:tr w:rsidR="00B1608A" w:rsidRPr="00192FB8" w14:paraId="04EB8EBD" w14:textId="77777777" w:rsidTr="004F1CBC">
        <w:trPr>
          <w:trHeight w:val="288"/>
        </w:trPr>
        <w:tc>
          <w:tcPr>
            <w:tcW w:w="3907" w:type="dxa"/>
            <w:tcBorders>
              <w:top w:val="nil"/>
              <w:left w:val="nil"/>
              <w:bottom w:val="nil"/>
              <w:right w:val="nil"/>
            </w:tcBorders>
            <w:noWrap/>
            <w:vAlign w:val="center"/>
            <w:hideMark/>
          </w:tcPr>
          <w:p w14:paraId="6561FE37"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Motori, trasformatori e generatori</w:t>
            </w:r>
          </w:p>
        </w:tc>
        <w:tc>
          <w:tcPr>
            <w:tcW w:w="1369" w:type="dxa"/>
            <w:tcBorders>
              <w:top w:val="nil"/>
              <w:left w:val="nil"/>
              <w:bottom w:val="nil"/>
              <w:right w:val="nil"/>
            </w:tcBorders>
            <w:noWrap/>
            <w:vAlign w:val="bottom"/>
            <w:hideMark/>
          </w:tcPr>
          <w:p w14:paraId="7B627E8F"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13.267.035</w:t>
            </w:r>
          </w:p>
        </w:tc>
        <w:tc>
          <w:tcPr>
            <w:tcW w:w="1367" w:type="dxa"/>
            <w:tcBorders>
              <w:top w:val="nil"/>
              <w:left w:val="nil"/>
              <w:bottom w:val="nil"/>
              <w:right w:val="nil"/>
            </w:tcBorders>
            <w:noWrap/>
            <w:vAlign w:val="bottom"/>
            <w:hideMark/>
          </w:tcPr>
          <w:p w14:paraId="0C9E3A73"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71.881.555</w:t>
            </w:r>
          </w:p>
        </w:tc>
        <w:tc>
          <w:tcPr>
            <w:tcW w:w="1012" w:type="dxa"/>
            <w:tcBorders>
              <w:top w:val="nil"/>
              <w:left w:val="nil"/>
              <w:bottom w:val="nil"/>
              <w:right w:val="nil"/>
            </w:tcBorders>
            <w:noWrap/>
            <w:vAlign w:val="bottom"/>
            <w:hideMark/>
          </w:tcPr>
          <w:p w14:paraId="2D35030E"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3,8%</w:t>
            </w:r>
          </w:p>
        </w:tc>
        <w:tc>
          <w:tcPr>
            <w:tcW w:w="840" w:type="dxa"/>
            <w:tcBorders>
              <w:top w:val="nil"/>
              <w:left w:val="nil"/>
              <w:bottom w:val="nil"/>
              <w:right w:val="nil"/>
            </w:tcBorders>
            <w:noWrap/>
            <w:vAlign w:val="bottom"/>
            <w:hideMark/>
          </w:tcPr>
          <w:p w14:paraId="65C2E92E"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441,8%</w:t>
            </w:r>
          </w:p>
        </w:tc>
        <w:tc>
          <w:tcPr>
            <w:tcW w:w="1042" w:type="dxa"/>
            <w:tcBorders>
              <w:top w:val="nil"/>
              <w:left w:val="nil"/>
              <w:bottom w:val="nil"/>
              <w:right w:val="nil"/>
            </w:tcBorders>
            <w:noWrap/>
            <w:vAlign w:val="bottom"/>
            <w:hideMark/>
          </w:tcPr>
          <w:p w14:paraId="0178734A" w14:textId="77777777" w:rsidR="00B1608A" w:rsidRPr="00192FB8" w:rsidRDefault="00B1608A" w:rsidP="004F1CBC">
            <w:pPr>
              <w:jc w:val="center"/>
              <w:rPr>
                <w:rFonts w:asciiTheme="minorHAnsi" w:hAnsiTheme="minorHAnsi" w:cstheme="minorHAnsi"/>
                <w:i/>
                <w:iCs/>
                <w:color w:val="000000"/>
                <w:sz w:val="20"/>
                <w:szCs w:val="20"/>
              </w:rPr>
            </w:pPr>
            <w:r w:rsidRPr="00192FB8">
              <w:rPr>
                <w:rFonts w:asciiTheme="minorHAnsi" w:hAnsiTheme="minorHAnsi" w:cstheme="minorHAnsi"/>
                <w:color w:val="000000"/>
                <w:sz w:val="20"/>
                <w:szCs w:val="20"/>
              </w:rPr>
              <w:t>5,4%</w:t>
            </w:r>
          </w:p>
        </w:tc>
      </w:tr>
      <w:tr w:rsidR="00B1608A" w:rsidRPr="00192FB8" w14:paraId="20D6D6E8" w14:textId="77777777" w:rsidTr="004F1CBC">
        <w:trPr>
          <w:trHeight w:val="288"/>
        </w:trPr>
        <w:tc>
          <w:tcPr>
            <w:tcW w:w="3907" w:type="dxa"/>
            <w:tcBorders>
              <w:top w:val="nil"/>
              <w:left w:val="nil"/>
              <w:bottom w:val="nil"/>
              <w:right w:val="nil"/>
            </w:tcBorders>
            <w:noWrap/>
            <w:vAlign w:val="bottom"/>
            <w:hideMark/>
          </w:tcPr>
          <w:p w14:paraId="5BCFAC9F"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Prodotti chimici di base</w:t>
            </w:r>
          </w:p>
        </w:tc>
        <w:tc>
          <w:tcPr>
            <w:tcW w:w="1369" w:type="dxa"/>
            <w:tcBorders>
              <w:top w:val="nil"/>
              <w:left w:val="nil"/>
              <w:bottom w:val="nil"/>
              <w:right w:val="nil"/>
            </w:tcBorders>
            <w:noWrap/>
            <w:vAlign w:val="bottom"/>
            <w:hideMark/>
          </w:tcPr>
          <w:p w14:paraId="491E2B6E"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19.076.208</w:t>
            </w:r>
          </w:p>
        </w:tc>
        <w:tc>
          <w:tcPr>
            <w:tcW w:w="1367" w:type="dxa"/>
            <w:tcBorders>
              <w:top w:val="nil"/>
              <w:left w:val="nil"/>
              <w:bottom w:val="nil"/>
              <w:right w:val="nil"/>
            </w:tcBorders>
            <w:noWrap/>
            <w:vAlign w:val="bottom"/>
            <w:hideMark/>
          </w:tcPr>
          <w:p w14:paraId="2575097B"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31.431.075</w:t>
            </w:r>
          </w:p>
        </w:tc>
        <w:tc>
          <w:tcPr>
            <w:tcW w:w="1012" w:type="dxa"/>
            <w:tcBorders>
              <w:top w:val="nil"/>
              <w:left w:val="nil"/>
              <w:bottom w:val="nil"/>
              <w:right w:val="nil"/>
            </w:tcBorders>
            <w:noWrap/>
            <w:vAlign w:val="bottom"/>
            <w:hideMark/>
          </w:tcPr>
          <w:p w14:paraId="15F98A74"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1,7%</w:t>
            </w:r>
          </w:p>
        </w:tc>
        <w:tc>
          <w:tcPr>
            <w:tcW w:w="840" w:type="dxa"/>
            <w:tcBorders>
              <w:top w:val="nil"/>
              <w:left w:val="nil"/>
              <w:bottom w:val="nil"/>
              <w:right w:val="nil"/>
            </w:tcBorders>
            <w:noWrap/>
            <w:vAlign w:val="bottom"/>
            <w:hideMark/>
          </w:tcPr>
          <w:p w14:paraId="214144A8"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64,8%</w:t>
            </w:r>
          </w:p>
        </w:tc>
        <w:tc>
          <w:tcPr>
            <w:tcW w:w="1042" w:type="dxa"/>
            <w:tcBorders>
              <w:top w:val="nil"/>
              <w:left w:val="nil"/>
              <w:bottom w:val="nil"/>
              <w:right w:val="nil"/>
            </w:tcBorders>
            <w:noWrap/>
            <w:vAlign w:val="bottom"/>
            <w:hideMark/>
          </w:tcPr>
          <w:p w14:paraId="5FF3A391" w14:textId="77777777" w:rsidR="00B1608A" w:rsidRPr="00192FB8" w:rsidRDefault="00B1608A" w:rsidP="004F1CBC">
            <w:pPr>
              <w:jc w:val="center"/>
              <w:rPr>
                <w:rFonts w:asciiTheme="minorHAnsi" w:hAnsiTheme="minorHAnsi" w:cstheme="minorHAnsi"/>
                <w:i/>
                <w:iCs/>
                <w:color w:val="000000"/>
                <w:sz w:val="20"/>
                <w:szCs w:val="20"/>
              </w:rPr>
            </w:pPr>
            <w:r w:rsidRPr="00192FB8">
              <w:rPr>
                <w:rFonts w:asciiTheme="minorHAnsi" w:hAnsiTheme="minorHAnsi" w:cstheme="minorHAnsi"/>
                <w:color w:val="000000"/>
                <w:sz w:val="20"/>
                <w:szCs w:val="20"/>
              </w:rPr>
              <w:t>1,1%</w:t>
            </w:r>
          </w:p>
        </w:tc>
      </w:tr>
      <w:tr w:rsidR="00B1608A" w:rsidRPr="00192FB8" w14:paraId="524C1EEA" w14:textId="77777777" w:rsidTr="004F1CBC">
        <w:trPr>
          <w:trHeight w:val="288"/>
        </w:trPr>
        <w:tc>
          <w:tcPr>
            <w:tcW w:w="3907" w:type="dxa"/>
            <w:tcBorders>
              <w:top w:val="nil"/>
              <w:left w:val="nil"/>
              <w:bottom w:val="nil"/>
              <w:right w:val="nil"/>
            </w:tcBorders>
            <w:noWrap/>
            <w:vAlign w:val="bottom"/>
            <w:hideMark/>
          </w:tcPr>
          <w:p w14:paraId="6CFF44F7" w14:textId="77777777" w:rsidR="00B1608A" w:rsidRPr="00192FB8" w:rsidRDefault="00B1608A" w:rsidP="004F1CBC">
            <w:pPr>
              <w:rPr>
                <w:rFonts w:asciiTheme="minorHAnsi" w:hAnsiTheme="minorHAnsi" w:cstheme="minorHAnsi"/>
                <w:color w:val="000000"/>
                <w:sz w:val="20"/>
                <w:szCs w:val="20"/>
              </w:rPr>
            </w:pPr>
            <w:proofErr w:type="spellStart"/>
            <w:r w:rsidRPr="00192FB8">
              <w:rPr>
                <w:rFonts w:asciiTheme="minorHAnsi" w:hAnsiTheme="minorHAnsi" w:cstheme="minorHAnsi"/>
                <w:color w:val="000000"/>
                <w:sz w:val="20"/>
                <w:szCs w:val="20"/>
              </w:rPr>
              <w:t>Macch</w:t>
            </w:r>
            <w:proofErr w:type="spellEnd"/>
            <w:r w:rsidRPr="00192FB8">
              <w:rPr>
                <w:rFonts w:asciiTheme="minorHAnsi" w:hAnsiTheme="minorHAnsi" w:cstheme="minorHAnsi"/>
                <w:color w:val="000000"/>
                <w:sz w:val="20"/>
                <w:szCs w:val="20"/>
              </w:rPr>
              <w:t xml:space="preserve">. formatura </w:t>
            </w:r>
            <w:proofErr w:type="spellStart"/>
            <w:r w:rsidRPr="00192FB8">
              <w:rPr>
                <w:rFonts w:asciiTheme="minorHAnsi" w:hAnsiTheme="minorHAnsi" w:cstheme="minorHAnsi"/>
                <w:color w:val="000000"/>
                <w:sz w:val="20"/>
                <w:szCs w:val="20"/>
              </w:rPr>
              <w:t>met</w:t>
            </w:r>
            <w:proofErr w:type="spellEnd"/>
            <w:r w:rsidRPr="00192FB8">
              <w:rPr>
                <w:rFonts w:asciiTheme="minorHAnsi" w:hAnsiTheme="minorHAnsi" w:cstheme="minorHAnsi"/>
                <w:color w:val="000000"/>
                <w:sz w:val="20"/>
                <w:szCs w:val="20"/>
              </w:rPr>
              <w:t xml:space="preserve">. e altre </w:t>
            </w:r>
            <w:proofErr w:type="spellStart"/>
            <w:r w:rsidRPr="00192FB8">
              <w:rPr>
                <w:rFonts w:asciiTheme="minorHAnsi" w:hAnsiTheme="minorHAnsi" w:cstheme="minorHAnsi"/>
                <w:color w:val="000000"/>
                <w:sz w:val="20"/>
                <w:szCs w:val="20"/>
              </w:rPr>
              <w:t>macch</w:t>
            </w:r>
            <w:proofErr w:type="spellEnd"/>
            <w:r w:rsidRPr="00192FB8">
              <w:rPr>
                <w:rFonts w:asciiTheme="minorHAnsi" w:hAnsiTheme="minorHAnsi" w:cstheme="minorHAnsi"/>
                <w:color w:val="000000"/>
                <w:sz w:val="20"/>
                <w:szCs w:val="20"/>
              </w:rPr>
              <w:t>. utensili</w:t>
            </w:r>
          </w:p>
        </w:tc>
        <w:tc>
          <w:tcPr>
            <w:tcW w:w="1369" w:type="dxa"/>
            <w:tcBorders>
              <w:top w:val="nil"/>
              <w:left w:val="nil"/>
              <w:bottom w:val="nil"/>
              <w:right w:val="nil"/>
            </w:tcBorders>
            <w:noWrap/>
            <w:vAlign w:val="bottom"/>
            <w:hideMark/>
          </w:tcPr>
          <w:p w14:paraId="1805AAE6"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15.346.879</w:t>
            </w:r>
          </w:p>
        </w:tc>
        <w:tc>
          <w:tcPr>
            <w:tcW w:w="1367" w:type="dxa"/>
            <w:tcBorders>
              <w:top w:val="nil"/>
              <w:left w:val="nil"/>
              <w:bottom w:val="nil"/>
              <w:right w:val="nil"/>
            </w:tcBorders>
            <w:noWrap/>
            <w:vAlign w:val="bottom"/>
            <w:hideMark/>
          </w:tcPr>
          <w:p w14:paraId="2C79F413"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11.342.903</w:t>
            </w:r>
          </w:p>
        </w:tc>
        <w:tc>
          <w:tcPr>
            <w:tcW w:w="1012" w:type="dxa"/>
            <w:tcBorders>
              <w:top w:val="nil"/>
              <w:left w:val="nil"/>
              <w:bottom w:val="nil"/>
              <w:right w:val="nil"/>
            </w:tcBorders>
            <w:noWrap/>
            <w:vAlign w:val="bottom"/>
            <w:hideMark/>
          </w:tcPr>
          <w:p w14:paraId="5D95516C"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0,6%</w:t>
            </w:r>
          </w:p>
        </w:tc>
        <w:tc>
          <w:tcPr>
            <w:tcW w:w="840" w:type="dxa"/>
            <w:tcBorders>
              <w:top w:val="nil"/>
              <w:left w:val="nil"/>
              <w:bottom w:val="nil"/>
              <w:right w:val="nil"/>
            </w:tcBorders>
            <w:noWrap/>
            <w:vAlign w:val="bottom"/>
            <w:hideMark/>
          </w:tcPr>
          <w:p w14:paraId="446171E1"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-26,1%</w:t>
            </w:r>
          </w:p>
        </w:tc>
        <w:tc>
          <w:tcPr>
            <w:tcW w:w="1042" w:type="dxa"/>
            <w:tcBorders>
              <w:top w:val="nil"/>
              <w:left w:val="nil"/>
              <w:bottom w:val="nil"/>
              <w:right w:val="nil"/>
            </w:tcBorders>
            <w:noWrap/>
            <w:vAlign w:val="bottom"/>
            <w:hideMark/>
          </w:tcPr>
          <w:p w14:paraId="695A8FD0"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-0,4%</w:t>
            </w:r>
          </w:p>
        </w:tc>
      </w:tr>
      <w:tr w:rsidR="00B1608A" w:rsidRPr="00192FB8" w14:paraId="6212F338" w14:textId="77777777" w:rsidTr="004F1CBC">
        <w:trPr>
          <w:trHeight w:val="288"/>
        </w:trPr>
        <w:tc>
          <w:tcPr>
            <w:tcW w:w="3907" w:type="dxa"/>
            <w:tcBorders>
              <w:top w:val="nil"/>
              <w:left w:val="nil"/>
              <w:bottom w:val="nil"/>
              <w:right w:val="nil"/>
            </w:tcBorders>
            <w:noWrap/>
            <w:vAlign w:val="bottom"/>
            <w:hideMark/>
          </w:tcPr>
          <w:p w14:paraId="4D4AD69E"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Navi e imbarcazioni</w:t>
            </w:r>
          </w:p>
        </w:tc>
        <w:tc>
          <w:tcPr>
            <w:tcW w:w="1369" w:type="dxa"/>
            <w:tcBorders>
              <w:top w:val="nil"/>
              <w:left w:val="nil"/>
              <w:bottom w:val="nil"/>
              <w:right w:val="nil"/>
            </w:tcBorders>
            <w:noWrap/>
            <w:vAlign w:val="bottom"/>
            <w:hideMark/>
          </w:tcPr>
          <w:p w14:paraId="4B183C8C"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135.800.586</w:t>
            </w:r>
          </w:p>
        </w:tc>
        <w:tc>
          <w:tcPr>
            <w:tcW w:w="1367" w:type="dxa"/>
            <w:tcBorders>
              <w:top w:val="nil"/>
              <w:left w:val="nil"/>
              <w:bottom w:val="nil"/>
              <w:right w:val="nil"/>
            </w:tcBorders>
            <w:noWrap/>
            <w:vAlign w:val="bottom"/>
            <w:hideMark/>
          </w:tcPr>
          <w:p w14:paraId="7BD795D5"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8.077.501</w:t>
            </w:r>
          </w:p>
        </w:tc>
        <w:tc>
          <w:tcPr>
            <w:tcW w:w="1012" w:type="dxa"/>
            <w:tcBorders>
              <w:top w:val="nil"/>
              <w:left w:val="nil"/>
              <w:bottom w:val="nil"/>
              <w:right w:val="nil"/>
            </w:tcBorders>
            <w:noWrap/>
            <w:vAlign w:val="bottom"/>
            <w:hideMark/>
          </w:tcPr>
          <w:p w14:paraId="189BF774"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0,4%</w:t>
            </w:r>
          </w:p>
        </w:tc>
        <w:tc>
          <w:tcPr>
            <w:tcW w:w="840" w:type="dxa"/>
            <w:tcBorders>
              <w:top w:val="nil"/>
              <w:left w:val="nil"/>
              <w:bottom w:val="nil"/>
              <w:right w:val="nil"/>
            </w:tcBorders>
            <w:noWrap/>
            <w:vAlign w:val="bottom"/>
            <w:hideMark/>
          </w:tcPr>
          <w:p w14:paraId="3270E659"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-94,1%</w:t>
            </w:r>
          </w:p>
        </w:tc>
        <w:tc>
          <w:tcPr>
            <w:tcW w:w="1042" w:type="dxa"/>
            <w:tcBorders>
              <w:top w:val="nil"/>
              <w:left w:val="nil"/>
              <w:bottom w:val="nil"/>
              <w:right w:val="nil"/>
            </w:tcBorders>
            <w:noWrap/>
            <w:vAlign w:val="bottom"/>
            <w:hideMark/>
          </w:tcPr>
          <w:p w14:paraId="3041A991"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-11,8%</w:t>
            </w:r>
          </w:p>
        </w:tc>
      </w:tr>
      <w:tr w:rsidR="00B1608A" w:rsidRPr="00192FB8" w14:paraId="055F6383" w14:textId="77777777" w:rsidTr="004F1CBC">
        <w:trPr>
          <w:trHeight w:val="288"/>
        </w:trPr>
        <w:tc>
          <w:tcPr>
            <w:tcW w:w="3907" w:type="dxa"/>
            <w:tcBorders>
              <w:top w:val="nil"/>
              <w:left w:val="nil"/>
              <w:bottom w:val="nil"/>
              <w:right w:val="nil"/>
            </w:tcBorders>
            <w:noWrap/>
            <w:vAlign w:val="bottom"/>
            <w:hideMark/>
          </w:tcPr>
          <w:p w14:paraId="0C09997E"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Pasta-carta, carta e cartone</w:t>
            </w:r>
          </w:p>
        </w:tc>
        <w:tc>
          <w:tcPr>
            <w:tcW w:w="1369" w:type="dxa"/>
            <w:tcBorders>
              <w:top w:val="nil"/>
              <w:left w:val="nil"/>
              <w:bottom w:val="nil"/>
              <w:right w:val="nil"/>
            </w:tcBorders>
            <w:noWrap/>
            <w:vAlign w:val="bottom"/>
            <w:hideMark/>
          </w:tcPr>
          <w:p w14:paraId="67522AB2"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7.769.625</w:t>
            </w:r>
          </w:p>
        </w:tc>
        <w:tc>
          <w:tcPr>
            <w:tcW w:w="1367" w:type="dxa"/>
            <w:tcBorders>
              <w:top w:val="nil"/>
              <w:left w:val="nil"/>
              <w:bottom w:val="nil"/>
              <w:right w:val="nil"/>
            </w:tcBorders>
            <w:noWrap/>
            <w:vAlign w:val="bottom"/>
            <w:hideMark/>
          </w:tcPr>
          <w:p w14:paraId="563CEA25"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7.094.296</w:t>
            </w:r>
          </w:p>
        </w:tc>
        <w:tc>
          <w:tcPr>
            <w:tcW w:w="1012" w:type="dxa"/>
            <w:tcBorders>
              <w:top w:val="nil"/>
              <w:left w:val="nil"/>
              <w:bottom w:val="nil"/>
              <w:right w:val="nil"/>
            </w:tcBorders>
            <w:noWrap/>
            <w:vAlign w:val="bottom"/>
            <w:hideMark/>
          </w:tcPr>
          <w:p w14:paraId="79EF7477"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0,4%</w:t>
            </w:r>
          </w:p>
        </w:tc>
        <w:tc>
          <w:tcPr>
            <w:tcW w:w="840" w:type="dxa"/>
            <w:tcBorders>
              <w:top w:val="nil"/>
              <w:left w:val="nil"/>
              <w:bottom w:val="nil"/>
              <w:right w:val="nil"/>
            </w:tcBorders>
            <w:noWrap/>
            <w:vAlign w:val="bottom"/>
            <w:hideMark/>
          </w:tcPr>
          <w:p w14:paraId="7253F010"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-8,7%</w:t>
            </w:r>
          </w:p>
        </w:tc>
        <w:tc>
          <w:tcPr>
            <w:tcW w:w="1042" w:type="dxa"/>
            <w:tcBorders>
              <w:top w:val="nil"/>
              <w:left w:val="nil"/>
              <w:bottom w:val="nil"/>
              <w:right w:val="nil"/>
            </w:tcBorders>
            <w:noWrap/>
            <w:vAlign w:val="bottom"/>
            <w:hideMark/>
          </w:tcPr>
          <w:p w14:paraId="192D9950"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-0,1%</w:t>
            </w:r>
          </w:p>
        </w:tc>
      </w:tr>
      <w:tr w:rsidR="00B1608A" w:rsidRPr="00192FB8" w14:paraId="58B4A8F7" w14:textId="77777777" w:rsidTr="004F1CBC">
        <w:trPr>
          <w:trHeight w:val="288"/>
        </w:trPr>
        <w:tc>
          <w:tcPr>
            <w:tcW w:w="3907" w:type="dxa"/>
            <w:tcBorders>
              <w:top w:val="nil"/>
              <w:left w:val="nil"/>
              <w:bottom w:val="nil"/>
              <w:right w:val="nil"/>
            </w:tcBorders>
            <w:noWrap/>
            <w:vAlign w:val="bottom"/>
            <w:hideMark/>
          </w:tcPr>
          <w:p w14:paraId="37795D13" w14:textId="77777777" w:rsidR="00B1608A" w:rsidRPr="00192FB8" w:rsidRDefault="00B1608A" w:rsidP="004F1CBC">
            <w:pPr>
              <w:rPr>
                <w:rFonts w:asciiTheme="minorHAnsi" w:hAnsiTheme="minorHAnsi" w:cstheme="minorHAnsi"/>
                <w:color w:val="FF0000"/>
                <w:sz w:val="20"/>
                <w:szCs w:val="20"/>
              </w:rPr>
            </w:pPr>
            <w:r w:rsidRPr="00192FB8">
              <w:rPr>
                <w:rFonts w:asciiTheme="minorHAnsi" w:hAnsiTheme="minorHAnsi" w:cstheme="minorHAnsi"/>
                <w:color w:val="000000"/>
                <w:sz w:val="20"/>
                <w:szCs w:val="20"/>
              </w:rPr>
              <w:t>Altri prodotti in metallo</w:t>
            </w:r>
          </w:p>
        </w:tc>
        <w:tc>
          <w:tcPr>
            <w:tcW w:w="1369" w:type="dxa"/>
            <w:tcBorders>
              <w:top w:val="nil"/>
              <w:left w:val="nil"/>
              <w:bottom w:val="nil"/>
              <w:right w:val="nil"/>
            </w:tcBorders>
            <w:noWrap/>
            <w:vAlign w:val="bottom"/>
            <w:hideMark/>
          </w:tcPr>
          <w:p w14:paraId="45F47C7E" w14:textId="77777777" w:rsidR="00B1608A" w:rsidRPr="00192FB8" w:rsidRDefault="00B1608A" w:rsidP="004F1CBC">
            <w:pPr>
              <w:jc w:val="center"/>
              <w:rPr>
                <w:rFonts w:asciiTheme="minorHAnsi" w:hAnsiTheme="minorHAnsi" w:cstheme="minorHAnsi"/>
                <w:color w:val="FF0000"/>
                <w:sz w:val="20"/>
                <w:szCs w:val="20"/>
              </w:rPr>
            </w:pPr>
            <w:r w:rsidRPr="00192FB8">
              <w:rPr>
                <w:rFonts w:asciiTheme="minorHAnsi" w:hAnsiTheme="minorHAnsi" w:cstheme="minorHAnsi"/>
                <w:color w:val="000000"/>
                <w:sz w:val="20"/>
                <w:szCs w:val="20"/>
              </w:rPr>
              <w:t>5.574.759</w:t>
            </w:r>
          </w:p>
        </w:tc>
        <w:tc>
          <w:tcPr>
            <w:tcW w:w="1367" w:type="dxa"/>
            <w:tcBorders>
              <w:top w:val="nil"/>
              <w:left w:val="nil"/>
              <w:bottom w:val="nil"/>
              <w:right w:val="nil"/>
            </w:tcBorders>
            <w:noWrap/>
            <w:vAlign w:val="bottom"/>
            <w:hideMark/>
          </w:tcPr>
          <w:p w14:paraId="4F58B867" w14:textId="77777777" w:rsidR="00B1608A" w:rsidRPr="00192FB8" w:rsidRDefault="00B1608A" w:rsidP="004F1CBC">
            <w:pPr>
              <w:jc w:val="center"/>
              <w:rPr>
                <w:rFonts w:asciiTheme="minorHAnsi" w:hAnsiTheme="minorHAnsi" w:cstheme="minorHAnsi"/>
                <w:color w:val="FF0000"/>
                <w:sz w:val="20"/>
                <w:szCs w:val="20"/>
              </w:rPr>
            </w:pPr>
            <w:r w:rsidRPr="00192FB8">
              <w:rPr>
                <w:rFonts w:asciiTheme="minorHAnsi" w:hAnsiTheme="minorHAnsi" w:cstheme="minorHAnsi"/>
                <w:color w:val="000000"/>
                <w:sz w:val="20"/>
                <w:szCs w:val="20"/>
              </w:rPr>
              <w:t>6.471.466</w:t>
            </w:r>
          </w:p>
        </w:tc>
        <w:tc>
          <w:tcPr>
            <w:tcW w:w="1012" w:type="dxa"/>
            <w:tcBorders>
              <w:top w:val="nil"/>
              <w:left w:val="nil"/>
              <w:bottom w:val="nil"/>
              <w:right w:val="nil"/>
            </w:tcBorders>
            <w:noWrap/>
            <w:vAlign w:val="bottom"/>
            <w:hideMark/>
          </w:tcPr>
          <w:p w14:paraId="19A71DF6" w14:textId="77777777" w:rsidR="00B1608A" w:rsidRPr="00192FB8" w:rsidRDefault="00B1608A" w:rsidP="004F1CBC">
            <w:pPr>
              <w:jc w:val="center"/>
              <w:rPr>
                <w:rFonts w:asciiTheme="minorHAnsi" w:hAnsiTheme="minorHAnsi" w:cstheme="minorHAnsi"/>
                <w:color w:val="FF0000"/>
                <w:sz w:val="20"/>
                <w:szCs w:val="20"/>
              </w:rPr>
            </w:pPr>
            <w:r w:rsidRPr="00192FB8">
              <w:rPr>
                <w:rFonts w:asciiTheme="minorHAnsi" w:hAnsiTheme="minorHAnsi" w:cstheme="minorHAnsi"/>
                <w:color w:val="000000"/>
                <w:sz w:val="20"/>
                <w:szCs w:val="20"/>
              </w:rPr>
              <w:t>0,3%</w:t>
            </w:r>
          </w:p>
        </w:tc>
        <w:tc>
          <w:tcPr>
            <w:tcW w:w="840" w:type="dxa"/>
            <w:tcBorders>
              <w:top w:val="nil"/>
              <w:left w:val="nil"/>
              <w:bottom w:val="nil"/>
              <w:right w:val="nil"/>
            </w:tcBorders>
            <w:noWrap/>
            <w:vAlign w:val="bottom"/>
            <w:hideMark/>
          </w:tcPr>
          <w:p w14:paraId="3B353857"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16,1%</w:t>
            </w:r>
          </w:p>
        </w:tc>
        <w:tc>
          <w:tcPr>
            <w:tcW w:w="1042" w:type="dxa"/>
            <w:tcBorders>
              <w:top w:val="nil"/>
              <w:left w:val="nil"/>
              <w:bottom w:val="nil"/>
              <w:right w:val="nil"/>
            </w:tcBorders>
            <w:noWrap/>
            <w:vAlign w:val="bottom"/>
            <w:hideMark/>
          </w:tcPr>
          <w:p w14:paraId="03BF3082"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0,1%</w:t>
            </w:r>
          </w:p>
        </w:tc>
      </w:tr>
      <w:tr w:rsidR="00B1608A" w:rsidRPr="00192FB8" w14:paraId="371E48CA" w14:textId="77777777" w:rsidTr="004F1CBC">
        <w:trPr>
          <w:trHeight w:val="288"/>
        </w:trPr>
        <w:tc>
          <w:tcPr>
            <w:tcW w:w="3907" w:type="dxa"/>
            <w:tcBorders>
              <w:top w:val="nil"/>
              <w:left w:val="nil"/>
              <w:bottom w:val="nil"/>
              <w:right w:val="nil"/>
            </w:tcBorders>
            <w:noWrap/>
            <w:vAlign w:val="bottom"/>
          </w:tcPr>
          <w:p w14:paraId="25C2FF59"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 xml:space="preserve">Prodotti abrasivi </w:t>
            </w:r>
          </w:p>
        </w:tc>
        <w:tc>
          <w:tcPr>
            <w:tcW w:w="1369" w:type="dxa"/>
            <w:tcBorders>
              <w:top w:val="nil"/>
              <w:left w:val="nil"/>
              <w:bottom w:val="nil"/>
              <w:right w:val="nil"/>
            </w:tcBorders>
            <w:noWrap/>
            <w:vAlign w:val="bottom"/>
          </w:tcPr>
          <w:p w14:paraId="44CAB739"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8.517.996</w:t>
            </w:r>
          </w:p>
        </w:tc>
        <w:tc>
          <w:tcPr>
            <w:tcW w:w="1367" w:type="dxa"/>
            <w:tcBorders>
              <w:top w:val="nil"/>
              <w:left w:val="nil"/>
              <w:bottom w:val="nil"/>
              <w:right w:val="nil"/>
            </w:tcBorders>
            <w:noWrap/>
            <w:vAlign w:val="bottom"/>
          </w:tcPr>
          <w:p w14:paraId="2FE3E0E5"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5.409.201</w:t>
            </w:r>
          </w:p>
        </w:tc>
        <w:tc>
          <w:tcPr>
            <w:tcW w:w="1012" w:type="dxa"/>
            <w:tcBorders>
              <w:top w:val="nil"/>
              <w:left w:val="nil"/>
              <w:bottom w:val="nil"/>
              <w:right w:val="nil"/>
            </w:tcBorders>
            <w:noWrap/>
            <w:vAlign w:val="bottom"/>
          </w:tcPr>
          <w:p w14:paraId="54378D34"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color w:val="000000"/>
                <w:sz w:val="20"/>
                <w:szCs w:val="20"/>
              </w:rPr>
              <w:t>0,3%</w:t>
            </w:r>
          </w:p>
        </w:tc>
        <w:tc>
          <w:tcPr>
            <w:tcW w:w="840" w:type="dxa"/>
            <w:tcBorders>
              <w:top w:val="nil"/>
              <w:left w:val="nil"/>
              <w:bottom w:val="nil"/>
              <w:right w:val="nil"/>
            </w:tcBorders>
            <w:noWrap/>
            <w:vAlign w:val="bottom"/>
          </w:tcPr>
          <w:p w14:paraId="7230DFD3"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-36,5%</w:t>
            </w:r>
          </w:p>
        </w:tc>
        <w:tc>
          <w:tcPr>
            <w:tcW w:w="1042" w:type="dxa"/>
            <w:tcBorders>
              <w:top w:val="nil"/>
              <w:left w:val="nil"/>
              <w:bottom w:val="nil"/>
              <w:right w:val="nil"/>
            </w:tcBorders>
            <w:noWrap/>
            <w:vAlign w:val="bottom"/>
          </w:tcPr>
          <w:p w14:paraId="58079CFC"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-0,3%</w:t>
            </w:r>
          </w:p>
        </w:tc>
      </w:tr>
      <w:tr w:rsidR="00B1608A" w:rsidRPr="00192FB8" w14:paraId="6C145824" w14:textId="77777777" w:rsidTr="004F1CBC">
        <w:trPr>
          <w:trHeight w:val="288"/>
        </w:trPr>
        <w:tc>
          <w:tcPr>
            <w:tcW w:w="3907" w:type="dxa"/>
            <w:tcBorders>
              <w:top w:val="nil"/>
              <w:left w:val="nil"/>
              <w:bottom w:val="nil"/>
              <w:right w:val="nil"/>
            </w:tcBorders>
            <w:noWrap/>
            <w:vAlign w:val="bottom"/>
          </w:tcPr>
          <w:p w14:paraId="1FDB2DAC"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Altre macchine per impieghi speciali</w:t>
            </w:r>
          </w:p>
        </w:tc>
        <w:tc>
          <w:tcPr>
            <w:tcW w:w="1369" w:type="dxa"/>
            <w:tcBorders>
              <w:top w:val="nil"/>
              <w:left w:val="nil"/>
              <w:bottom w:val="nil"/>
              <w:right w:val="nil"/>
            </w:tcBorders>
            <w:noWrap/>
            <w:vAlign w:val="bottom"/>
          </w:tcPr>
          <w:p w14:paraId="3673F37B"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10.520.497</w:t>
            </w:r>
          </w:p>
        </w:tc>
        <w:tc>
          <w:tcPr>
            <w:tcW w:w="1367" w:type="dxa"/>
            <w:tcBorders>
              <w:top w:val="nil"/>
              <w:left w:val="nil"/>
              <w:bottom w:val="nil"/>
              <w:right w:val="nil"/>
            </w:tcBorders>
            <w:noWrap/>
            <w:vAlign w:val="bottom"/>
          </w:tcPr>
          <w:p w14:paraId="195080EA"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4.900.453</w:t>
            </w:r>
          </w:p>
        </w:tc>
        <w:tc>
          <w:tcPr>
            <w:tcW w:w="1012" w:type="dxa"/>
            <w:tcBorders>
              <w:top w:val="nil"/>
              <w:left w:val="nil"/>
              <w:bottom w:val="nil"/>
              <w:right w:val="nil"/>
            </w:tcBorders>
            <w:noWrap/>
            <w:vAlign w:val="bottom"/>
          </w:tcPr>
          <w:p w14:paraId="406E5292"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color w:val="000000"/>
                <w:sz w:val="20"/>
                <w:szCs w:val="20"/>
              </w:rPr>
              <w:t>0,3%</w:t>
            </w:r>
          </w:p>
        </w:tc>
        <w:tc>
          <w:tcPr>
            <w:tcW w:w="840" w:type="dxa"/>
            <w:tcBorders>
              <w:top w:val="nil"/>
              <w:left w:val="nil"/>
              <w:bottom w:val="nil"/>
              <w:right w:val="nil"/>
            </w:tcBorders>
            <w:noWrap/>
            <w:vAlign w:val="bottom"/>
          </w:tcPr>
          <w:p w14:paraId="63628267"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-53,4%</w:t>
            </w:r>
          </w:p>
        </w:tc>
        <w:tc>
          <w:tcPr>
            <w:tcW w:w="1042" w:type="dxa"/>
            <w:tcBorders>
              <w:top w:val="nil"/>
              <w:left w:val="nil"/>
              <w:bottom w:val="nil"/>
              <w:right w:val="nil"/>
            </w:tcBorders>
            <w:noWrap/>
            <w:vAlign w:val="bottom"/>
          </w:tcPr>
          <w:p w14:paraId="5531A1AD"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-0,5%</w:t>
            </w:r>
          </w:p>
        </w:tc>
      </w:tr>
      <w:tr w:rsidR="00B1608A" w:rsidRPr="00192FB8" w14:paraId="549AB5C2" w14:textId="77777777" w:rsidTr="004F1CBC">
        <w:trPr>
          <w:trHeight w:val="288"/>
        </w:trPr>
        <w:tc>
          <w:tcPr>
            <w:tcW w:w="3907" w:type="dxa"/>
            <w:tcBorders>
              <w:top w:val="nil"/>
              <w:left w:val="nil"/>
              <w:right w:val="nil"/>
            </w:tcBorders>
            <w:noWrap/>
            <w:vAlign w:val="bottom"/>
          </w:tcPr>
          <w:p w14:paraId="6386454D"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Prodotti refrattari</w:t>
            </w:r>
          </w:p>
        </w:tc>
        <w:tc>
          <w:tcPr>
            <w:tcW w:w="1369" w:type="dxa"/>
            <w:tcBorders>
              <w:top w:val="nil"/>
              <w:left w:val="nil"/>
              <w:bottom w:val="nil"/>
              <w:right w:val="nil"/>
            </w:tcBorders>
            <w:noWrap/>
            <w:vAlign w:val="bottom"/>
          </w:tcPr>
          <w:p w14:paraId="311D8E4A"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4.327.747</w:t>
            </w:r>
          </w:p>
        </w:tc>
        <w:tc>
          <w:tcPr>
            <w:tcW w:w="1367" w:type="dxa"/>
            <w:tcBorders>
              <w:top w:val="nil"/>
              <w:left w:val="nil"/>
              <w:bottom w:val="nil"/>
              <w:right w:val="nil"/>
            </w:tcBorders>
            <w:noWrap/>
            <w:vAlign w:val="bottom"/>
          </w:tcPr>
          <w:p w14:paraId="55E87543"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4.871.469</w:t>
            </w:r>
          </w:p>
        </w:tc>
        <w:tc>
          <w:tcPr>
            <w:tcW w:w="1012" w:type="dxa"/>
            <w:tcBorders>
              <w:top w:val="nil"/>
              <w:left w:val="nil"/>
              <w:bottom w:val="nil"/>
              <w:right w:val="nil"/>
            </w:tcBorders>
            <w:noWrap/>
            <w:vAlign w:val="bottom"/>
          </w:tcPr>
          <w:p w14:paraId="51E77703"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color w:val="000000"/>
                <w:sz w:val="20"/>
                <w:szCs w:val="20"/>
              </w:rPr>
              <w:t>0,3%</w:t>
            </w:r>
          </w:p>
        </w:tc>
        <w:tc>
          <w:tcPr>
            <w:tcW w:w="840" w:type="dxa"/>
            <w:tcBorders>
              <w:top w:val="nil"/>
              <w:left w:val="nil"/>
              <w:bottom w:val="nil"/>
              <w:right w:val="nil"/>
            </w:tcBorders>
            <w:noWrap/>
            <w:vAlign w:val="bottom"/>
          </w:tcPr>
          <w:p w14:paraId="37CD889B"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12,6%</w:t>
            </w:r>
          </w:p>
        </w:tc>
        <w:tc>
          <w:tcPr>
            <w:tcW w:w="1042" w:type="dxa"/>
            <w:tcBorders>
              <w:top w:val="nil"/>
              <w:left w:val="nil"/>
              <w:bottom w:val="nil"/>
              <w:right w:val="nil"/>
            </w:tcBorders>
            <w:noWrap/>
            <w:vAlign w:val="bottom"/>
          </w:tcPr>
          <w:p w14:paraId="62FE65F8"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0,1%</w:t>
            </w:r>
          </w:p>
        </w:tc>
      </w:tr>
      <w:tr w:rsidR="00B1608A" w:rsidRPr="00192FB8" w14:paraId="00A3342B" w14:textId="77777777" w:rsidTr="004F1CBC">
        <w:trPr>
          <w:trHeight w:val="288"/>
        </w:trPr>
        <w:tc>
          <w:tcPr>
            <w:tcW w:w="3907" w:type="dxa"/>
            <w:tcBorders>
              <w:top w:val="nil"/>
              <w:left w:val="nil"/>
              <w:right w:val="nil"/>
            </w:tcBorders>
            <w:noWrap/>
            <w:vAlign w:val="bottom"/>
          </w:tcPr>
          <w:p w14:paraId="4E3BA513"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Materiali da costruzione in terracotta</w:t>
            </w:r>
          </w:p>
        </w:tc>
        <w:tc>
          <w:tcPr>
            <w:tcW w:w="1369" w:type="dxa"/>
            <w:tcBorders>
              <w:top w:val="nil"/>
              <w:left w:val="nil"/>
              <w:bottom w:val="nil"/>
              <w:right w:val="nil"/>
            </w:tcBorders>
            <w:noWrap/>
            <w:vAlign w:val="bottom"/>
          </w:tcPr>
          <w:p w14:paraId="61389C52"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4.460.152</w:t>
            </w:r>
          </w:p>
        </w:tc>
        <w:tc>
          <w:tcPr>
            <w:tcW w:w="1367" w:type="dxa"/>
            <w:tcBorders>
              <w:top w:val="nil"/>
              <w:left w:val="nil"/>
              <w:bottom w:val="nil"/>
              <w:right w:val="nil"/>
            </w:tcBorders>
            <w:noWrap/>
            <w:vAlign w:val="bottom"/>
          </w:tcPr>
          <w:p w14:paraId="53D1EE7F"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3.489.754</w:t>
            </w:r>
          </w:p>
        </w:tc>
        <w:tc>
          <w:tcPr>
            <w:tcW w:w="1012" w:type="dxa"/>
            <w:tcBorders>
              <w:top w:val="nil"/>
              <w:left w:val="nil"/>
              <w:bottom w:val="nil"/>
              <w:right w:val="nil"/>
            </w:tcBorders>
            <w:noWrap/>
            <w:vAlign w:val="bottom"/>
          </w:tcPr>
          <w:p w14:paraId="37B76FE1"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0,2%</w:t>
            </w:r>
          </w:p>
        </w:tc>
        <w:tc>
          <w:tcPr>
            <w:tcW w:w="840" w:type="dxa"/>
            <w:tcBorders>
              <w:top w:val="nil"/>
              <w:left w:val="nil"/>
              <w:bottom w:val="nil"/>
              <w:right w:val="nil"/>
            </w:tcBorders>
            <w:noWrap/>
            <w:vAlign w:val="bottom"/>
          </w:tcPr>
          <w:p w14:paraId="134BDA3E"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-21,8%</w:t>
            </w:r>
          </w:p>
        </w:tc>
        <w:tc>
          <w:tcPr>
            <w:tcW w:w="1042" w:type="dxa"/>
            <w:tcBorders>
              <w:top w:val="nil"/>
              <w:left w:val="nil"/>
              <w:bottom w:val="nil"/>
              <w:right w:val="nil"/>
            </w:tcBorders>
            <w:noWrap/>
            <w:vAlign w:val="bottom"/>
          </w:tcPr>
          <w:p w14:paraId="60002548" w14:textId="77777777" w:rsidR="00B1608A" w:rsidRPr="00192FB8" w:rsidRDefault="00B1608A" w:rsidP="004F1CBC">
            <w:pPr>
              <w:jc w:val="center"/>
              <w:rPr>
                <w:rFonts w:asciiTheme="minorHAnsi" w:hAnsiTheme="minorHAnsi" w:cstheme="minorHAnsi"/>
                <w:sz w:val="20"/>
                <w:szCs w:val="20"/>
              </w:rPr>
            </w:pPr>
            <w:r w:rsidRPr="00192FB8">
              <w:rPr>
                <w:rFonts w:ascii="Calibri" w:hAnsi="Calibri" w:cs="Calibri"/>
                <w:sz w:val="20"/>
                <w:szCs w:val="20"/>
              </w:rPr>
              <w:t>-0,1%</w:t>
            </w:r>
          </w:p>
        </w:tc>
      </w:tr>
      <w:tr w:rsidR="00B1608A" w:rsidRPr="00192FB8" w14:paraId="3B58EF6C" w14:textId="77777777" w:rsidTr="004F1CBC">
        <w:trPr>
          <w:trHeight w:val="288"/>
        </w:trPr>
        <w:tc>
          <w:tcPr>
            <w:tcW w:w="3907" w:type="dxa"/>
            <w:tcBorders>
              <w:left w:val="nil"/>
              <w:bottom w:val="single" w:sz="4" w:space="0" w:color="auto"/>
              <w:right w:val="nil"/>
            </w:tcBorders>
            <w:noWrap/>
            <w:vAlign w:val="bottom"/>
          </w:tcPr>
          <w:p w14:paraId="10151683"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Altro</w:t>
            </w:r>
          </w:p>
        </w:tc>
        <w:tc>
          <w:tcPr>
            <w:tcW w:w="1369" w:type="dxa"/>
            <w:tcBorders>
              <w:top w:val="nil"/>
              <w:left w:val="nil"/>
              <w:bottom w:val="single" w:sz="4" w:space="0" w:color="auto"/>
              <w:right w:val="nil"/>
            </w:tcBorders>
            <w:noWrap/>
            <w:vAlign w:val="bottom"/>
          </w:tcPr>
          <w:p w14:paraId="140D5E9C"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69.607.531</w:t>
            </w:r>
          </w:p>
        </w:tc>
        <w:tc>
          <w:tcPr>
            <w:tcW w:w="1367" w:type="dxa"/>
            <w:tcBorders>
              <w:top w:val="nil"/>
              <w:left w:val="nil"/>
              <w:bottom w:val="single" w:sz="4" w:space="0" w:color="auto"/>
              <w:right w:val="nil"/>
            </w:tcBorders>
            <w:noWrap/>
            <w:vAlign w:val="bottom"/>
          </w:tcPr>
          <w:p w14:paraId="5FF33C6E"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53.875.065</w:t>
            </w:r>
          </w:p>
        </w:tc>
        <w:tc>
          <w:tcPr>
            <w:tcW w:w="1012" w:type="dxa"/>
            <w:tcBorders>
              <w:top w:val="nil"/>
              <w:left w:val="nil"/>
              <w:bottom w:val="nil"/>
              <w:right w:val="nil"/>
            </w:tcBorders>
            <w:noWrap/>
            <w:vAlign w:val="bottom"/>
          </w:tcPr>
          <w:p w14:paraId="11624189"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2,9%</w:t>
            </w:r>
          </w:p>
        </w:tc>
        <w:tc>
          <w:tcPr>
            <w:tcW w:w="840" w:type="dxa"/>
            <w:tcBorders>
              <w:top w:val="nil"/>
              <w:left w:val="nil"/>
              <w:bottom w:val="nil"/>
              <w:right w:val="nil"/>
            </w:tcBorders>
            <w:noWrap/>
            <w:vAlign w:val="bottom"/>
          </w:tcPr>
          <w:p w14:paraId="0178E06B"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-22,6%</w:t>
            </w:r>
          </w:p>
        </w:tc>
        <w:tc>
          <w:tcPr>
            <w:tcW w:w="1042" w:type="dxa"/>
            <w:tcBorders>
              <w:top w:val="nil"/>
              <w:left w:val="nil"/>
              <w:bottom w:val="nil"/>
              <w:right w:val="nil"/>
            </w:tcBorders>
            <w:noWrap/>
            <w:vAlign w:val="bottom"/>
          </w:tcPr>
          <w:p w14:paraId="15460C77"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-1,5%</w:t>
            </w:r>
          </w:p>
        </w:tc>
      </w:tr>
      <w:tr w:rsidR="00B1608A" w:rsidRPr="00192FB8" w14:paraId="5D34BC6B" w14:textId="77777777" w:rsidTr="004F1CBC">
        <w:trPr>
          <w:trHeight w:val="288"/>
        </w:trPr>
        <w:tc>
          <w:tcPr>
            <w:tcW w:w="3907" w:type="dxa"/>
            <w:tcBorders>
              <w:top w:val="single" w:sz="4" w:space="0" w:color="auto"/>
              <w:left w:val="nil"/>
              <w:bottom w:val="single" w:sz="4" w:space="0" w:color="auto"/>
              <w:right w:val="nil"/>
            </w:tcBorders>
            <w:noWrap/>
            <w:vAlign w:val="center"/>
          </w:tcPr>
          <w:p w14:paraId="5DE5DE6F" w14:textId="77777777" w:rsidR="00B1608A" w:rsidRPr="00192FB8" w:rsidRDefault="00B1608A" w:rsidP="004F1CBC">
            <w:pPr>
              <w:rPr>
                <w:rFonts w:asciiTheme="minorHAnsi" w:hAnsiTheme="minorHAnsi" w:cstheme="minorHAnsi"/>
                <w:color w:val="000000"/>
                <w:sz w:val="20"/>
                <w:szCs w:val="20"/>
              </w:rPr>
            </w:pPr>
            <w:r w:rsidRPr="00192FB8">
              <w:rPr>
                <w:rFonts w:ascii="Calibri" w:hAnsi="Calibri" w:cs="Calibri"/>
                <w:b/>
                <w:bCs/>
                <w:sz w:val="20"/>
                <w:szCs w:val="20"/>
              </w:rPr>
              <w:t>Totale</w:t>
            </w:r>
          </w:p>
        </w:tc>
        <w:tc>
          <w:tcPr>
            <w:tcW w:w="1369" w:type="dxa"/>
            <w:tcBorders>
              <w:top w:val="single" w:sz="4" w:space="0" w:color="auto"/>
              <w:left w:val="nil"/>
              <w:bottom w:val="single" w:sz="4" w:space="0" w:color="auto"/>
              <w:right w:val="nil"/>
            </w:tcBorders>
            <w:noWrap/>
            <w:vAlign w:val="center"/>
          </w:tcPr>
          <w:p w14:paraId="56932289" w14:textId="77777777" w:rsidR="00B1608A" w:rsidRPr="00192FB8" w:rsidRDefault="00B1608A" w:rsidP="004F1CBC">
            <w:pPr>
              <w:jc w:val="center"/>
              <w:rPr>
                <w:rFonts w:asciiTheme="minorHAnsi" w:hAnsiTheme="minorHAnsi" w:cstheme="minorHAnsi"/>
                <w:i/>
                <w:iCs/>
                <w:color w:val="000000"/>
                <w:sz w:val="20"/>
                <w:szCs w:val="20"/>
              </w:rPr>
            </w:pPr>
            <w:r w:rsidRPr="00192FB8">
              <w:rPr>
                <w:rFonts w:ascii="Calibri" w:hAnsi="Calibri" w:cs="Calibri"/>
                <w:b/>
                <w:bCs/>
                <w:sz w:val="20"/>
                <w:szCs w:val="20"/>
              </w:rPr>
              <w:t>1.080.298.640</w:t>
            </w:r>
          </w:p>
        </w:tc>
        <w:tc>
          <w:tcPr>
            <w:tcW w:w="1367" w:type="dxa"/>
            <w:tcBorders>
              <w:top w:val="single" w:sz="4" w:space="0" w:color="auto"/>
              <w:left w:val="nil"/>
              <w:bottom w:val="single" w:sz="4" w:space="0" w:color="auto"/>
              <w:right w:val="nil"/>
            </w:tcBorders>
            <w:noWrap/>
            <w:vAlign w:val="center"/>
          </w:tcPr>
          <w:p w14:paraId="65A0D648" w14:textId="77777777" w:rsidR="00B1608A" w:rsidRPr="00192FB8" w:rsidRDefault="00B1608A" w:rsidP="004F1CBC">
            <w:pPr>
              <w:jc w:val="center"/>
              <w:rPr>
                <w:rFonts w:asciiTheme="minorHAnsi" w:hAnsiTheme="minorHAnsi" w:cstheme="minorHAnsi"/>
                <w:i/>
                <w:iCs/>
                <w:color w:val="000000"/>
                <w:sz w:val="20"/>
                <w:szCs w:val="20"/>
              </w:rPr>
            </w:pPr>
            <w:r w:rsidRPr="00192FB8">
              <w:rPr>
                <w:rFonts w:ascii="Calibri" w:hAnsi="Calibri" w:cs="Calibri"/>
                <w:b/>
                <w:bCs/>
                <w:sz w:val="20"/>
                <w:szCs w:val="20"/>
              </w:rPr>
              <w:t>1.889.566.861</w:t>
            </w:r>
          </w:p>
        </w:tc>
        <w:tc>
          <w:tcPr>
            <w:tcW w:w="1012" w:type="dxa"/>
            <w:tcBorders>
              <w:top w:val="single" w:sz="4" w:space="0" w:color="auto"/>
              <w:left w:val="nil"/>
              <w:bottom w:val="single" w:sz="4" w:space="0" w:color="auto"/>
              <w:right w:val="nil"/>
            </w:tcBorders>
            <w:noWrap/>
            <w:vAlign w:val="center"/>
          </w:tcPr>
          <w:p w14:paraId="6649734D" w14:textId="77777777" w:rsidR="00B1608A" w:rsidRPr="00192FB8" w:rsidRDefault="00B1608A" w:rsidP="004F1CBC">
            <w:pPr>
              <w:jc w:val="center"/>
              <w:rPr>
                <w:rFonts w:ascii="Calibri" w:hAnsi="Calibri" w:cs="Calibri"/>
                <w:sz w:val="20"/>
                <w:szCs w:val="20"/>
              </w:rPr>
            </w:pPr>
            <w:r w:rsidRPr="00192FB8">
              <w:rPr>
                <w:rFonts w:ascii="Calibri" w:hAnsi="Calibri" w:cs="Calibri"/>
                <w:b/>
                <w:bCs/>
                <w:sz w:val="20"/>
                <w:szCs w:val="20"/>
              </w:rPr>
              <w:t>100,0%</w:t>
            </w:r>
          </w:p>
        </w:tc>
        <w:tc>
          <w:tcPr>
            <w:tcW w:w="840" w:type="dxa"/>
            <w:tcBorders>
              <w:top w:val="single" w:sz="4" w:space="0" w:color="auto"/>
              <w:left w:val="nil"/>
              <w:bottom w:val="single" w:sz="4" w:space="0" w:color="auto"/>
              <w:right w:val="nil"/>
            </w:tcBorders>
            <w:noWrap/>
            <w:vAlign w:val="center"/>
          </w:tcPr>
          <w:p w14:paraId="2AD94770" w14:textId="77777777" w:rsidR="00B1608A" w:rsidRPr="00192FB8" w:rsidRDefault="00B1608A" w:rsidP="004F1CBC">
            <w:pPr>
              <w:jc w:val="center"/>
              <w:rPr>
                <w:rFonts w:ascii="Calibri" w:hAnsi="Calibri" w:cs="Calibri"/>
                <w:sz w:val="20"/>
                <w:szCs w:val="20"/>
              </w:rPr>
            </w:pPr>
            <w:r w:rsidRPr="00192FB8">
              <w:rPr>
                <w:rFonts w:ascii="Calibri" w:hAnsi="Calibri" w:cs="Calibri"/>
                <w:b/>
                <w:bCs/>
                <w:sz w:val="20"/>
                <w:szCs w:val="20"/>
              </w:rPr>
              <w:t>74,9%</w:t>
            </w:r>
          </w:p>
        </w:tc>
        <w:tc>
          <w:tcPr>
            <w:tcW w:w="1042" w:type="dxa"/>
            <w:tcBorders>
              <w:top w:val="single" w:sz="4" w:space="0" w:color="auto"/>
              <w:left w:val="nil"/>
              <w:bottom w:val="single" w:sz="4" w:space="0" w:color="auto"/>
              <w:right w:val="nil"/>
            </w:tcBorders>
            <w:noWrap/>
            <w:vAlign w:val="center"/>
          </w:tcPr>
          <w:p w14:paraId="6C964DD4"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b/>
                <w:bCs/>
                <w:sz w:val="20"/>
                <w:szCs w:val="20"/>
              </w:rPr>
              <w:t>74,9%</w:t>
            </w:r>
          </w:p>
        </w:tc>
      </w:tr>
      <w:tr w:rsidR="00B1608A" w:rsidRPr="00192FB8" w14:paraId="21DE3157" w14:textId="77777777" w:rsidTr="004F1CBC">
        <w:trPr>
          <w:trHeight w:val="288"/>
        </w:trPr>
        <w:tc>
          <w:tcPr>
            <w:tcW w:w="9537" w:type="dxa"/>
            <w:gridSpan w:val="6"/>
            <w:tcBorders>
              <w:top w:val="single" w:sz="4" w:space="0" w:color="auto"/>
              <w:left w:val="nil"/>
              <w:bottom w:val="nil"/>
            </w:tcBorders>
            <w:noWrap/>
            <w:vAlign w:val="center"/>
            <w:hideMark/>
          </w:tcPr>
          <w:p w14:paraId="4B2D3F32" w14:textId="77777777" w:rsidR="00B1608A" w:rsidRPr="00192FB8" w:rsidRDefault="00B1608A" w:rsidP="004F1CBC">
            <w:pPr>
              <w:rPr>
                <w:rFonts w:ascii="Calibri" w:hAnsi="Calibri" w:cs="Calibri"/>
                <w:i/>
                <w:iCs/>
                <w:color w:val="000000"/>
                <w:sz w:val="20"/>
                <w:szCs w:val="20"/>
              </w:rPr>
            </w:pPr>
            <w:r w:rsidRPr="00192FB8">
              <w:rPr>
                <w:rFonts w:ascii="Calibri" w:hAnsi="Calibri" w:cs="Calibri"/>
                <w:i/>
                <w:iCs/>
                <w:color w:val="000000"/>
                <w:sz w:val="20"/>
                <w:szCs w:val="20"/>
              </w:rPr>
              <w:t>Fonte: Elaborazioni Camera di Commercio Toscana Nord-Ovest -ISR su dati Istat (dati provvisori)</w:t>
            </w:r>
          </w:p>
        </w:tc>
      </w:tr>
    </w:tbl>
    <w:p w14:paraId="641797B7" w14:textId="77777777" w:rsidR="00B1608A" w:rsidRPr="00192FB8" w:rsidRDefault="00B1608A" w:rsidP="00B1608A">
      <w:pPr>
        <w:jc w:val="both"/>
        <w:rPr>
          <w:rFonts w:ascii="Calibri" w:hAnsi="Calibri"/>
          <w:iCs/>
        </w:rPr>
      </w:pPr>
    </w:p>
    <w:p w14:paraId="6418F5BE" w14:textId="361380F5" w:rsidR="00B1608A" w:rsidRDefault="00B1608A" w:rsidP="008C5D96">
      <w:pPr>
        <w:jc w:val="both"/>
        <w:rPr>
          <w:rFonts w:ascii="Calibri" w:hAnsi="Calibri" w:cs="Calibri"/>
          <w:iCs/>
        </w:rPr>
      </w:pPr>
      <w:r w:rsidRPr="00192FB8">
        <w:rPr>
          <w:rFonts w:ascii="Calibri" w:hAnsi="Calibri"/>
          <w:iCs/>
        </w:rPr>
        <w:t xml:space="preserve">Il </w:t>
      </w:r>
      <w:r w:rsidRPr="00192FB8">
        <w:rPr>
          <w:rFonts w:ascii="Calibri" w:hAnsi="Calibri"/>
          <w:b/>
          <w:i/>
          <w:iCs/>
        </w:rPr>
        <w:t>lapideo</w:t>
      </w:r>
      <w:r w:rsidRPr="00192FB8">
        <w:rPr>
          <w:rFonts w:ascii="Calibri" w:hAnsi="Calibri"/>
          <w:iCs/>
        </w:rPr>
        <w:t xml:space="preserve">, che con circa 302 milioni di euro nel complesso rappresenta il 16% dell’export della provincia di Massa-Carrara, ha segnato una crescita delle vendite oltre frontiera sia delle merci grezze che di quelle lavorate. Nel dettaglio, nel primo semestre 2026 le esportazioni di </w:t>
      </w:r>
      <w:r w:rsidRPr="00192FB8">
        <w:rPr>
          <w:rFonts w:ascii="Calibri" w:hAnsi="Calibri"/>
          <w:b/>
          <w:i/>
          <w:iCs/>
        </w:rPr>
        <w:t>pietre tagliate, modellate e finite</w:t>
      </w:r>
      <w:r w:rsidRPr="00192FB8">
        <w:rPr>
          <w:rFonts w:ascii="Calibri" w:hAnsi="Calibri"/>
          <w:iCs/>
        </w:rPr>
        <w:t xml:space="preserve"> (marmo lavorato) si sono attestate a circa 199 milioni di euro, segnando un aumento del 2,6% rispetto allo stesso periodo del 2025 (+5 milioni), per un contributo di 0,5 punti percentuali alla crescita complessiva dell’export provinciale.</w:t>
      </w:r>
      <w:r w:rsidR="008C5D96">
        <w:rPr>
          <w:rFonts w:ascii="Calibri" w:hAnsi="Calibri"/>
          <w:iCs/>
        </w:rPr>
        <w:t xml:space="preserve"> </w:t>
      </w:r>
      <w:r w:rsidRPr="00192FB8">
        <w:rPr>
          <w:rFonts w:ascii="Calibri" w:hAnsi="Calibri"/>
          <w:iCs/>
        </w:rPr>
        <w:t xml:space="preserve">Il mercato statunitense continua a rappresentare il principale punto di riferimento per il settore: le vendite verso gli USA, che da sole assorbono oltre la metà dell’export del comparto (54,1%), sono salite a 107,8 milioni di euro, in crescita del 6,7% sul 2025. Seguono gli Emirati Arabi Uniti, saliti a 18,3 milioni di euro per un incremento del 22,3%. In controtendenza l’Arabia Saudita, che ha proseguito il rallentamento avviato l’anno precedente: le esportazioni sono scese a 9,8 milioni di euro, segnando una flessione del 42,2%. Tra gli altri mercati di rilievo si segnalano l’Australia, in recupero a 8,2 milioni di euro (+20,8%), e il Regno Unito, salito a 8,1 </w:t>
      </w:r>
      <w:r w:rsidRPr="0077050B">
        <w:rPr>
          <w:rFonts w:ascii="Calibri" w:hAnsi="Calibri"/>
          <w:iCs/>
        </w:rPr>
        <w:t>milioni di euro (+17,8%).</w:t>
      </w:r>
      <w:r w:rsidR="008C5D96">
        <w:rPr>
          <w:rFonts w:ascii="Calibri" w:hAnsi="Calibri"/>
          <w:iCs/>
        </w:rPr>
        <w:t xml:space="preserve"> </w:t>
      </w:r>
      <w:r w:rsidRPr="0077050B">
        <w:rPr>
          <w:rFonts w:ascii="Calibri" w:hAnsi="Calibri"/>
          <w:iCs/>
        </w:rPr>
        <w:t xml:space="preserve">Segnali positivi anche per </w:t>
      </w:r>
      <w:r w:rsidR="000069C3" w:rsidRPr="0077050B">
        <w:rPr>
          <w:rFonts w:ascii="Calibri" w:hAnsi="Calibri"/>
          <w:iCs/>
        </w:rPr>
        <w:t>l</w:t>
      </w:r>
      <w:r w:rsidR="00422803" w:rsidRPr="0077050B">
        <w:rPr>
          <w:rFonts w:ascii="Calibri" w:hAnsi="Calibri"/>
          <w:iCs/>
        </w:rPr>
        <w:t>’</w:t>
      </w:r>
      <w:r w:rsidRPr="0077050B">
        <w:rPr>
          <w:rFonts w:ascii="Calibri" w:hAnsi="Calibri"/>
          <w:b/>
          <w:i/>
          <w:iCs/>
        </w:rPr>
        <w:t>estrattivo</w:t>
      </w:r>
      <w:r w:rsidRPr="0077050B">
        <w:rPr>
          <w:rFonts w:ascii="Calibri" w:hAnsi="Calibri"/>
          <w:iCs/>
        </w:rPr>
        <w:t xml:space="preserve"> (</w:t>
      </w:r>
      <w:r w:rsidR="007E72A1" w:rsidRPr="0077050B">
        <w:rPr>
          <w:rFonts w:ascii="Calibri" w:hAnsi="Calibri"/>
          <w:iCs/>
        </w:rPr>
        <w:t>m</w:t>
      </w:r>
      <w:r w:rsidR="007E72A1" w:rsidRPr="0077050B">
        <w:rPr>
          <w:rFonts w:asciiTheme="minorHAnsi" w:hAnsiTheme="minorHAnsi" w:cstheme="minorHAnsi"/>
          <w:color w:val="000000"/>
        </w:rPr>
        <w:t>ateriali lapidei grezzi</w:t>
      </w:r>
      <w:r w:rsidR="000069C3" w:rsidRPr="0077050B">
        <w:rPr>
          <w:rFonts w:ascii="Calibri" w:hAnsi="Calibri"/>
          <w:iCs/>
        </w:rPr>
        <w:t>)</w:t>
      </w:r>
      <w:r w:rsidRPr="0077050B">
        <w:rPr>
          <w:rFonts w:ascii="Calibri" w:hAnsi="Calibri"/>
          <w:iCs/>
        </w:rPr>
        <w:t xml:space="preserve">, che nella prima metà del 2026 ha registrato una crescita delle esportazioni del 12,9%, salendo a quasi 103 milioni di euro, con un contributo </w:t>
      </w:r>
      <w:r w:rsidRPr="0077050B">
        <w:rPr>
          <w:rFonts w:ascii="Calibri" w:hAnsi="Calibri"/>
          <w:iCs/>
        </w:rPr>
        <w:lastRenderedPageBreak/>
        <w:t>di 1,1 punti percentuali alla crescita complessiva</w:t>
      </w:r>
      <w:r w:rsidRPr="00192FB8">
        <w:rPr>
          <w:rFonts w:ascii="Calibri" w:hAnsi="Calibri"/>
          <w:iCs/>
        </w:rPr>
        <w:t>.</w:t>
      </w:r>
      <w:r w:rsidR="008C5D96">
        <w:rPr>
          <w:rFonts w:ascii="Calibri" w:hAnsi="Calibri"/>
          <w:iCs/>
        </w:rPr>
        <w:t xml:space="preserve"> </w:t>
      </w:r>
      <w:r w:rsidRPr="00192FB8">
        <w:rPr>
          <w:rFonts w:ascii="Calibri" w:hAnsi="Calibri"/>
          <w:iCs/>
        </w:rPr>
        <w:t>La Cina, principale mercato di destinazione dei blocchi estratti, ha rafforzato la propria posizione salendo a 58,6 milioni di euro (56,9% del totale, +14% nel semestre). In forte crescita anche l’India, con 12,8 milioni di euro (+66,6%), e Hong Kong salito a 4,1 milioni di euro (+157,2%). In calo, invece, la Francia, scesa a 2,2 milioni di euro (-13%), e soprattutto l’Arabia Saudita, che si è fermata a 2,1 milioni di euro segnando una flessione del 37,8%.</w:t>
      </w:r>
      <w:r w:rsidR="008C5D96">
        <w:rPr>
          <w:rFonts w:ascii="Calibri" w:hAnsi="Calibri"/>
          <w:iCs/>
        </w:rPr>
        <w:t xml:space="preserve"> </w:t>
      </w:r>
      <w:r w:rsidRPr="00192FB8">
        <w:rPr>
          <w:rFonts w:ascii="Calibri" w:hAnsi="Calibri"/>
          <w:iCs/>
        </w:rPr>
        <w:t xml:space="preserve">Nella filiera lapidea è da segnalare anche il calo dell’export di </w:t>
      </w:r>
      <w:r w:rsidRPr="00192FB8">
        <w:rPr>
          <w:rFonts w:ascii="Calibri" w:hAnsi="Calibri"/>
          <w:b/>
          <w:i/>
          <w:iCs/>
        </w:rPr>
        <w:t>prodotti abrasivi</w:t>
      </w:r>
      <w:r w:rsidRPr="00192FB8">
        <w:rPr>
          <w:rFonts w:ascii="Calibri" w:hAnsi="Calibri"/>
          <w:iCs/>
        </w:rPr>
        <w:t>, che nel primo semestre 2026 si è fermato a circa 5,4 milioni di euro (-36,5%).</w:t>
      </w:r>
      <w:r w:rsidR="008C5D96">
        <w:rPr>
          <w:rFonts w:ascii="Calibri" w:hAnsi="Calibri"/>
          <w:iCs/>
        </w:rPr>
        <w:t xml:space="preserve"> </w:t>
      </w:r>
      <w:r w:rsidRPr="00192FB8">
        <w:rPr>
          <w:rFonts w:ascii="Calibri" w:hAnsi="Calibri"/>
          <w:iCs/>
        </w:rPr>
        <w:t xml:space="preserve">Il comparto della chimica ha registrato una dinamica in gran parte positiva. I </w:t>
      </w:r>
      <w:r w:rsidRPr="00192FB8">
        <w:rPr>
          <w:rFonts w:ascii="Calibri" w:hAnsi="Calibri"/>
          <w:b/>
          <w:i/>
          <w:iCs/>
        </w:rPr>
        <w:t>prodotti chimici di base</w:t>
      </w:r>
      <w:r w:rsidRPr="00192FB8">
        <w:rPr>
          <w:rFonts w:ascii="Calibri" w:hAnsi="Calibri"/>
          <w:iCs/>
        </w:rPr>
        <w:t xml:space="preserve"> hanno invertito il calo dello scorso anno segnando un recupero del 64,8% (oltre 12 milioni in più) e raggiungendo i 31,4 milioni di euro, poco sopra i livelli del 2024. La ripresa è stata trainata soprattutto dalla Cina, salita a 5,8 milioni di euro (18,6% del totale), che ha contribuito da sola per 23,8 punti percentuali alla crescita del comparto. In forte crescita anche il Giappone, salito a 3,3 milioni di euro, e gli Stati Uniti, a 3,8 milioni di euro. Aumento più contenuto per la Germania, secondo mercato per quota (14,1%), salita a 4,4 milioni di euro (+18,5%).</w:t>
      </w:r>
      <w:r w:rsidR="008C5D96">
        <w:rPr>
          <w:rFonts w:ascii="Calibri" w:hAnsi="Calibri"/>
          <w:iCs/>
        </w:rPr>
        <w:t xml:space="preserve"> </w:t>
      </w:r>
      <w:r w:rsidRPr="00192FB8">
        <w:rPr>
          <w:rFonts w:ascii="Calibri" w:hAnsi="Calibri"/>
          <w:iCs/>
        </w:rPr>
        <w:t xml:space="preserve">Anche gli </w:t>
      </w:r>
      <w:r w:rsidRPr="00192FB8">
        <w:rPr>
          <w:rFonts w:ascii="Calibri" w:hAnsi="Calibri"/>
          <w:b/>
          <w:i/>
          <w:iCs/>
        </w:rPr>
        <w:t>altri prodotti chimici</w:t>
      </w:r>
      <w:r w:rsidRPr="00192FB8">
        <w:rPr>
          <w:rFonts w:ascii="Calibri" w:hAnsi="Calibri"/>
          <w:iCs/>
        </w:rPr>
        <w:t xml:space="preserve"> hanno proseguito la crescita, con un incremento del 7,5% che ha portato l’export a oltre 92 milioni di euro. La Germania, storicamente primo partner commerciale del comparto, ha ridotto gli acquisti scendendo a 29,4 milioni di euro (31,9% del totale, -16,8%). La Francia si è mantenuta sostanzialmente stabile a 14,6 milioni di euro (+0,9%), mentre la Spagna ha mostrato un calo del 7% scendendo a 9,2 milioni. In forte crescita, invece, la Turchia, balzata a 8,6 milioni di euro (+282,1%), il Belgio salito a 7,2 milioni di euro (+22%) e l’Azerbaigian in crescita a 6,2 milioni (+173%).</w:t>
      </w:r>
      <w:r w:rsidR="008C5D96">
        <w:rPr>
          <w:rFonts w:ascii="Calibri" w:hAnsi="Calibri"/>
          <w:iCs/>
        </w:rPr>
        <w:t xml:space="preserve"> </w:t>
      </w:r>
      <w:r w:rsidRPr="00192FB8">
        <w:rPr>
          <w:rFonts w:ascii="Calibri" w:hAnsi="Calibri" w:cs="Calibri"/>
          <w:iCs/>
        </w:rPr>
        <w:t xml:space="preserve">Tra i settori di specializzazione si segnala invece il forte ridimensionamento nel semestre della </w:t>
      </w:r>
      <w:r w:rsidRPr="00192FB8">
        <w:rPr>
          <w:rFonts w:ascii="Calibri" w:hAnsi="Calibri" w:cs="Calibri"/>
          <w:b/>
          <w:i/>
          <w:iCs/>
        </w:rPr>
        <w:t>nautica da diporto</w:t>
      </w:r>
      <w:r w:rsidRPr="00192FB8">
        <w:rPr>
          <w:rFonts w:ascii="Calibri" w:hAnsi="Calibri" w:cs="Calibri"/>
          <w:iCs/>
        </w:rPr>
        <w:t xml:space="preserve"> (navi e imbarcazioni), il cui export è crollato a poco più di 8 milioni di euro nel primo semestre 2026, contro i quasi 136 milioni dello stesso periodo del 2025 (-94,1%), un livello inferiore anche ai 19,1 milioni del primo semestre 2024. Come spesso accade nel settore della cantieristica navale, la forte variabilità legata ai cicli di produzione e fatturazione determina oscillazioni significative nei valori dei singoli semestri: nel 2025 il dato era stato sostenuto dalla consegna di natanti nelle Isole Cayman, elemento che non si è ripetuto nel 2026. Il settore presenta inoltre elementi di fragilità legati alla situazione di crisi di uno dei principali gruppi industriali del territori</w:t>
      </w:r>
      <w:r w:rsidR="000069C3">
        <w:rPr>
          <w:rFonts w:ascii="Calibri" w:hAnsi="Calibri" w:cs="Calibri"/>
          <w:iCs/>
        </w:rPr>
        <w:t>o</w:t>
      </w:r>
      <w:r w:rsidRPr="00192FB8">
        <w:rPr>
          <w:rFonts w:ascii="Calibri" w:hAnsi="Calibri" w:cs="Calibri"/>
          <w:iCs/>
        </w:rPr>
        <w:t>.</w:t>
      </w:r>
    </w:p>
    <w:p w14:paraId="2E2AF083" w14:textId="77777777" w:rsidR="008C5D96" w:rsidRPr="00192FB8" w:rsidRDefault="008C5D96" w:rsidP="008C5D96">
      <w:pPr>
        <w:jc w:val="both"/>
        <w:rPr>
          <w:rFonts w:ascii="Calibri" w:hAnsi="Calibri" w:cs="Calibri"/>
          <w:iCs/>
        </w:rPr>
      </w:pPr>
    </w:p>
    <w:p w14:paraId="2C98579C" w14:textId="77777777" w:rsidR="00B1608A" w:rsidRPr="00192FB8" w:rsidRDefault="00B1608A" w:rsidP="00B1608A">
      <w:pPr>
        <w:jc w:val="both"/>
        <w:rPr>
          <w:rFonts w:ascii="Calibri" w:hAnsi="Calibri"/>
          <w:b/>
          <w:szCs w:val="22"/>
        </w:rPr>
      </w:pPr>
      <w:r w:rsidRPr="00192FB8">
        <w:rPr>
          <w:rFonts w:ascii="Calibri" w:hAnsi="Calibri"/>
          <w:b/>
          <w:szCs w:val="22"/>
        </w:rPr>
        <w:t>I mercati di destinazione</w:t>
      </w:r>
    </w:p>
    <w:p w14:paraId="6B65D07D" w14:textId="77777777" w:rsidR="00B1608A" w:rsidRPr="00192FB8" w:rsidRDefault="00B1608A" w:rsidP="00B1608A">
      <w:pPr>
        <w:jc w:val="both"/>
        <w:rPr>
          <w:rFonts w:ascii="Calibri" w:hAnsi="Calibri"/>
          <w:iCs/>
        </w:rPr>
      </w:pPr>
      <w:r w:rsidRPr="00192FB8">
        <w:rPr>
          <w:rFonts w:ascii="Calibri" w:hAnsi="Calibri"/>
          <w:iCs/>
        </w:rPr>
        <w:t>Gli Stati Uniti, con un’incidenza del 40,3% sul totale, si confermano ampiamente il primo mercato di sbocco per le aziende apuane, seguiti a distanza dalla Cina (11,3%) e dagli Emirati Arabi Uniti (6,2%). Le esportazioni verso gli Stati Uniti sono balzate a oltre 760 milioni nel primo semestre 2026 (+336,5%) grazie alla meccanica, recuperando pienamente il crollo registrato nel 2025 e superando del 50% i valori della prima parte del 2024. Molto positiva anche la dinamica verso la Cina, salita da 60 a 213 milioni di euro (+256,4%) grazie all’incremento delle vendite registrate per meccanica e lapideo, e forte espansione anche degli Emirati Arabi Uniti (117 milioni di euro, +79,5%). Tra gli altri mercati si segnalano forti espansioni per Algeria (90 milioni, +369,5%), Nigeria (84 milioni, +753,9%), Indonesia (47 milioni, +707,3%), Norvegia (44 milioni, +169,2%) e Australia (36 milioni, +99,9%), tutti significativamente determinati dalla dinamica delle consegne dell’industria meccanica. Per la Germania (64 milioni, +31,7%), l’andamento risulta ancora determinato in positivo dalla meccanica, che compensa la flessione delle vendite degli altri prodotti chimici (-16,8%), primo settore sul mercato tedesco. In controtendenza la Corea del Sud, dove l’export è rappresentato quasi interamente dal comparto della meccanica, che registra un lieve calo (-7,3%) scendendo a 94 milioni di euro, con una ricomposizione delle vendite tra i singoli settori.</w:t>
      </w:r>
    </w:p>
    <w:p w14:paraId="3BFC3CED" w14:textId="77777777" w:rsidR="00B1608A" w:rsidRPr="00192FB8" w:rsidRDefault="00B1608A" w:rsidP="00B1608A">
      <w:pPr>
        <w:jc w:val="both"/>
        <w:rPr>
          <w:rFonts w:ascii="Calibri" w:hAnsi="Calibri"/>
          <w:iCs/>
        </w:rPr>
      </w:pPr>
      <w:r w:rsidRPr="00192FB8">
        <w:rPr>
          <w:rFonts w:ascii="Calibri" w:hAnsi="Calibri"/>
          <w:iCs/>
        </w:rPr>
        <w:lastRenderedPageBreak/>
        <w:t xml:space="preserve">Le Isole Cayman, secondo mercato nel primo semestre 2025 grazie alle vendite di natanti, nel primo semestre 2026 sono uscite dalla top 10 dei mercati di destinazione per il forte ridimensionamento del comparto della </w:t>
      </w:r>
      <w:r w:rsidRPr="00192FB8">
        <w:rPr>
          <w:rFonts w:ascii="Calibri" w:hAnsi="Calibri"/>
          <w:bCs/>
        </w:rPr>
        <w:t>nautica da diporto</w:t>
      </w:r>
      <w:r w:rsidRPr="00192FB8">
        <w:rPr>
          <w:rFonts w:ascii="Calibri" w:hAnsi="Calibri"/>
          <w:iCs/>
        </w:rPr>
        <w:t xml:space="preserve"> illustrato in precedenza.</w:t>
      </w:r>
    </w:p>
    <w:p w14:paraId="56BA3121" w14:textId="77777777" w:rsidR="00B1608A" w:rsidRPr="00192FB8" w:rsidRDefault="00B1608A" w:rsidP="00B1608A">
      <w:pPr>
        <w:jc w:val="both"/>
        <w:rPr>
          <w:rFonts w:ascii="Calibri" w:hAnsi="Calibri"/>
          <w:iCs/>
        </w:rPr>
      </w:pPr>
      <w:r w:rsidRPr="00192FB8">
        <w:rPr>
          <w:rFonts w:ascii="Calibri" w:hAnsi="Calibri"/>
          <w:iCs/>
        </w:rPr>
        <w:t>Sul piano delle aree geografiche, l’America settentrionale ha assorbito il 40,6% dell’export provinciale con 767 milioni di euro, un valore più che quadruplicato rispetto al primo semestre 2025, mentre l’Asia si è confermata il secondo sbocco commerciale con 597 milioni (+39,4%) e una quota del 31,6%. È cresciuta anche l’Africa, arrivata a 194,4 milioni (+208,3%) per effetto delle commesse in Algeria e Nigeria. L’Unione europea è rimasta su valori più contenuti (177,1 milioni, +5,9%, pari al 9,4% del totale), mentre l’America centro-meridionale ha perso l’86,5% per la flessione nella consegna di natanti nel semestre.</w:t>
      </w:r>
    </w:p>
    <w:p w14:paraId="3FFBA172" w14:textId="77777777" w:rsidR="00B1608A" w:rsidRPr="00192FB8" w:rsidRDefault="00B1608A" w:rsidP="00B1608A">
      <w:pPr>
        <w:jc w:val="both"/>
        <w:rPr>
          <w:rFonts w:ascii="Calibri" w:hAnsi="Calibri"/>
          <w:iCs/>
        </w:rPr>
      </w:pPr>
    </w:p>
    <w:tbl>
      <w:tblPr>
        <w:tblW w:w="8679" w:type="dxa"/>
        <w:tblInd w:w="70" w:type="dxa"/>
        <w:tblCellMar>
          <w:left w:w="70" w:type="dxa"/>
          <w:right w:w="70" w:type="dxa"/>
        </w:tblCellMar>
        <w:tblLook w:val="04A0" w:firstRow="1" w:lastRow="0" w:firstColumn="1" w:lastColumn="0" w:noHBand="0" w:noVBand="1"/>
      </w:tblPr>
      <w:tblGrid>
        <w:gridCol w:w="2057"/>
        <w:gridCol w:w="1375"/>
        <w:gridCol w:w="1375"/>
        <w:gridCol w:w="1219"/>
        <w:gridCol w:w="1030"/>
        <w:gridCol w:w="7"/>
        <w:gridCol w:w="1464"/>
        <w:gridCol w:w="152"/>
      </w:tblGrid>
      <w:tr w:rsidR="00B1608A" w:rsidRPr="00192FB8" w14:paraId="0601A0C2" w14:textId="77777777" w:rsidTr="004F1CBC">
        <w:trPr>
          <w:gridAfter w:val="1"/>
          <w:wAfter w:w="152" w:type="dxa"/>
          <w:trHeight w:val="283"/>
        </w:trPr>
        <w:tc>
          <w:tcPr>
            <w:tcW w:w="8527" w:type="dxa"/>
            <w:gridSpan w:val="7"/>
            <w:tcBorders>
              <w:top w:val="nil"/>
              <w:left w:val="nil"/>
              <w:bottom w:val="nil"/>
              <w:right w:val="nil"/>
            </w:tcBorders>
            <w:noWrap/>
            <w:vAlign w:val="center"/>
            <w:hideMark/>
          </w:tcPr>
          <w:p w14:paraId="336D5FD1" w14:textId="77777777" w:rsidR="00B1608A" w:rsidRPr="00192FB8" w:rsidRDefault="00B1608A" w:rsidP="004F1CBC">
            <w:pPr>
              <w:rPr>
                <w:rFonts w:ascii="Calibri" w:hAnsi="Calibri" w:cs="Calibri"/>
                <w:b/>
                <w:bCs/>
                <w:color w:val="000000"/>
                <w:sz w:val="20"/>
                <w:szCs w:val="20"/>
              </w:rPr>
            </w:pPr>
            <w:r w:rsidRPr="00192FB8">
              <w:rPr>
                <w:rFonts w:ascii="Calibri" w:hAnsi="Calibri" w:cs="Calibri"/>
                <w:b/>
                <w:bCs/>
                <w:color w:val="000000"/>
                <w:sz w:val="20"/>
                <w:szCs w:val="20"/>
              </w:rPr>
              <w:t>I principali paesi di destinazione delle esportazioni della provincia di Massa-Carrara - I semestre 2026</w:t>
            </w:r>
          </w:p>
        </w:tc>
      </w:tr>
      <w:tr w:rsidR="00B1608A" w:rsidRPr="00192FB8" w14:paraId="780786C8" w14:textId="77777777" w:rsidTr="004F1CBC">
        <w:trPr>
          <w:gridAfter w:val="1"/>
          <w:wAfter w:w="152" w:type="dxa"/>
          <w:trHeight w:val="283"/>
        </w:trPr>
        <w:tc>
          <w:tcPr>
            <w:tcW w:w="6026" w:type="dxa"/>
            <w:gridSpan w:val="4"/>
            <w:tcBorders>
              <w:top w:val="nil"/>
              <w:left w:val="nil"/>
              <w:bottom w:val="nil"/>
              <w:right w:val="nil"/>
            </w:tcBorders>
            <w:noWrap/>
            <w:vAlign w:val="center"/>
            <w:hideMark/>
          </w:tcPr>
          <w:p w14:paraId="0780DF10" w14:textId="77777777" w:rsidR="00B1608A" w:rsidRPr="00192FB8" w:rsidRDefault="00B1608A" w:rsidP="004F1CBC">
            <w:pPr>
              <w:rPr>
                <w:rFonts w:ascii="Calibri" w:hAnsi="Calibri" w:cs="Calibri"/>
                <w:i/>
                <w:iCs/>
                <w:color w:val="000000"/>
                <w:sz w:val="20"/>
                <w:szCs w:val="20"/>
              </w:rPr>
            </w:pPr>
            <w:r w:rsidRPr="00192FB8">
              <w:rPr>
                <w:rFonts w:ascii="Calibri" w:hAnsi="Calibri" w:cs="Calibri"/>
                <w:i/>
                <w:iCs/>
                <w:color w:val="000000"/>
                <w:sz w:val="20"/>
                <w:szCs w:val="20"/>
              </w:rPr>
              <w:t>Valori assoluti in euro, var. % e contributi % alla crescita </w:t>
            </w:r>
          </w:p>
        </w:tc>
        <w:tc>
          <w:tcPr>
            <w:tcW w:w="1037" w:type="dxa"/>
            <w:gridSpan w:val="2"/>
            <w:tcBorders>
              <w:top w:val="nil"/>
              <w:left w:val="nil"/>
              <w:bottom w:val="nil"/>
              <w:right w:val="nil"/>
            </w:tcBorders>
            <w:noWrap/>
            <w:vAlign w:val="center"/>
            <w:hideMark/>
          </w:tcPr>
          <w:p w14:paraId="75FA1F35" w14:textId="77777777" w:rsidR="00B1608A" w:rsidRPr="00192FB8" w:rsidRDefault="00B1608A" w:rsidP="004F1CBC">
            <w:pPr>
              <w:rPr>
                <w:rFonts w:ascii="Calibri" w:hAnsi="Calibri" w:cs="Calibri"/>
                <w:i/>
                <w:iCs/>
                <w:color w:val="000000"/>
                <w:sz w:val="20"/>
                <w:szCs w:val="20"/>
              </w:rPr>
            </w:pPr>
          </w:p>
        </w:tc>
        <w:tc>
          <w:tcPr>
            <w:tcW w:w="1464" w:type="dxa"/>
            <w:tcBorders>
              <w:top w:val="nil"/>
              <w:left w:val="nil"/>
              <w:bottom w:val="nil"/>
              <w:right w:val="nil"/>
            </w:tcBorders>
            <w:noWrap/>
            <w:vAlign w:val="center"/>
            <w:hideMark/>
          </w:tcPr>
          <w:p w14:paraId="178C2F84" w14:textId="77777777" w:rsidR="00B1608A" w:rsidRPr="00192FB8" w:rsidRDefault="00B1608A" w:rsidP="004F1CBC">
            <w:pPr>
              <w:rPr>
                <w:sz w:val="20"/>
                <w:szCs w:val="20"/>
              </w:rPr>
            </w:pPr>
          </w:p>
        </w:tc>
      </w:tr>
      <w:tr w:rsidR="00B1608A" w:rsidRPr="00192FB8" w14:paraId="252AC13C" w14:textId="77777777" w:rsidTr="004F1CBC">
        <w:trPr>
          <w:gridAfter w:val="1"/>
          <w:wAfter w:w="152" w:type="dxa"/>
          <w:trHeight w:val="283"/>
        </w:trPr>
        <w:tc>
          <w:tcPr>
            <w:tcW w:w="2057" w:type="dxa"/>
            <w:vMerge w:val="restart"/>
            <w:tcBorders>
              <w:top w:val="single" w:sz="4" w:space="0" w:color="auto"/>
              <w:left w:val="nil"/>
              <w:bottom w:val="single" w:sz="4" w:space="0" w:color="000000"/>
              <w:right w:val="nil"/>
            </w:tcBorders>
            <w:noWrap/>
            <w:vAlign w:val="center"/>
            <w:hideMark/>
          </w:tcPr>
          <w:p w14:paraId="53CAB0D3" w14:textId="77777777" w:rsidR="00B1608A" w:rsidRPr="00192FB8" w:rsidRDefault="00B1608A" w:rsidP="004F1CBC">
            <w:pPr>
              <w:rPr>
                <w:rFonts w:ascii="Calibri" w:hAnsi="Calibri" w:cs="Calibri"/>
                <w:b/>
                <w:bCs/>
                <w:color w:val="000000"/>
                <w:sz w:val="20"/>
                <w:szCs w:val="20"/>
              </w:rPr>
            </w:pPr>
            <w:r w:rsidRPr="00192FB8">
              <w:rPr>
                <w:rFonts w:ascii="Calibri" w:hAnsi="Calibri" w:cs="Calibri"/>
                <w:b/>
                <w:bCs/>
                <w:color w:val="000000"/>
                <w:sz w:val="20"/>
                <w:szCs w:val="20"/>
              </w:rPr>
              <w:t>Paesi</w:t>
            </w:r>
          </w:p>
        </w:tc>
        <w:tc>
          <w:tcPr>
            <w:tcW w:w="2750" w:type="dxa"/>
            <w:gridSpan w:val="2"/>
            <w:tcBorders>
              <w:top w:val="single" w:sz="4" w:space="0" w:color="auto"/>
              <w:left w:val="nil"/>
              <w:bottom w:val="single" w:sz="4" w:space="0" w:color="auto"/>
              <w:right w:val="nil"/>
            </w:tcBorders>
            <w:noWrap/>
            <w:vAlign w:val="center"/>
            <w:hideMark/>
          </w:tcPr>
          <w:p w14:paraId="21EE6665" w14:textId="77777777" w:rsidR="00B1608A" w:rsidRPr="00192FB8" w:rsidRDefault="00B1608A" w:rsidP="004F1CBC">
            <w:pPr>
              <w:jc w:val="center"/>
              <w:rPr>
                <w:rFonts w:ascii="Calibri" w:hAnsi="Calibri" w:cs="Calibri"/>
                <w:b/>
                <w:bCs/>
                <w:color w:val="000000"/>
                <w:sz w:val="20"/>
                <w:szCs w:val="20"/>
              </w:rPr>
            </w:pPr>
            <w:r w:rsidRPr="00192FB8">
              <w:rPr>
                <w:rFonts w:ascii="Calibri" w:hAnsi="Calibri" w:cs="Calibri"/>
                <w:b/>
                <w:bCs/>
                <w:color w:val="000000"/>
                <w:sz w:val="20"/>
                <w:szCs w:val="20"/>
              </w:rPr>
              <w:t>Valori assoluti in euro</w:t>
            </w:r>
          </w:p>
        </w:tc>
        <w:tc>
          <w:tcPr>
            <w:tcW w:w="1219" w:type="dxa"/>
            <w:vMerge w:val="restart"/>
            <w:tcBorders>
              <w:top w:val="single" w:sz="4" w:space="0" w:color="auto"/>
              <w:left w:val="nil"/>
              <w:bottom w:val="single" w:sz="4" w:space="0" w:color="000000"/>
              <w:right w:val="nil"/>
            </w:tcBorders>
            <w:noWrap/>
            <w:vAlign w:val="center"/>
            <w:hideMark/>
          </w:tcPr>
          <w:p w14:paraId="51DAFF11" w14:textId="77777777" w:rsidR="00B1608A" w:rsidRPr="00192FB8" w:rsidRDefault="00B1608A" w:rsidP="004F1CBC">
            <w:pPr>
              <w:jc w:val="center"/>
              <w:rPr>
                <w:rFonts w:ascii="Calibri" w:hAnsi="Calibri" w:cs="Calibri"/>
                <w:b/>
                <w:bCs/>
                <w:color w:val="000000"/>
                <w:sz w:val="20"/>
                <w:szCs w:val="20"/>
              </w:rPr>
            </w:pPr>
            <w:r w:rsidRPr="00192FB8">
              <w:rPr>
                <w:rFonts w:ascii="Calibri" w:hAnsi="Calibri" w:cs="Calibri"/>
                <w:b/>
                <w:bCs/>
                <w:color w:val="000000"/>
                <w:sz w:val="20"/>
                <w:szCs w:val="20"/>
              </w:rPr>
              <w:t>Quota %</w:t>
            </w:r>
          </w:p>
        </w:tc>
        <w:tc>
          <w:tcPr>
            <w:tcW w:w="1030" w:type="dxa"/>
            <w:vMerge w:val="restart"/>
            <w:tcBorders>
              <w:top w:val="single" w:sz="4" w:space="0" w:color="auto"/>
              <w:left w:val="nil"/>
              <w:bottom w:val="single" w:sz="4" w:space="0" w:color="000000"/>
              <w:right w:val="nil"/>
            </w:tcBorders>
            <w:noWrap/>
            <w:vAlign w:val="center"/>
            <w:hideMark/>
          </w:tcPr>
          <w:p w14:paraId="597808DD" w14:textId="77777777" w:rsidR="00B1608A" w:rsidRPr="00192FB8" w:rsidRDefault="00B1608A" w:rsidP="004F1CBC">
            <w:pPr>
              <w:jc w:val="center"/>
              <w:rPr>
                <w:rFonts w:ascii="Calibri" w:hAnsi="Calibri" w:cs="Calibri"/>
                <w:b/>
                <w:bCs/>
                <w:color w:val="000000"/>
                <w:sz w:val="20"/>
                <w:szCs w:val="20"/>
              </w:rPr>
            </w:pPr>
            <w:r w:rsidRPr="00192FB8">
              <w:rPr>
                <w:rFonts w:ascii="Calibri" w:hAnsi="Calibri" w:cs="Calibri"/>
                <w:b/>
                <w:bCs/>
                <w:color w:val="000000"/>
                <w:sz w:val="20"/>
                <w:szCs w:val="20"/>
              </w:rPr>
              <w:t>Var. %</w:t>
            </w:r>
          </w:p>
        </w:tc>
        <w:tc>
          <w:tcPr>
            <w:tcW w:w="1471" w:type="dxa"/>
            <w:gridSpan w:val="2"/>
            <w:vMerge w:val="restart"/>
            <w:tcBorders>
              <w:top w:val="single" w:sz="4" w:space="0" w:color="auto"/>
              <w:left w:val="nil"/>
              <w:bottom w:val="single" w:sz="4" w:space="0" w:color="000000"/>
              <w:right w:val="nil"/>
            </w:tcBorders>
            <w:vAlign w:val="center"/>
            <w:hideMark/>
          </w:tcPr>
          <w:p w14:paraId="6CF8F062" w14:textId="77777777" w:rsidR="00B1608A" w:rsidRPr="00192FB8" w:rsidRDefault="00B1608A" w:rsidP="004F1CBC">
            <w:pPr>
              <w:jc w:val="center"/>
              <w:rPr>
                <w:rFonts w:ascii="Calibri" w:hAnsi="Calibri" w:cs="Calibri"/>
                <w:b/>
                <w:bCs/>
                <w:color w:val="000000"/>
                <w:sz w:val="20"/>
                <w:szCs w:val="20"/>
              </w:rPr>
            </w:pPr>
            <w:r w:rsidRPr="00192FB8">
              <w:rPr>
                <w:rFonts w:ascii="Calibri" w:hAnsi="Calibri" w:cs="Calibri"/>
                <w:b/>
                <w:bCs/>
                <w:color w:val="000000"/>
                <w:sz w:val="20"/>
                <w:szCs w:val="20"/>
              </w:rPr>
              <w:t>Contributo %</w:t>
            </w:r>
          </w:p>
        </w:tc>
      </w:tr>
      <w:tr w:rsidR="00B1608A" w:rsidRPr="00192FB8" w14:paraId="712C41C5" w14:textId="77777777" w:rsidTr="004F1CBC">
        <w:trPr>
          <w:gridAfter w:val="1"/>
          <w:wAfter w:w="152" w:type="dxa"/>
          <w:trHeight w:val="283"/>
        </w:trPr>
        <w:tc>
          <w:tcPr>
            <w:tcW w:w="2057" w:type="dxa"/>
            <w:vMerge/>
            <w:tcBorders>
              <w:top w:val="single" w:sz="4" w:space="0" w:color="auto"/>
              <w:left w:val="nil"/>
              <w:bottom w:val="single" w:sz="4" w:space="0" w:color="000000"/>
              <w:right w:val="nil"/>
            </w:tcBorders>
            <w:vAlign w:val="center"/>
            <w:hideMark/>
          </w:tcPr>
          <w:p w14:paraId="7443E858" w14:textId="77777777" w:rsidR="00B1608A" w:rsidRPr="00192FB8" w:rsidRDefault="00B1608A" w:rsidP="004F1CBC">
            <w:pPr>
              <w:rPr>
                <w:rFonts w:ascii="Calibri" w:hAnsi="Calibri" w:cs="Calibri"/>
                <w:b/>
                <w:bCs/>
                <w:color w:val="000000"/>
                <w:sz w:val="20"/>
                <w:szCs w:val="20"/>
              </w:rPr>
            </w:pPr>
          </w:p>
        </w:tc>
        <w:tc>
          <w:tcPr>
            <w:tcW w:w="1375" w:type="dxa"/>
            <w:tcBorders>
              <w:top w:val="nil"/>
              <w:left w:val="nil"/>
              <w:bottom w:val="single" w:sz="4" w:space="0" w:color="auto"/>
              <w:right w:val="nil"/>
            </w:tcBorders>
            <w:noWrap/>
            <w:vAlign w:val="center"/>
            <w:hideMark/>
          </w:tcPr>
          <w:p w14:paraId="6C357818" w14:textId="77777777" w:rsidR="00B1608A" w:rsidRPr="00192FB8" w:rsidRDefault="00B1608A" w:rsidP="004F1CBC">
            <w:pPr>
              <w:jc w:val="center"/>
              <w:rPr>
                <w:rFonts w:ascii="Calibri" w:hAnsi="Calibri" w:cs="Calibri"/>
                <w:b/>
                <w:bCs/>
                <w:color w:val="000000"/>
                <w:sz w:val="20"/>
                <w:szCs w:val="20"/>
              </w:rPr>
            </w:pPr>
            <w:r w:rsidRPr="00192FB8">
              <w:rPr>
                <w:rFonts w:ascii="Calibri" w:hAnsi="Calibri" w:cs="Calibri"/>
                <w:b/>
                <w:bCs/>
                <w:color w:val="000000"/>
                <w:sz w:val="20"/>
                <w:szCs w:val="20"/>
              </w:rPr>
              <w:t xml:space="preserve">I </w:t>
            </w:r>
            <w:proofErr w:type="spellStart"/>
            <w:r w:rsidRPr="00192FB8">
              <w:rPr>
                <w:rFonts w:ascii="Calibri" w:hAnsi="Calibri" w:cs="Calibri"/>
                <w:b/>
                <w:bCs/>
                <w:color w:val="000000"/>
                <w:sz w:val="20"/>
                <w:szCs w:val="20"/>
              </w:rPr>
              <w:t>sem</w:t>
            </w:r>
            <w:proofErr w:type="spellEnd"/>
            <w:r w:rsidRPr="00192FB8">
              <w:rPr>
                <w:rFonts w:ascii="Calibri" w:hAnsi="Calibri" w:cs="Calibri"/>
                <w:b/>
                <w:bCs/>
                <w:color w:val="000000"/>
                <w:sz w:val="20"/>
                <w:szCs w:val="20"/>
              </w:rPr>
              <w:t>. 2025</w:t>
            </w:r>
          </w:p>
        </w:tc>
        <w:tc>
          <w:tcPr>
            <w:tcW w:w="1375" w:type="dxa"/>
            <w:tcBorders>
              <w:top w:val="nil"/>
              <w:left w:val="nil"/>
              <w:bottom w:val="single" w:sz="4" w:space="0" w:color="auto"/>
              <w:right w:val="nil"/>
            </w:tcBorders>
            <w:noWrap/>
            <w:vAlign w:val="center"/>
            <w:hideMark/>
          </w:tcPr>
          <w:p w14:paraId="5A4D21EF" w14:textId="77777777" w:rsidR="00B1608A" w:rsidRPr="00192FB8" w:rsidRDefault="00B1608A" w:rsidP="004F1CBC">
            <w:pPr>
              <w:jc w:val="center"/>
              <w:rPr>
                <w:rFonts w:ascii="Calibri" w:hAnsi="Calibri" w:cs="Calibri"/>
                <w:b/>
                <w:bCs/>
                <w:color w:val="000000"/>
                <w:sz w:val="20"/>
                <w:szCs w:val="20"/>
              </w:rPr>
            </w:pPr>
            <w:r w:rsidRPr="00192FB8">
              <w:rPr>
                <w:rFonts w:ascii="Calibri" w:hAnsi="Calibri" w:cs="Calibri"/>
                <w:b/>
                <w:bCs/>
                <w:color w:val="000000"/>
                <w:sz w:val="20"/>
                <w:szCs w:val="20"/>
              </w:rPr>
              <w:t xml:space="preserve">I </w:t>
            </w:r>
            <w:proofErr w:type="spellStart"/>
            <w:r w:rsidRPr="00192FB8">
              <w:rPr>
                <w:rFonts w:ascii="Calibri" w:hAnsi="Calibri" w:cs="Calibri"/>
                <w:b/>
                <w:bCs/>
                <w:color w:val="000000"/>
                <w:sz w:val="20"/>
                <w:szCs w:val="20"/>
              </w:rPr>
              <w:t>sem</w:t>
            </w:r>
            <w:proofErr w:type="spellEnd"/>
            <w:r w:rsidRPr="00192FB8">
              <w:rPr>
                <w:rFonts w:ascii="Calibri" w:hAnsi="Calibri" w:cs="Calibri"/>
                <w:b/>
                <w:bCs/>
                <w:color w:val="000000"/>
                <w:sz w:val="20"/>
                <w:szCs w:val="20"/>
              </w:rPr>
              <w:t>. 2026</w:t>
            </w:r>
          </w:p>
        </w:tc>
        <w:tc>
          <w:tcPr>
            <w:tcW w:w="1219" w:type="dxa"/>
            <w:vMerge/>
            <w:tcBorders>
              <w:top w:val="single" w:sz="4" w:space="0" w:color="auto"/>
              <w:left w:val="nil"/>
              <w:bottom w:val="single" w:sz="4" w:space="0" w:color="000000"/>
              <w:right w:val="nil"/>
            </w:tcBorders>
            <w:vAlign w:val="center"/>
            <w:hideMark/>
          </w:tcPr>
          <w:p w14:paraId="5C1BB958" w14:textId="77777777" w:rsidR="00B1608A" w:rsidRPr="00192FB8" w:rsidRDefault="00B1608A" w:rsidP="004F1CBC">
            <w:pPr>
              <w:jc w:val="center"/>
              <w:rPr>
                <w:rFonts w:ascii="Calibri" w:hAnsi="Calibri" w:cs="Calibri"/>
                <w:b/>
                <w:bCs/>
                <w:color w:val="000000"/>
                <w:sz w:val="20"/>
                <w:szCs w:val="20"/>
              </w:rPr>
            </w:pPr>
          </w:p>
        </w:tc>
        <w:tc>
          <w:tcPr>
            <w:tcW w:w="1030" w:type="dxa"/>
            <w:vMerge/>
            <w:tcBorders>
              <w:top w:val="single" w:sz="4" w:space="0" w:color="auto"/>
              <w:left w:val="nil"/>
              <w:bottom w:val="single" w:sz="4" w:space="0" w:color="000000"/>
              <w:right w:val="nil"/>
            </w:tcBorders>
            <w:vAlign w:val="center"/>
            <w:hideMark/>
          </w:tcPr>
          <w:p w14:paraId="2EA257E9" w14:textId="77777777" w:rsidR="00B1608A" w:rsidRPr="00192FB8" w:rsidRDefault="00B1608A" w:rsidP="004F1CBC">
            <w:pPr>
              <w:jc w:val="center"/>
              <w:rPr>
                <w:rFonts w:ascii="Calibri" w:hAnsi="Calibri" w:cs="Calibri"/>
                <w:b/>
                <w:bCs/>
                <w:color w:val="000000"/>
                <w:sz w:val="20"/>
                <w:szCs w:val="20"/>
              </w:rPr>
            </w:pPr>
          </w:p>
        </w:tc>
        <w:tc>
          <w:tcPr>
            <w:tcW w:w="1471" w:type="dxa"/>
            <w:gridSpan w:val="2"/>
            <w:vMerge/>
            <w:tcBorders>
              <w:top w:val="single" w:sz="4" w:space="0" w:color="auto"/>
              <w:left w:val="nil"/>
              <w:bottom w:val="single" w:sz="4" w:space="0" w:color="000000"/>
              <w:right w:val="nil"/>
            </w:tcBorders>
            <w:vAlign w:val="center"/>
            <w:hideMark/>
          </w:tcPr>
          <w:p w14:paraId="2513518D" w14:textId="77777777" w:rsidR="00B1608A" w:rsidRPr="00192FB8" w:rsidRDefault="00B1608A" w:rsidP="004F1CBC">
            <w:pPr>
              <w:jc w:val="center"/>
              <w:rPr>
                <w:rFonts w:ascii="Calibri" w:hAnsi="Calibri" w:cs="Calibri"/>
                <w:b/>
                <w:bCs/>
                <w:color w:val="000000"/>
                <w:sz w:val="20"/>
                <w:szCs w:val="20"/>
              </w:rPr>
            </w:pPr>
          </w:p>
        </w:tc>
      </w:tr>
      <w:tr w:rsidR="00B1608A" w:rsidRPr="00192FB8" w14:paraId="62CDBDEB" w14:textId="77777777" w:rsidTr="004F1CBC">
        <w:trPr>
          <w:gridAfter w:val="1"/>
          <w:wAfter w:w="152" w:type="dxa"/>
          <w:trHeight w:val="283"/>
        </w:trPr>
        <w:tc>
          <w:tcPr>
            <w:tcW w:w="2057" w:type="dxa"/>
            <w:tcBorders>
              <w:top w:val="nil"/>
              <w:left w:val="nil"/>
              <w:bottom w:val="nil"/>
              <w:right w:val="nil"/>
            </w:tcBorders>
            <w:noWrap/>
            <w:vAlign w:val="bottom"/>
            <w:hideMark/>
          </w:tcPr>
          <w:p w14:paraId="49E42192"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Stati Uniti</w:t>
            </w:r>
          </w:p>
        </w:tc>
        <w:tc>
          <w:tcPr>
            <w:tcW w:w="1375" w:type="dxa"/>
            <w:tcBorders>
              <w:top w:val="nil"/>
              <w:left w:val="nil"/>
              <w:bottom w:val="nil"/>
              <w:right w:val="nil"/>
            </w:tcBorders>
            <w:noWrap/>
            <w:vAlign w:val="bottom"/>
            <w:hideMark/>
          </w:tcPr>
          <w:p w14:paraId="4FE8B362"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174.248.721</w:t>
            </w:r>
          </w:p>
        </w:tc>
        <w:tc>
          <w:tcPr>
            <w:tcW w:w="1375" w:type="dxa"/>
            <w:tcBorders>
              <w:top w:val="nil"/>
              <w:left w:val="nil"/>
              <w:bottom w:val="nil"/>
              <w:right w:val="nil"/>
            </w:tcBorders>
            <w:noWrap/>
            <w:vAlign w:val="bottom"/>
            <w:hideMark/>
          </w:tcPr>
          <w:p w14:paraId="2D368C2C"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760.661.406</w:t>
            </w:r>
          </w:p>
        </w:tc>
        <w:tc>
          <w:tcPr>
            <w:tcW w:w="1219" w:type="dxa"/>
            <w:tcBorders>
              <w:top w:val="nil"/>
              <w:left w:val="nil"/>
              <w:bottom w:val="nil"/>
              <w:right w:val="nil"/>
            </w:tcBorders>
            <w:noWrap/>
            <w:vAlign w:val="bottom"/>
            <w:hideMark/>
          </w:tcPr>
          <w:p w14:paraId="20AC3819"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40,3%</w:t>
            </w:r>
          </w:p>
        </w:tc>
        <w:tc>
          <w:tcPr>
            <w:tcW w:w="1030" w:type="dxa"/>
            <w:tcBorders>
              <w:top w:val="nil"/>
              <w:left w:val="nil"/>
              <w:bottom w:val="nil"/>
              <w:right w:val="nil"/>
            </w:tcBorders>
            <w:noWrap/>
            <w:vAlign w:val="bottom"/>
            <w:hideMark/>
          </w:tcPr>
          <w:p w14:paraId="09F0CED5"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336,5%</w:t>
            </w:r>
          </w:p>
        </w:tc>
        <w:tc>
          <w:tcPr>
            <w:tcW w:w="1471" w:type="dxa"/>
            <w:gridSpan w:val="2"/>
            <w:tcBorders>
              <w:top w:val="nil"/>
              <w:left w:val="nil"/>
              <w:bottom w:val="nil"/>
              <w:right w:val="nil"/>
            </w:tcBorders>
            <w:noWrap/>
            <w:vAlign w:val="bottom"/>
            <w:hideMark/>
          </w:tcPr>
          <w:p w14:paraId="763B7A3F"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54,3%</w:t>
            </w:r>
          </w:p>
        </w:tc>
      </w:tr>
      <w:tr w:rsidR="00B1608A" w:rsidRPr="00192FB8" w14:paraId="69752C0E" w14:textId="77777777" w:rsidTr="004F1CBC">
        <w:trPr>
          <w:gridAfter w:val="1"/>
          <w:wAfter w:w="152" w:type="dxa"/>
          <w:trHeight w:val="283"/>
        </w:trPr>
        <w:tc>
          <w:tcPr>
            <w:tcW w:w="2057" w:type="dxa"/>
            <w:tcBorders>
              <w:top w:val="nil"/>
              <w:left w:val="nil"/>
              <w:bottom w:val="nil"/>
              <w:right w:val="nil"/>
            </w:tcBorders>
            <w:noWrap/>
            <w:vAlign w:val="bottom"/>
            <w:hideMark/>
          </w:tcPr>
          <w:p w14:paraId="09FBC41B"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Cina</w:t>
            </w:r>
          </w:p>
        </w:tc>
        <w:tc>
          <w:tcPr>
            <w:tcW w:w="1375" w:type="dxa"/>
            <w:tcBorders>
              <w:top w:val="nil"/>
              <w:left w:val="nil"/>
              <w:bottom w:val="nil"/>
              <w:right w:val="nil"/>
            </w:tcBorders>
            <w:noWrap/>
            <w:vAlign w:val="bottom"/>
            <w:hideMark/>
          </w:tcPr>
          <w:p w14:paraId="1A9EEA38"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59.698.127</w:t>
            </w:r>
          </w:p>
        </w:tc>
        <w:tc>
          <w:tcPr>
            <w:tcW w:w="1375" w:type="dxa"/>
            <w:tcBorders>
              <w:top w:val="nil"/>
              <w:left w:val="nil"/>
              <w:bottom w:val="nil"/>
              <w:right w:val="nil"/>
            </w:tcBorders>
            <w:noWrap/>
            <w:vAlign w:val="bottom"/>
            <w:hideMark/>
          </w:tcPr>
          <w:p w14:paraId="5D8C38D7"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212.786.639</w:t>
            </w:r>
          </w:p>
        </w:tc>
        <w:tc>
          <w:tcPr>
            <w:tcW w:w="1219" w:type="dxa"/>
            <w:tcBorders>
              <w:top w:val="nil"/>
              <w:left w:val="nil"/>
              <w:bottom w:val="nil"/>
              <w:right w:val="nil"/>
            </w:tcBorders>
            <w:noWrap/>
            <w:vAlign w:val="bottom"/>
            <w:hideMark/>
          </w:tcPr>
          <w:p w14:paraId="676D696B"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11,3%</w:t>
            </w:r>
          </w:p>
        </w:tc>
        <w:tc>
          <w:tcPr>
            <w:tcW w:w="1030" w:type="dxa"/>
            <w:tcBorders>
              <w:top w:val="nil"/>
              <w:left w:val="nil"/>
              <w:bottom w:val="nil"/>
              <w:right w:val="nil"/>
            </w:tcBorders>
            <w:noWrap/>
            <w:vAlign w:val="bottom"/>
            <w:hideMark/>
          </w:tcPr>
          <w:p w14:paraId="6B721B7D"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256,4%</w:t>
            </w:r>
          </w:p>
        </w:tc>
        <w:tc>
          <w:tcPr>
            <w:tcW w:w="1471" w:type="dxa"/>
            <w:gridSpan w:val="2"/>
            <w:tcBorders>
              <w:top w:val="nil"/>
              <w:left w:val="nil"/>
              <w:bottom w:val="nil"/>
              <w:right w:val="nil"/>
            </w:tcBorders>
            <w:noWrap/>
            <w:vAlign w:val="bottom"/>
            <w:hideMark/>
          </w:tcPr>
          <w:p w14:paraId="139580A6"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14,2%</w:t>
            </w:r>
          </w:p>
        </w:tc>
      </w:tr>
      <w:tr w:rsidR="00B1608A" w:rsidRPr="00192FB8" w14:paraId="0D7C5FE7" w14:textId="77777777" w:rsidTr="004F1CBC">
        <w:trPr>
          <w:gridAfter w:val="1"/>
          <w:wAfter w:w="152" w:type="dxa"/>
          <w:trHeight w:val="283"/>
        </w:trPr>
        <w:tc>
          <w:tcPr>
            <w:tcW w:w="2057" w:type="dxa"/>
            <w:tcBorders>
              <w:top w:val="nil"/>
              <w:left w:val="nil"/>
              <w:bottom w:val="nil"/>
              <w:right w:val="nil"/>
            </w:tcBorders>
            <w:noWrap/>
            <w:vAlign w:val="bottom"/>
            <w:hideMark/>
          </w:tcPr>
          <w:p w14:paraId="4F28076D"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Emirati Arabi Uniti</w:t>
            </w:r>
          </w:p>
        </w:tc>
        <w:tc>
          <w:tcPr>
            <w:tcW w:w="1375" w:type="dxa"/>
            <w:tcBorders>
              <w:top w:val="nil"/>
              <w:left w:val="nil"/>
              <w:bottom w:val="nil"/>
              <w:right w:val="nil"/>
            </w:tcBorders>
            <w:noWrap/>
            <w:vAlign w:val="bottom"/>
            <w:hideMark/>
          </w:tcPr>
          <w:p w14:paraId="4DB1C17B"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65.419.378</w:t>
            </w:r>
          </w:p>
        </w:tc>
        <w:tc>
          <w:tcPr>
            <w:tcW w:w="1375" w:type="dxa"/>
            <w:tcBorders>
              <w:top w:val="nil"/>
              <w:left w:val="nil"/>
              <w:bottom w:val="nil"/>
              <w:right w:val="nil"/>
            </w:tcBorders>
            <w:noWrap/>
            <w:vAlign w:val="bottom"/>
            <w:hideMark/>
          </w:tcPr>
          <w:p w14:paraId="37586034"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117.458.346</w:t>
            </w:r>
          </w:p>
        </w:tc>
        <w:tc>
          <w:tcPr>
            <w:tcW w:w="1219" w:type="dxa"/>
            <w:tcBorders>
              <w:top w:val="nil"/>
              <w:left w:val="nil"/>
              <w:bottom w:val="nil"/>
              <w:right w:val="nil"/>
            </w:tcBorders>
            <w:noWrap/>
            <w:vAlign w:val="bottom"/>
            <w:hideMark/>
          </w:tcPr>
          <w:p w14:paraId="546F8088"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6,2%</w:t>
            </w:r>
          </w:p>
        </w:tc>
        <w:tc>
          <w:tcPr>
            <w:tcW w:w="1030" w:type="dxa"/>
            <w:tcBorders>
              <w:top w:val="nil"/>
              <w:left w:val="nil"/>
              <w:bottom w:val="nil"/>
              <w:right w:val="nil"/>
            </w:tcBorders>
            <w:noWrap/>
            <w:vAlign w:val="bottom"/>
            <w:hideMark/>
          </w:tcPr>
          <w:p w14:paraId="54A2D2D9"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79,5%</w:t>
            </w:r>
          </w:p>
        </w:tc>
        <w:tc>
          <w:tcPr>
            <w:tcW w:w="1471" w:type="dxa"/>
            <w:gridSpan w:val="2"/>
            <w:tcBorders>
              <w:top w:val="nil"/>
              <w:left w:val="nil"/>
              <w:bottom w:val="nil"/>
              <w:right w:val="nil"/>
            </w:tcBorders>
            <w:noWrap/>
            <w:vAlign w:val="bottom"/>
            <w:hideMark/>
          </w:tcPr>
          <w:p w14:paraId="057FA8D3"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4,8%</w:t>
            </w:r>
          </w:p>
        </w:tc>
      </w:tr>
      <w:tr w:rsidR="00B1608A" w:rsidRPr="00192FB8" w14:paraId="4F6C72EE" w14:textId="77777777" w:rsidTr="004F1CBC">
        <w:trPr>
          <w:gridAfter w:val="1"/>
          <w:wAfter w:w="152" w:type="dxa"/>
          <w:trHeight w:val="283"/>
        </w:trPr>
        <w:tc>
          <w:tcPr>
            <w:tcW w:w="2057" w:type="dxa"/>
            <w:tcBorders>
              <w:top w:val="nil"/>
              <w:left w:val="nil"/>
              <w:bottom w:val="nil"/>
              <w:right w:val="nil"/>
            </w:tcBorders>
            <w:noWrap/>
            <w:vAlign w:val="bottom"/>
            <w:hideMark/>
          </w:tcPr>
          <w:p w14:paraId="7777CBB3"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Corea del Sud</w:t>
            </w:r>
          </w:p>
        </w:tc>
        <w:tc>
          <w:tcPr>
            <w:tcW w:w="1375" w:type="dxa"/>
            <w:tcBorders>
              <w:top w:val="nil"/>
              <w:left w:val="nil"/>
              <w:bottom w:val="nil"/>
              <w:right w:val="nil"/>
            </w:tcBorders>
            <w:noWrap/>
            <w:vAlign w:val="bottom"/>
            <w:hideMark/>
          </w:tcPr>
          <w:p w14:paraId="49CE875D"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101.131.491</w:t>
            </w:r>
          </w:p>
        </w:tc>
        <w:tc>
          <w:tcPr>
            <w:tcW w:w="1375" w:type="dxa"/>
            <w:tcBorders>
              <w:top w:val="nil"/>
              <w:left w:val="nil"/>
              <w:bottom w:val="nil"/>
              <w:right w:val="nil"/>
            </w:tcBorders>
            <w:noWrap/>
            <w:vAlign w:val="bottom"/>
            <w:hideMark/>
          </w:tcPr>
          <w:p w14:paraId="132BE603"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93.780.864</w:t>
            </w:r>
          </w:p>
        </w:tc>
        <w:tc>
          <w:tcPr>
            <w:tcW w:w="1219" w:type="dxa"/>
            <w:tcBorders>
              <w:top w:val="nil"/>
              <w:left w:val="nil"/>
              <w:bottom w:val="nil"/>
              <w:right w:val="nil"/>
            </w:tcBorders>
            <w:noWrap/>
            <w:vAlign w:val="bottom"/>
            <w:hideMark/>
          </w:tcPr>
          <w:p w14:paraId="1623B1CC"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5,0%</w:t>
            </w:r>
          </w:p>
        </w:tc>
        <w:tc>
          <w:tcPr>
            <w:tcW w:w="1030" w:type="dxa"/>
            <w:tcBorders>
              <w:top w:val="nil"/>
              <w:left w:val="nil"/>
              <w:bottom w:val="nil"/>
              <w:right w:val="nil"/>
            </w:tcBorders>
            <w:noWrap/>
            <w:vAlign w:val="bottom"/>
            <w:hideMark/>
          </w:tcPr>
          <w:p w14:paraId="72689521"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-7,3%</w:t>
            </w:r>
          </w:p>
        </w:tc>
        <w:tc>
          <w:tcPr>
            <w:tcW w:w="1471" w:type="dxa"/>
            <w:gridSpan w:val="2"/>
            <w:tcBorders>
              <w:top w:val="nil"/>
              <w:left w:val="nil"/>
              <w:bottom w:val="nil"/>
              <w:right w:val="nil"/>
            </w:tcBorders>
            <w:noWrap/>
            <w:vAlign w:val="bottom"/>
            <w:hideMark/>
          </w:tcPr>
          <w:p w14:paraId="312E11C5"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-0,7%</w:t>
            </w:r>
          </w:p>
        </w:tc>
      </w:tr>
      <w:tr w:rsidR="00B1608A" w:rsidRPr="00192FB8" w14:paraId="085A2016" w14:textId="77777777" w:rsidTr="004F1CBC">
        <w:trPr>
          <w:gridAfter w:val="1"/>
          <w:wAfter w:w="152" w:type="dxa"/>
          <w:trHeight w:val="283"/>
        </w:trPr>
        <w:tc>
          <w:tcPr>
            <w:tcW w:w="2057" w:type="dxa"/>
            <w:tcBorders>
              <w:top w:val="nil"/>
              <w:left w:val="nil"/>
              <w:bottom w:val="nil"/>
              <w:right w:val="nil"/>
            </w:tcBorders>
            <w:noWrap/>
            <w:vAlign w:val="bottom"/>
            <w:hideMark/>
          </w:tcPr>
          <w:p w14:paraId="0E81EF6D"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Algeria</w:t>
            </w:r>
          </w:p>
        </w:tc>
        <w:tc>
          <w:tcPr>
            <w:tcW w:w="1375" w:type="dxa"/>
            <w:tcBorders>
              <w:top w:val="nil"/>
              <w:left w:val="nil"/>
              <w:bottom w:val="nil"/>
              <w:right w:val="nil"/>
            </w:tcBorders>
            <w:noWrap/>
            <w:vAlign w:val="bottom"/>
            <w:hideMark/>
          </w:tcPr>
          <w:p w14:paraId="29CAEFB5"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19.106.961</w:t>
            </w:r>
          </w:p>
        </w:tc>
        <w:tc>
          <w:tcPr>
            <w:tcW w:w="1375" w:type="dxa"/>
            <w:tcBorders>
              <w:top w:val="nil"/>
              <w:left w:val="nil"/>
              <w:bottom w:val="nil"/>
              <w:right w:val="nil"/>
            </w:tcBorders>
            <w:noWrap/>
            <w:vAlign w:val="bottom"/>
            <w:hideMark/>
          </w:tcPr>
          <w:p w14:paraId="695AB4B0"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89.697.901</w:t>
            </w:r>
          </w:p>
        </w:tc>
        <w:tc>
          <w:tcPr>
            <w:tcW w:w="1219" w:type="dxa"/>
            <w:tcBorders>
              <w:top w:val="nil"/>
              <w:left w:val="nil"/>
              <w:bottom w:val="nil"/>
              <w:right w:val="nil"/>
            </w:tcBorders>
            <w:noWrap/>
            <w:vAlign w:val="bottom"/>
            <w:hideMark/>
          </w:tcPr>
          <w:p w14:paraId="57D2BE25"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4,7%</w:t>
            </w:r>
          </w:p>
        </w:tc>
        <w:tc>
          <w:tcPr>
            <w:tcW w:w="1030" w:type="dxa"/>
            <w:tcBorders>
              <w:top w:val="nil"/>
              <w:left w:val="nil"/>
              <w:bottom w:val="nil"/>
              <w:right w:val="nil"/>
            </w:tcBorders>
            <w:noWrap/>
            <w:vAlign w:val="bottom"/>
            <w:hideMark/>
          </w:tcPr>
          <w:p w14:paraId="4AD57518"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369,5%</w:t>
            </w:r>
          </w:p>
        </w:tc>
        <w:tc>
          <w:tcPr>
            <w:tcW w:w="1471" w:type="dxa"/>
            <w:gridSpan w:val="2"/>
            <w:tcBorders>
              <w:top w:val="nil"/>
              <w:left w:val="nil"/>
              <w:bottom w:val="nil"/>
              <w:right w:val="nil"/>
            </w:tcBorders>
            <w:noWrap/>
            <w:vAlign w:val="bottom"/>
            <w:hideMark/>
          </w:tcPr>
          <w:p w14:paraId="79FA09E2"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6,5%</w:t>
            </w:r>
          </w:p>
        </w:tc>
      </w:tr>
      <w:tr w:rsidR="00B1608A" w:rsidRPr="00192FB8" w14:paraId="639AF90E" w14:textId="77777777" w:rsidTr="004F1CBC">
        <w:trPr>
          <w:gridAfter w:val="1"/>
          <w:wAfter w:w="152" w:type="dxa"/>
          <w:trHeight w:val="283"/>
        </w:trPr>
        <w:tc>
          <w:tcPr>
            <w:tcW w:w="2057" w:type="dxa"/>
            <w:tcBorders>
              <w:top w:val="nil"/>
              <w:left w:val="nil"/>
              <w:bottom w:val="nil"/>
              <w:right w:val="nil"/>
            </w:tcBorders>
            <w:noWrap/>
            <w:vAlign w:val="bottom"/>
            <w:hideMark/>
          </w:tcPr>
          <w:p w14:paraId="048D9E93"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Nigeria</w:t>
            </w:r>
          </w:p>
        </w:tc>
        <w:tc>
          <w:tcPr>
            <w:tcW w:w="1375" w:type="dxa"/>
            <w:tcBorders>
              <w:top w:val="nil"/>
              <w:left w:val="nil"/>
              <w:bottom w:val="nil"/>
              <w:right w:val="nil"/>
            </w:tcBorders>
            <w:noWrap/>
            <w:vAlign w:val="bottom"/>
            <w:hideMark/>
          </w:tcPr>
          <w:p w14:paraId="480911D1"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9.799.235</w:t>
            </w:r>
          </w:p>
        </w:tc>
        <w:tc>
          <w:tcPr>
            <w:tcW w:w="1375" w:type="dxa"/>
            <w:tcBorders>
              <w:top w:val="nil"/>
              <w:left w:val="nil"/>
              <w:bottom w:val="nil"/>
              <w:right w:val="nil"/>
            </w:tcBorders>
            <w:noWrap/>
            <w:vAlign w:val="bottom"/>
            <w:hideMark/>
          </w:tcPr>
          <w:p w14:paraId="1EFD6368"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83.678.036</w:t>
            </w:r>
          </w:p>
        </w:tc>
        <w:tc>
          <w:tcPr>
            <w:tcW w:w="1219" w:type="dxa"/>
            <w:tcBorders>
              <w:top w:val="nil"/>
              <w:left w:val="nil"/>
              <w:bottom w:val="nil"/>
              <w:right w:val="nil"/>
            </w:tcBorders>
            <w:noWrap/>
            <w:vAlign w:val="bottom"/>
            <w:hideMark/>
          </w:tcPr>
          <w:p w14:paraId="79DB5682"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4,4%</w:t>
            </w:r>
          </w:p>
        </w:tc>
        <w:tc>
          <w:tcPr>
            <w:tcW w:w="1030" w:type="dxa"/>
            <w:tcBorders>
              <w:top w:val="nil"/>
              <w:left w:val="nil"/>
              <w:bottom w:val="nil"/>
              <w:right w:val="nil"/>
            </w:tcBorders>
            <w:noWrap/>
            <w:vAlign w:val="bottom"/>
            <w:hideMark/>
          </w:tcPr>
          <w:p w14:paraId="6E92AF3C"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753,9%</w:t>
            </w:r>
          </w:p>
        </w:tc>
        <w:tc>
          <w:tcPr>
            <w:tcW w:w="1471" w:type="dxa"/>
            <w:gridSpan w:val="2"/>
            <w:tcBorders>
              <w:top w:val="nil"/>
              <w:left w:val="nil"/>
              <w:bottom w:val="nil"/>
              <w:right w:val="nil"/>
            </w:tcBorders>
            <w:noWrap/>
            <w:vAlign w:val="bottom"/>
            <w:hideMark/>
          </w:tcPr>
          <w:p w14:paraId="0C59944D"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6,8%</w:t>
            </w:r>
          </w:p>
        </w:tc>
      </w:tr>
      <w:tr w:rsidR="00B1608A" w:rsidRPr="00192FB8" w14:paraId="28BE2187" w14:textId="77777777" w:rsidTr="004F1CBC">
        <w:trPr>
          <w:gridAfter w:val="1"/>
          <w:wAfter w:w="152" w:type="dxa"/>
          <w:trHeight w:val="283"/>
        </w:trPr>
        <w:tc>
          <w:tcPr>
            <w:tcW w:w="2057" w:type="dxa"/>
            <w:tcBorders>
              <w:top w:val="nil"/>
              <w:left w:val="nil"/>
              <w:bottom w:val="nil"/>
              <w:right w:val="nil"/>
            </w:tcBorders>
            <w:noWrap/>
            <w:vAlign w:val="bottom"/>
            <w:hideMark/>
          </w:tcPr>
          <w:p w14:paraId="4B5178EF"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Germania</w:t>
            </w:r>
          </w:p>
        </w:tc>
        <w:tc>
          <w:tcPr>
            <w:tcW w:w="1375" w:type="dxa"/>
            <w:tcBorders>
              <w:top w:val="nil"/>
              <w:left w:val="nil"/>
              <w:bottom w:val="nil"/>
              <w:right w:val="nil"/>
            </w:tcBorders>
            <w:noWrap/>
            <w:vAlign w:val="bottom"/>
            <w:hideMark/>
          </w:tcPr>
          <w:p w14:paraId="0F99436A"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48.833.651</w:t>
            </w:r>
          </w:p>
        </w:tc>
        <w:tc>
          <w:tcPr>
            <w:tcW w:w="1375" w:type="dxa"/>
            <w:tcBorders>
              <w:top w:val="nil"/>
              <w:left w:val="nil"/>
              <w:bottom w:val="nil"/>
              <w:right w:val="nil"/>
            </w:tcBorders>
            <w:noWrap/>
            <w:vAlign w:val="bottom"/>
            <w:hideMark/>
          </w:tcPr>
          <w:p w14:paraId="05BC0424"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64.318.097</w:t>
            </w:r>
          </w:p>
        </w:tc>
        <w:tc>
          <w:tcPr>
            <w:tcW w:w="1219" w:type="dxa"/>
            <w:tcBorders>
              <w:top w:val="nil"/>
              <w:left w:val="nil"/>
              <w:bottom w:val="nil"/>
              <w:right w:val="nil"/>
            </w:tcBorders>
            <w:noWrap/>
            <w:vAlign w:val="bottom"/>
            <w:hideMark/>
          </w:tcPr>
          <w:p w14:paraId="18F78942"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3,4%</w:t>
            </w:r>
          </w:p>
        </w:tc>
        <w:tc>
          <w:tcPr>
            <w:tcW w:w="1030" w:type="dxa"/>
            <w:tcBorders>
              <w:top w:val="nil"/>
              <w:left w:val="nil"/>
              <w:bottom w:val="nil"/>
              <w:right w:val="nil"/>
            </w:tcBorders>
            <w:noWrap/>
            <w:vAlign w:val="bottom"/>
            <w:hideMark/>
          </w:tcPr>
          <w:p w14:paraId="6B597AF2"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31,7%</w:t>
            </w:r>
          </w:p>
        </w:tc>
        <w:tc>
          <w:tcPr>
            <w:tcW w:w="1471" w:type="dxa"/>
            <w:gridSpan w:val="2"/>
            <w:tcBorders>
              <w:top w:val="nil"/>
              <w:left w:val="nil"/>
              <w:bottom w:val="nil"/>
              <w:right w:val="nil"/>
            </w:tcBorders>
            <w:noWrap/>
            <w:vAlign w:val="bottom"/>
            <w:hideMark/>
          </w:tcPr>
          <w:p w14:paraId="62CE8B2D"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1,4%</w:t>
            </w:r>
          </w:p>
        </w:tc>
      </w:tr>
      <w:tr w:rsidR="00B1608A" w:rsidRPr="00192FB8" w14:paraId="19231BBC" w14:textId="77777777" w:rsidTr="004F1CBC">
        <w:trPr>
          <w:gridAfter w:val="1"/>
          <w:wAfter w:w="152" w:type="dxa"/>
          <w:trHeight w:val="283"/>
        </w:trPr>
        <w:tc>
          <w:tcPr>
            <w:tcW w:w="2057" w:type="dxa"/>
            <w:tcBorders>
              <w:top w:val="nil"/>
              <w:left w:val="nil"/>
              <w:bottom w:val="nil"/>
              <w:right w:val="nil"/>
            </w:tcBorders>
            <w:noWrap/>
            <w:vAlign w:val="bottom"/>
            <w:hideMark/>
          </w:tcPr>
          <w:p w14:paraId="21190C44"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Indonesia</w:t>
            </w:r>
          </w:p>
        </w:tc>
        <w:tc>
          <w:tcPr>
            <w:tcW w:w="1375" w:type="dxa"/>
            <w:tcBorders>
              <w:top w:val="nil"/>
              <w:left w:val="nil"/>
              <w:bottom w:val="nil"/>
              <w:right w:val="nil"/>
            </w:tcBorders>
            <w:noWrap/>
            <w:vAlign w:val="bottom"/>
            <w:hideMark/>
          </w:tcPr>
          <w:p w14:paraId="58F84679"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5.801.532</w:t>
            </w:r>
          </w:p>
        </w:tc>
        <w:tc>
          <w:tcPr>
            <w:tcW w:w="1375" w:type="dxa"/>
            <w:tcBorders>
              <w:top w:val="nil"/>
              <w:left w:val="nil"/>
              <w:bottom w:val="nil"/>
              <w:right w:val="nil"/>
            </w:tcBorders>
            <w:noWrap/>
            <w:vAlign w:val="bottom"/>
            <w:hideMark/>
          </w:tcPr>
          <w:p w14:paraId="47B46B85"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46.834.888</w:t>
            </w:r>
          </w:p>
        </w:tc>
        <w:tc>
          <w:tcPr>
            <w:tcW w:w="1219" w:type="dxa"/>
            <w:tcBorders>
              <w:top w:val="nil"/>
              <w:left w:val="nil"/>
              <w:bottom w:val="nil"/>
              <w:right w:val="nil"/>
            </w:tcBorders>
            <w:noWrap/>
            <w:vAlign w:val="bottom"/>
            <w:hideMark/>
          </w:tcPr>
          <w:p w14:paraId="6F8DA5CE"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2,5%</w:t>
            </w:r>
          </w:p>
        </w:tc>
        <w:tc>
          <w:tcPr>
            <w:tcW w:w="1030" w:type="dxa"/>
            <w:tcBorders>
              <w:top w:val="nil"/>
              <w:left w:val="nil"/>
              <w:bottom w:val="nil"/>
              <w:right w:val="nil"/>
            </w:tcBorders>
            <w:noWrap/>
            <w:vAlign w:val="bottom"/>
            <w:hideMark/>
          </w:tcPr>
          <w:p w14:paraId="281EBD88"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707,3%</w:t>
            </w:r>
          </w:p>
        </w:tc>
        <w:tc>
          <w:tcPr>
            <w:tcW w:w="1471" w:type="dxa"/>
            <w:gridSpan w:val="2"/>
            <w:tcBorders>
              <w:top w:val="nil"/>
              <w:left w:val="nil"/>
              <w:bottom w:val="nil"/>
              <w:right w:val="nil"/>
            </w:tcBorders>
            <w:noWrap/>
            <w:vAlign w:val="bottom"/>
            <w:hideMark/>
          </w:tcPr>
          <w:p w14:paraId="3E59E140"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3,8%</w:t>
            </w:r>
          </w:p>
        </w:tc>
      </w:tr>
      <w:tr w:rsidR="00B1608A" w:rsidRPr="00192FB8" w14:paraId="298E7001" w14:textId="77777777" w:rsidTr="004F1CBC">
        <w:trPr>
          <w:gridAfter w:val="1"/>
          <w:wAfter w:w="152" w:type="dxa"/>
          <w:trHeight w:val="283"/>
        </w:trPr>
        <w:tc>
          <w:tcPr>
            <w:tcW w:w="2057" w:type="dxa"/>
            <w:tcBorders>
              <w:top w:val="nil"/>
              <w:left w:val="nil"/>
              <w:bottom w:val="nil"/>
              <w:right w:val="nil"/>
            </w:tcBorders>
            <w:noWrap/>
            <w:vAlign w:val="bottom"/>
            <w:hideMark/>
          </w:tcPr>
          <w:p w14:paraId="72EBB9B6"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Norvegia</w:t>
            </w:r>
          </w:p>
        </w:tc>
        <w:tc>
          <w:tcPr>
            <w:tcW w:w="1375" w:type="dxa"/>
            <w:tcBorders>
              <w:top w:val="nil"/>
              <w:left w:val="nil"/>
              <w:bottom w:val="nil"/>
              <w:right w:val="nil"/>
            </w:tcBorders>
            <w:noWrap/>
            <w:vAlign w:val="bottom"/>
            <w:hideMark/>
          </w:tcPr>
          <w:p w14:paraId="584060B8"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16.249.750</w:t>
            </w:r>
          </w:p>
        </w:tc>
        <w:tc>
          <w:tcPr>
            <w:tcW w:w="1375" w:type="dxa"/>
            <w:tcBorders>
              <w:top w:val="nil"/>
              <w:left w:val="nil"/>
              <w:bottom w:val="nil"/>
              <w:right w:val="nil"/>
            </w:tcBorders>
            <w:noWrap/>
            <w:vAlign w:val="bottom"/>
            <w:hideMark/>
          </w:tcPr>
          <w:p w14:paraId="38CB585F"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43.747.628</w:t>
            </w:r>
          </w:p>
        </w:tc>
        <w:tc>
          <w:tcPr>
            <w:tcW w:w="1219" w:type="dxa"/>
            <w:tcBorders>
              <w:top w:val="nil"/>
              <w:left w:val="nil"/>
              <w:bottom w:val="nil"/>
              <w:right w:val="nil"/>
            </w:tcBorders>
            <w:noWrap/>
            <w:vAlign w:val="bottom"/>
            <w:hideMark/>
          </w:tcPr>
          <w:p w14:paraId="6C0A1312"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2,3%</w:t>
            </w:r>
          </w:p>
        </w:tc>
        <w:tc>
          <w:tcPr>
            <w:tcW w:w="1030" w:type="dxa"/>
            <w:tcBorders>
              <w:top w:val="nil"/>
              <w:left w:val="nil"/>
              <w:bottom w:val="nil"/>
              <w:right w:val="nil"/>
            </w:tcBorders>
            <w:noWrap/>
            <w:vAlign w:val="bottom"/>
            <w:hideMark/>
          </w:tcPr>
          <w:p w14:paraId="598A7C38"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169,2%</w:t>
            </w:r>
          </w:p>
        </w:tc>
        <w:tc>
          <w:tcPr>
            <w:tcW w:w="1471" w:type="dxa"/>
            <w:gridSpan w:val="2"/>
            <w:tcBorders>
              <w:top w:val="nil"/>
              <w:left w:val="nil"/>
              <w:bottom w:val="nil"/>
              <w:right w:val="nil"/>
            </w:tcBorders>
            <w:noWrap/>
            <w:vAlign w:val="bottom"/>
            <w:hideMark/>
          </w:tcPr>
          <w:p w14:paraId="30CC52BA"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2,5%</w:t>
            </w:r>
          </w:p>
        </w:tc>
      </w:tr>
      <w:tr w:rsidR="00B1608A" w:rsidRPr="00192FB8" w14:paraId="51D268EF" w14:textId="77777777" w:rsidTr="004F1CBC">
        <w:trPr>
          <w:gridAfter w:val="1"/>
          <w:wAfter w:w="152" w:type="dxa"/>
          <w:trHeight w:val="283"/>
        </w:trPr>
        <w:tc>
          <w:tcPr>
            <w:tcW w:w="2057" w:type="dxa"/>
            <w:tcBorders>
              <w:top w:val="nil"/>
              <w:left w:val="nil"/>
              <w:bottom w:val="nil"/>
              <w:right w:val="nil"/>
            </w:tcBorders>
            <w:noWrap/>
            <w:vAlign w:val="bottom"/>
            <w:hideMark/>
          </w:tcPr>
          <w:p w14:paraId="586BA650"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Australia</w:t>
            </w:r>
          </w:p>
        </w:tc>
        <w:tc>
          <w:tcPr>
            <w:tcW w:w="1375" w:type="dxa"/>
            <w:tcBorders>
              <w:top w:val="nil"/>
              <w:left w:val="nil"/>
              <w:bottom w:val="nil"/>
              <w:right w:val="nil"/>
            </w:tcBorders>
            <w:noWrap/>
            <w:vAlign w:val="bottom"/>
            <w:hideMark/>
          </w:tcPr>
          <w:p w14:paraId="34D81DA2"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18.245.762</w:t>
            </w:r>
          </w:p>
        </w:tc>
        <w:tc>
          <w:tcPr>
            <w:tcW w:w="1375" w:type="dxa"/>
            <w:tcBorders>
              <w:top w:val="nil"/>
              <w:left w:val="nil"/>
              <w:bottom w:val="nil"/>
              <w:right w:val="nil"/>
            </w:tcBorders>
            <w:noWrap/>
            <w:vAlign w:val="bottom"/>
            <w:hideMark/>
          </w:tcPr>
          <w:p w14:paraId="61F5B022"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36.473.923</w:t>
            </w:r>
          </w:p>
        </w:tc>
        <w:tc>
          <w:tcPr>
            <w:tcW w:w="1219" w:type="dxa"/>
            <w:tcBorders>
              <w:top w:val="nil"/>
              <w:left w:val="nil"/>
              <w:bottom w:val="nil"/>
              <w:right w:val="nil"/>
            </w:tcBorders>
            <w:noWrap/>
            <w:vAlign w:val="bottom"/>
            <w:hideMark/>
          </w:tcPr>
          <w:p w14:paraId="2972F1DA"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1,9%</w:t>
            </w:r>
          </w:p>
        </w:tc>
        <w:tc>
          <w:tcPr>
            <w:tcW w:w="1030" w:type="dxa"/>
            <w:tcBorders>
              <w:top w:val="nil"/>
              <w:left w:val="nil"/>
              <w:bottom w:val="nil"/>
              <w:right w:val="nil"/>
            </w:tcBorders>
            <w:noWrap/>
            <w:vAlign w:val="bottom"/>
            <w:hideMark/>
          </w:tcPr>
          <w:p w14:paraId="39B50872"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99,9%</w:t>
            </w:r>
          </w:p>
        </w:tc>
        <w:tc>
          <w:tcPr>
            <w:tcW w:w="1471" w:type="dxa"/>
            <w:gridSpan w:val="2"/>
            <w:tcBorders>
              <w:top w:val="nil"/>
              <w:left w:val="nil"/>
              <w:bottom w:val="nil"/>
              <w:right w:val="nil"/>
            </w:tcBorders>
            <w:noWrap/>
            <w:vAlign w:val="bottom"/>
            <w:hideMark/>
          </w:tcPr>
          <w:p w14:paraId="7111C57E"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1,7%</w:t>
            </w:r>
          </w:p>
        </w:tc>
      </w:tr>
      <w:tr w:rsidR="00B1608A" w:rsidRPr="00192FB8" w14:paraId="3991DE3E" w14:textId="77777777" w:rsidTr="004F1CBC">
        <w:trPr>
          <w:gridAfter w:val="1"/>
          <w:wAfter w:w="152" w:type="dxa"/>
          <w:trHeight w:val="283"/>
        </w:trPr>
        <w:tc>
          <w:tcPr>
            <w:tcW w:w="2057" w:type="dxa"/>
            <w:tcBorders>
              <w:top w:val="nil"/>
              <w:left w:val="nil"/>
              <w:bottom w:val="nil"/>
              <w:right w:val="nil"/>
            </w:tcBorders>
            <w:noWrap/>
            <w:vAlign w:val="bottom"/>
            <w:hideMark/>
          </w:tcPr>
          <w:p w14:paraId="101083E6"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Francia</w:t>
            </w:r>
          </w:p>
        </w:tc>
        <w:tc>
          <w:tcPr>
            <w:tcW w:w="1375" w:type="dxa"/>
            <w:tcBorders>
              <w:top w:val="nil"/>
              <w:left w:val="nil"/>
              <w:bottom w:val="nil"/>
              <w:right w:val="nil"/>
            </w:tcBorders>
            <w:noWrap/>
            <w:vAlign w:val="bottom"/>
            <w:hideMark/>
          </w:tcPr>
          <w:p w14:paraId="64A0D7AF"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34.541.484</w:t>
            </w:r>
          </w:p>
        </w:tc>
        <w:tc>
          <w:tcPr>
            <w:tcW w:w="1375" w:type="dxa"/>
            <w:tcBorders>
              <w:top w:val="nil"/>
              <w:left w:val="nil"/>
              <w:bottom w:val="nil"/>
              <w:right w:val="nil"/>
            </w:tcBorders>
            <w:noWrap/>
            <w:vAlign w:val="bottom"/>
            <w:hideMark/>
          </w:tcPr>
          <w:p w14:paraId="097F3935"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34.262.781</w:t>
            </w:r>
          </w:p>
        </w:tc>
        <w:tc>
          <w:tcPr>
            <w:tcW w:w="1219" w:type="dxa"/>
            <w:tcBorders>
              <w:top w:val="nil"/>
              <w:left w:val="nil"/>
              <w:bottom w:val="nil"/>
              <w:right w:val="nil"/>
            </w:tcBorders>
            <w:noWrap/>
            <w:vAlign w:val="bottom"/>
            <w:hideMark/>
          </w:tcPr>
          <w:p w14:paraId="70C2578E"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1,8%</w:t>
            </w:r>
          </w:p>
        </w:tc>
        <w:tc>
          <w:tcPr>
            <w:tcW w:w="1030" w:type="dxa"/>
            <w:tcBorders>
              <w:top w:val="nil"/>
              <w:left w:val="nil"/>
              <w:bottom w:val="nil"/>
              <w:right w:val="nil"/>
            </w:tcBorders>
            <w:noWrap/>
            <w:vAlign w:val="bottom"/>
            <w:hideMark/>
          </w:tcPr>
          <w:p w14:paraId="6AA5D05B"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-0,8%</w:t>
            </w:r>
          </w:p>
        </w:tc>
        <w:tc>
          <w:tcPr>
            <w:tcW w:w="1471" w:type="dxa"/>
            <w:gridSpan w:val="2"/>
            <w:tcBorders>
              <w:top w:val="nil"/>
              <w:left w:val="nil"/>
              <w:bottom w:val="nil"/>
              <w:right w:val="nil"/>
            </w:tcBorders>
            <w:noWrap/>
            <w:vAlign w:val="bottom"/>
            <w:hideMark/>
          </w:tcPr>
          <w:p w14:paraId="763710F1"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-0,0%</w:t>
            </w:r>
          </w:p>
        </w:tc>
      </w:tr>
      <w:tr w:rsidR="00B1608A" w:rsidRPr="00192FB8" w14:paraId="331A6A28" w14:textId="77777777" w:rsidTr="004F1CBC">
        <w:trPr>
          <w:gridAfter w:val="1"/>
          <w:wAfter w:w="152" w:type="dxa"/>
          <w:trHeight w:val="283"/>
        </w:trPr>
        <w:tc>
          <w:tcPr>
            <w:tcW w:w="2057" w:type="dxa"/>
            <w:tcBorders>
              <w:top w:val="nil"/>
              <w:left w:val="nil"/>
              <w:bottom w:val="nil"/>
              <w:right w:val="nil"/>
            </w:tcBorders>
            <w:noWrap/>
            <w:vAlign w:val="bottom"/>
            <w:hideMark/>
          </w:tcPr>
          <w:p w14:paraId="2C07D18F"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Turkmenistan</w:t>
            </w:r>
          </w:p>
        </w:tc>
        <w:tc>
          <w:tcPr>
            <w:tcW w:w="1375" w:type="dxa"/>
            <w:tcBorders>
              <w:top w:val="nil"/>
              <w:left w:val="nil"/>
              <w:bottom w:val="nil"/>
              <w:right w:val="nil"/>
            </w:tcBorders>
            <w:noWrap/>
            <w:vAlign w:val="bottom"/>
            <w:hideMark/>
          </w:tcPr>
          <w:p w14:paraId="42FF170B"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8.510.818</w:t>
            </w:r>
          </w:p>
        </w:tc>
        <w:tc>
          <w:tcPr>
            <w:tcW w:w="1375" w:type="dxa"/>
            <w:tcBorders>
              <w:top w:val="nil"/>
              <w:left w:val="nil"/>
              <w:bottom w:val="nil"/>
              <w:right w:val="nil"/>
            </w:tcBorders>
            <w:noWrap/>
            <w:vAlign w:val="bottom"/>
            <w:hideMark/>
          </w:tcPr>
          <w:p w14:paraId="4F23CE65"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19.845.138</w:t>
            </w:r>
          </w:p>
        </w:tc>
        <w:tc>
          <w:tcPr>
            <w:tcW w:w="1219" w:type="dxa"/>
            <w:tcBorders>
              <w:top w:val="nil"/>
              <w:left w:val="nil"/>
              <w:bottom w:val="nil"/>
              <w:right w:val="nil"/>
            </w:tcBorders>
            <w:noWrap/>
            <w:vAlign w:val="bottom"/>
            <w:hideMark/>
          </w:tcPr>
          <w:p w14:paraId="2BB1EAE2"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1,1%</w:t>
            </w:r>
          </w:p>
        </w:tc>
        <w:tc>
          <w:tcPr>
            <w:tcW w:w="1030" w:type="dxa"/>
            <w:tcBorders>
              <w:top w:val="nil"/>
              <w:left w:val="nil"/>
              <w:bottom w:val="nil"/>
              <w:right w:val="nil"/>
            </w:tcBorders>
            <w:noWrap/>
            <w:vAlign w:val="bottom"/>
            <w:hideMark/>
          </w:tcPr>
          <w:p w14:paraId="638CB30C"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133,2%</w:t>
            </w:r>
          </w:p>
        </w:tc>
        <w:tc>
          <w:tcPr>
            <w:tcW w:w="1471" w:type="dxa"/>
            <w:gridSpan w:val="2"/>
            <w:tcBorders>
              <w:top w:val="nil"/>
              <w:left w:val="nil"/>
              <w:bottom w:val="nil"/>
              <w:right w:val="nil"/>
            </w:tcBorders>
            <w:noWrap/>
            <w:vAlign w:val="bottom"/>
            <w:hideMark/>
          </w:tcPr>
          <w:p w14:paraId="27BDB01F"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1,0%</w:t>
            </w:r>
          </w:p>
        </w:tc>
      </w:tr>
      <w:tr w:rsidR="00B1608A" w:rsidRPr="00192FB8" w14:paraId="0538C5EA" w14:textId="77777777" w:rsidTr="004F1CBC">
        <w:trPr>
          <w:gridAfter w:val="1"/>
          <w:wAfter w:w="152" w:type="dxa"/>
          <w:trHeight w:val="283"/>
        </w:trPr>
        <w:tc>
          <w:tcPr>
            <w:tcW w:w="2057" w:type="dxa"/>
            <w:tcBorders>
              <w:top w:val="nil"/>
              <w:left w:val="nil"/>
              <w:bottom w:val="nil"/>
              <w:right w:val="nil"/>
            </w:tcBorders>
            <w:noWrap/>
            <w:vAlign w:val="bottom"/>
            <w:hideMark/>
          </w:tcPr>
          <w:p w14:paraId="176752A8"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Arabia Saudita</w:t>
            </w:r>
          </w:p>
        </w:tc>
        <w:tc>
          <w:tcPr>
            <w:tcW w:w="1375" w:type="dxa"/>
            <w:tcBorders>
              <w:top w:val="nil"/>
              <w:left w:val="nil"/>
              <w:bottom w:val="nil"/>
              <w:right w:val="nil"/>
            </w:tcBorders>
            <w:noWrap/>
            <w:vAlign w:val="bottom"/>
            <w:hideMark/>
          </w:tcPr>
          <w:p w14:paraId="71DAAD80"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27.732.892</w:t>
            </w:r>
          </w:p>
        </w:tc>
        <w:tc>
          <w:tcPr>
            <w:tcW w:w="1375" w:type="dxa"/>
            <w:tcBorders>
              <w:top w:val="nil"/>
              <w:left w:val="nil"/>
              <w:bottom w:val="nil"/>
              <w:right w:val="nil"/>
            </w:tcBorders>
            <w:noWrap/>
            <w:vAlign w:val="bottom"/>
            <w:hideMark/>
          </w:tcPr>
          <w:p w14:paraId="6D3F09B9"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19.187.620</w:t>
            </w:r>
          </w:p>
        </w:tc>
        <w:tc>
          <w:tcPr>
            <w:tcW w:w="1219" w:type="dxa"/>
            <w:tcBorders>
              <w:top w:val="nil"/>
              <w:left w:val="nil"/>
              <w:bottom w:val="nil"/>
              <w:right w:val="nil"/>
            </w:tcBorders>
            <w:noWrap/>
            <w:vAlign w:val="bottom"/>
            <w:hideMark/>
          </w:tcPr>
          <w:p w14:paraId="2664F2B9"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1,0%</w:t>
            </w:r>
          </w:p>
        </w:tc>
        <w:tc>
          <w:tcPr>
            <w:tcW w:w="1030" w:type="dxa"/>
            <w:tcBorders>
              <w:top w:val="nil"/>
              <w:left w:val="nil"/>
              <w:bottom w:val="nil"/>
              <w:right w:val="nil"/>
            </w:tcBorders>
            <w:noWrap/>
            <w:vAlign w:val="bottom"/>
            <w:hideMark/>
          </w:tcPr>
          <w:p w14:paraId="09C06812"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-30,8%</w:t>
            </w:r>
          </w:p>
        </w:tc>
        <w:tc>
          <w:tcPr>
            <w:tcW w:w="1471" w:type="dxa"/>
            <w:gridSpan w:val="2"/>
            <w:tcBorders>
              <w:top w:val="nil"/>
              <w:left w:val="nil"/>
              <w:bottom w:val="nil"/>
              <w:right w:val="nil"/>
            </w:tcBorders>
            <w:noWrap/>
            <w:vAlign w:val="bottom"/>
            <w:hideMark/>
          </w:tcPr>
          <w:p w14:paraId="35652B3E"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-0,8%</w:t>
            </w:r>
          </w:p>
        </w:tc>
      </w:tr>
      <w:tr w:rsidR="00B1608A" w:rsidRPr="00192FB8" w14:paraId="5E1A95A9" w14:textId="77777777" w:rsidTr="004F1CBC">
        <w:trPr>
          <w:gridAfter w:val="1"/>
          <w:wAfter w:w="152" w:type="dxa"/>
          <w:trHeight w:val="283"/>
        </w:trPr>
        <w:tc>
          <w:tcPr>
            <w:tcW w:w="2057" w:type="dxa"/>
            <w:tcBorders>
              <w:top w:val="nil"/>
              <w:left w:val="nil"/>
              <w:bottom w:val="nil"/>
              <w:right w:val="nil"/>
            </w:tcBorders>
            <w:noWrap/>
            <w:vAlign w:val="bottom"/>
            <w:hideMark/>
          </w:tcPr>
          <w:p w14:paraId="6E0D540F"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Turchia</w:t>
            </w:r>
          </w:p>
        </w:tc>
        <w:tc>
          <w:tcPr>
            <w:tcW w:w="1375" w:type="dxa"/>
            <w:tcBorders>
              <w:top w:val="nil"/>
              <w:left w:val="nil"/>
              <w:bottom w:val="nil"/>
              <w:right w:val="nil"/>
            </w:tcBorders>
            <w:noWrap/>
            <w:vAlign w:val="bottom"/>
            <w:hideMark/>
          </w:tcPr>
          <w:p w14:paraId="105EAA2E"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12.030.295</w:t>
            </w:r>
          </w:p>
        </w:tc>
        <w:tc>
          <w:tcPr>
            <w:tcW w:w="1375" w:type="dxa"/>
            <w:tcBorders>
              <w:top w:val="nil"/>
              <w:left w:val="nil"/>
              <w:bottom w:val="nil"/>
              <w:right w:val="nil"/>
            </w:tcBorders>
            <w:noWrap/>
            <w:vAlign w:val="bottom"/>
            <w:hideMark/>
          </w:tcPr>
          <w:p w14:paraId="1AB35B63"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19.028.158</w:t>
            </w:r>
          </w:p>
        </w:tc>
        <w:tc>
          <w:tcPr>
            <w:tcW w:w="1219" w:type="dxa"/>
            <w:tcBorders>
              <w:top w:val="nil"/>
              <w:left w:val="nil"/>
              <w:bottom w:val="nil"/>
              <w:right w:val="nil"/>
            </w:tcBorders>
            <w:noWrap/>
            <w:vAlign w:val="bottom"/>
            <w:hideMark/>
          </w:tcPr>
          <w:p w14:paraId="6DC5B30A"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1,0%</w:t>
            </w:r>
          </w:p>
        </w:tc>
        <w:tc>
          <w:tcPr>
            <w:tcW w:w="1030" w:type="dxa"/>
            <w:tcBorders>
              <w:top w:val="nil"/>
              <w:left w:val="nil"/>
              <w:bottom w:val="nil"/>
              <w:right w:val="nil"/>
            </w:tcBorders>
            <w:noWrap/>
            <w:vAlign w:val="bottom"/>
            <w:hideMark/>
          </w:tcPr>
          <w:p w14:paraId="54726AD0"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58,2%</w:t>
            </w:r>
          </w:p>
        </w:tc>
        <w:tc>
          <w:tcPr>
            <w:tcW w:w="1471" w:type="dxa"/>
            <w:gridSpan w:val="2"/>
            <w:tcBorders>
              <w:top w:val="nil"/>
              <w:left w:val="nil"/>
              <w:bottom w:val="nil"/>
              <w:right w:val="nil"/>
            </w:tcBorders>
            <w:noWrap/>
            <w:vAlign w:val="bottom"/>
            <w:hideMark/>
          </w:tcPr>
          <w:p w14:paraId="447881DB"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0,6%</w:t>
            </w:r>
          </w:p>
        </w:tc>
      </w:tr>
      <w:tr w:rsidR="00B1608A" w:rsidRPr="00192FB8" w14:paraId="310B672A" w14:textId="77777777" w:rsidTr="004F1CBC">
        <w:trPr>
          <w:gridAfter w:val="1"/>
          <w:wAfter w:w="152" w:type="dxa"/>
          <w:trHeight w:val="283"/>
        </w:trPr>
        <w:tc>
          <w:tcPr>
            <w:tcW w:w="2057" w:type="dxa"/>
            <w:tcBorders>
              <w:top w:val="nil"/>
              <w:left w:val="nil"/>
              <w:bottom w:val="nil"/>
              <w:right w:val="nil"/>
            </w:tcBorders>
            <w:noWrap/>
            <w:vAlign w:val="bottom"/>
            <w:hideMark/>
          </w:tcPr>
          <w:p w14:paraId="3CEC4BD6"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color w:val="000000"/>
                <w:sz w:val="20"/>
                <w:szCs w:val="20"/>
              </w:rPr>
              <w:t>India</w:t>
            </w:r>
          </w:p>
        </w:tc>
        <w:tc>
          <w:tcPr>
            <w:tcW w:w="1375" w:type="dxa"/>
            <w:tcBorders>
              <w:top w:val="nil"/>
              <w:left w:val="nil"/>
              <w:bottom w:val="nil"/>
              <w:right w:val="nil"/>
            </w:tcBorders>
            <w:noWrap/>
            <w:vAlign w:val="bottom"/>
            <w:hideMark/>
          </w:tcPr>
          <w:p w14:paraId="5026299B"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32.578.025</w:t>
            </w:r>
          </w:p>
        </w:tc>
        <w:tc>
          <w:tcPr>
            <w:tcW w:w="1375" w:type="dxa"/>
            <w:tcBorders>
              <w:top w:val="nil"/>
              <w:left w:val="nil"/>
              <w:bottom w:val="nil"/>
              <w:right w:val="nil"/>
            </w:tcBorders>
            <w:noWrap/>
            <w:vAlign w:val="bottom"/>
            <w:hideMark/>
          </w:tcPr>
          <w:p w14:paraId="6317097B"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18.827.696</w:t>
            </w:r>
          </w:p>
        </w:tc>
        <w:tc>
          <w:tcPr>
            <w:tcW w:w="1219" w:type="dxa"/>
            <w:tcBorders>
              <w:top w:val="nil"/>
              <w:left w:val="nil"/>
              <w:bottom w:val="nil"/>
              <w:right w:val="nil"/>
            </w:tcBorders>
            <w:noWrap/>
            <w:vAlign w:val="bottom"/>
            <w:hideMark/>
          </w:tcPr>
          <w:p w14:paraId="05D39C4A"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color w:val="000000"/>
                <w:sz w:val="20"/>
                <w:szCs w:val="20"/>
              </w:rPr>
              <w:t>1,0%</w:t>
            </w:r>
          </w:p>
        </w:tc>
        <w:tc>
          <w:tcPr>
            <w:tcW w:w="1030" w:type="dxa"/>
            <w:tcBorders>
              <w:top w:val="nil"/>
              <w:left w:val="nil"/>
              <w:bottom w:val="nil"/>
              <w:right w:val="nil"/>
            </w:tcBorders>
            <w:noWrap/>
            <w:vAlign w:val="bottom"/>
            <w:hideMark/>
          </w:tcPr>
          <w:p w14:paraId="221F65E0"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sz w:val="20"/>
                <w:szCs w:val="20"/>
              </w:rPr>
              <w:t>-42,2%</w:t>
            </w:r>
          </w:p>
        </w:tc>
        <w:tc>
          <w:tcPr>
            <w:tcW w:w="1471" w:type="dxa"/>
            <w:gridSpan w:val="2"/>
            <w:tcBorders>
              <w:top w:val="nil"/>
              <w:left w:val="nil"/>
              <w:bottom w:val="nil"/>
              <w:right w:val="nil"/>
            </w:tcBorders>
            <w:noWrap/>
            <w:vAlign w:val="bottom"/>
            <w:hideMark/>
          </w:tcPr>
          <w:p w14:paraId="2994158C"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sz w:val="20"/>
                <w:szCs w:val="20"/>
              </w:rPr>
              <w:t>-1,3%</w:t>
            </w:r>
          </w:p>
        </w:tc>
      </w:tr>
      <w:tr w:rsidR="00B1608A" w:rsidRPr="00192FB8" w14:paraId="0BD20703" w14:textId="77777777" w:rsidTr="004F1CBC">
        <w:trPr>
          <w:gridAfter w:val="1"/>
          <w:wAfter w:w="152" w:type="dxa"/>
          <w:trHeight w:val="283"/>
        </w:trPr>
        <w:tc>
          <w:tcPr>
            <w:tcW w:w="2057" w:type="dxa"/>
            <w:tcBorders>
              <w:top w:val="nil"/>
              <w:left w:val="nil"/>
              <w:bottom w:val="nil"/>
              <w:right w:val="nil"/>
            </w:tcBorders>
            <w:noWrap/>
            <w:vAlign w:val="bottom"/>
            <w:hideMark/>
          </w:tcPr>
          <w:p w14:paraId="1D817ECA" w14:textId="77777777" w:rsidR="00B1608A" w:rsidRPr="00192FB8" w:rsidRDefault="00B1608A" w:rsidP="004F1CBC">
            <w:pPr>
              <w:rPr>
                <w:rFonts w:asciiTheme="minorHAnsi" w:hAnsiTheme="minorHAnsi" w:cstheme="minorHAnsi"/>
                <w:color w:val="000000"/>
                <w:sz w:val="20"/>
                <w:szCs w:val="20"/>
              </w:rPr>
            </w:pPr>
            <w:r w:rsidRPr="00192FB8">
              <w:rPr>
                <w:rFonts w:asciiTheme="minorHAnsi" w:hAnsiTheme="minorHAnsi" w:cstheme="minorHAnsi"/>
                <w:i/>
                <w:iCs/>
                <w:color w:val="000000"/>
                <w:sz w:val="20"/>
                <w:szCs w:val="20"/>
              </w:rPr>
              <w:t>Altro</w:t>
            </w:r>
          </w:p>
        </w:tc>
        <w:tc>
          <w:tcPr>
            <w:tcW w:w="1375" w:type="dxa"/>
            <w:tcBorders>
              <w:top w:val="nil"/>
              <w:left w:val="nil"/>
              <w:bottom w:val="nil"/>
              <w:right w:val="nil"/>
            </w:tcBorders>
            <w:noWrap/>
            <w:vAlign w:val="bottom"/>
            <w:hideMark/>
          </w:tcPr>
          <w:p w14:paraId="0BE9DEA2"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i/>
                <w:iCs/>
                <w:color w:val="000000"/>
                <w:sz w:val="20"/>
                <w:szCs w:val="20"/>
              </w:rPr>
              <w:t>446.370.518</w:t>
            </w:r>
          </w:p>
        </w:tc>
        <w:tc>
          <w:tcPr>
            <w:tcW w:w="1375" w:type="dxa"/>
            <w:tcBorders>
              <w:top w:val="nil"/>
              <w:left w:val="nil"/>
              <w:bottom w:val="nil"/>
              <w:right w:val="nil"/>
            </w:tcBorders>
            <w:noWrap/>
            <w:vAlign w:val="bottom"/>
            <w:hideMark/>
          </w:tcPr>
          <w:p w14:paraId="260E98C3"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i/>
                <w:iCs/>
                <w:color w:val="000000"/>
                <w:sz w:val="20"/>
                <w:szCs w:val="20"/>
              </w:rPr>
              <w:t>228.977.740</w:t>
            </w:r>
          </w:p>
        </w:tc>
        <w:tc>
          <w:tcPr>
            <w:tcW w:w="1219" w:type="dxa"/>
            <w:tcBorders>
              <w:top w:val="nil"/>
              <w:left w:val="nil"/>
              <w:bottom w:val="nil"/>
              <w:right w:val="nil"/>
            </w:tcBorders>
            <w:noWrap/>
            <w:vAlign w:val="bottom"/>
            <w:hideMark/>
          </w:tcPr>
          <w:p w14:paraId="19073541" w14:textId="77777777" w:rsidR="00B1608A" w:rsidRPr="00192FB8" w:rsidRDefault="00B1608A" w:rsidP="004F1CBC">
            <w:pPr>
              <w:jc w:val="center"/>
              <w:rPr>
                <w:rFonts w:asciiTheme="minorHAnsi" w:hAnsiTheme="minorHAnsi" w:cstheme="minorHAnsi"/>
                <w:color w:val="000000"/>
                <w:sz w:val="20"/>
                <w:szCs w:val="20"/>
              </w:rPr>
            </w:pPr>
            <w:r w:rsidRPr="00192FB8">
              <w:rPr>
                <w:rFonts w:asciiTheme="minorHAnsi" w:hAnsiTheme="minorHAnsi" w:cstheme="minorHAnsi"/>
                <w:i/>
                <w:iCs/>
                <w:color w:val="000000"/>
                <w:sz w:val="20"/>
                <w:szCs w:val="20"/>
              </w:rPr>
              <w:t>12,1%</w:t>
            </w:r>
          </w:p>
        </w:tc>
        <w:tc>
          <w:tcPr>
            <w:tcW w:w="1030" w:type="dxa"/>
            <w:tcBorders>
              <w:top w:val="nil"/>
              <w:left w:val="nil"/>
              <w:bottom w:val="nil"/>
              <w:right w:val="nil"/>
            </w:tcBorders>
            <w:noWrap/>
            <w:vAlign w:val="bottom"/>
            <w:hideMark/>
          </w:tcPr>
          <w:p w14:paraId="4492ABDF" w14:textId="77777777" w:rsidR="00B1608A" w:rsidRPr="00192FB8" w:rsidRDefault="00B1608A" w:rsidP="004F1CBC">
            <w:pPr>
              <w:jc w:val="center"/>
              <w:rPr>
                <w:rFonts w:asciiTheme="minorHAnsi" w:hAnsiTheme="minorHAnsi" w:cstheme="minorHAnsi"/>
                <w:sz w:val="20"/>
                <w:szCs w:val="20"/>
              </w:rPr>
            </w:pPr>
            <w:r w:rsidRPr="00192FB8">
              <w:rPr>
                <w:rFonts w:asciiTheme="minorHAnsi" w:hAnsiTheme="minorHAnsi" w:cstheme="minorHAnsi"/>
                <w:i/>
                <w:iCs/>
                <w:sz w:val="20"/>
                <w:szCs w:val="20"/>
              </w:rPr>
              <w:t>-48,7%</w:t>
            </w:r>
          </w:p>
        </w:tc>
        <w:tc>
          <w:tcPr>
            <w:tcW w:w="1471" w:type="dxa"/>
            <w:gridSpan w:val="2"/>
            <w:tcBorders>
              <w:top w:val="nil"/>
              <w:left w:val="nil"/>
              <w:bottom w:val="nil"/>
              <w:right w:val="nil"/>
            </w:tcBorders>
            <w:noWrap/>
            <w:vAlign w:val="bottom"/>
            <w:hideMark/>
          </w:tcPr>
          <w:p w14:paraId="49D858C3" w14:textId="77777777" w:rsidR="00B1608A" w:rsidRPr="00192FB8" w:rsidRDefault="00B1608A" w:rsidP="004F1CBC">
            <w:pPr>
              <w:jc w:val="center"/>
              <w:rPr>
                <w:rFonts w:asciiTheme="minorHAnsi" w:hAnsiTheme="minorHAnsi" w:cstheme="minorHAnsi"/>
                <w:i/>
                <w:iCs/>
                <w:sz w:val="20"/>
                <w:szCs w:val="20"/>
              </w:rPr>
            </w:pPr>
            <w:r w:rsidRPr="00192FB8">
              <w:rPr>
                <w:rFonts w:asciiTheme="minorHAnsi" w:hAnsiTheme="minorHAnsi" w:cstheme="minorHAnsi"/>
                <w:i/>
                <w:iCs/>
                <w:sz w:val="20"/>
                <w:szCs w:val="20"/>
              </w:rPr>
              <w:t>-20,1%</w:t>
            </w:r>
          </w:p>
        </w:tc>
      </w:tr>
      <w:tr w:rsidR="00B1608A" w:rsidRPr="00192FB8" w14:paraId="6C096C0A" w14:textId="77777777" w:rsidTr="004F1CBC">
        <w:trPr>
          <w:gridAfter w:val="1"/>
          <w:wAfter w:w="152" w:type="dxa"/>
          <w:trHeight w:val="283"/>
        </w:trPr>
        <w:tc>
          <w:tcPr>
            <w:tcW w:w="2057" w:type="dxa"/>
            <w:tcBorders>
              <w:top w:val="single" w:sz="4" w:space="0" w:color="auto"/>
              <w:left w:val="nil"/>
              <w:bottom w:val="single" w:sz="4" w:space="0" w:color="auto"/>
              <w:right w:val="nil"/>
            </w:tcBorders>
            <w:noWrap/>
            <w:vAlign w:val="center"/>
            <w:hideMark/>
          </w:tcPr>
          <w:p w14:paraId="1363AD39" w14:textId="77777777" w:rsidR="00B1608A" w:rsidRPr="00192FB8" w:rsidRDefault="00B1608A" w:rsidP="004F1CBC">
            <w:pPr>
              <w:rPr>
                <w:rFonts w:ascii="Calibri" w:hAnsi="Calibri" w:cs="Calibri"/>
                <w:b/>
                <w:bCs/>
                <w:sz w:val="20"/>
                <w:szCs w:val="20"/>
              </w:rPr>
            </w:pPr>
            <w:r w:rsidRPr="00192FB8">
              <w:rPr>
                <w:rFonts w:ascii="Calibri" w:hAnsi="Calibri" w:cs="Calibri"/>
                <w:b/>
                <w:bCs/>
                <w:sz w:val="20"/>
                <w:szCs w:val="20"/>
              </w:rPr>
              <w:t>Totale</w:t>
            </w:r>
          </w:p>
        </w:tc>
        <w:tc>
          <w:tcPr>
            <w:tcW w:w="1375" w:type="dxa"/>
            <w:tcBorders>
              <w:top w:val="single" w:sz="4" w:space="0" w:color="auto"/>
              <w:left w:val="nil"/>
              <w:bottom w:val="single" w:sz="4" w:space="0" w:color="auto"/>
              <w:right w:val="nil"/>
            </w:tcBorders>
            <w:noWrap/>
            <w:vAlign w:val="center"/>
            <w:hideMark/>
          </w:tcPr>
          <w:p w14:paraId="71F920D9" w14:textId="77777777" w:rsidR="00B1608A" w:rsidRPr="00192FB8" w:rsidRDefault="00B1608A" w:rsidP="004F1CBC">
            <w:pPr>
              <w:jc w:val="center"/>
              <w:rPr>
                <w:rFonts w:ascii="Calibri" w:hAnsi="Calibri" w:cs="Calibri"/>
                <w:b/>
                <w:bCs/>
                <w:sz w:val="20"/>
                <w:szCs w:val="20"/>
              </w:rPr>
            </w:pPr>
            <w:r w:rsidRPr="00192FB8">
              <w:rPr>
                <w:rFonts w:ascii="Calibri" w:hAnsi="Calibri" w:cs="Calibri"/>
                <w:b/>
                <w:bCs/>
                <w:sz w:val="20"/>
                <w:szCs w:val="20"/>
              </w:rPr>
              <w:t>1.080.298.640</w:t>
            </w:r>
          </w:p>
        </w:tc>
        <w:tc>
          <w:tcPr>
            <w:tcW w:w="1375" w:type="dxa"/>
            <w:tcBorders>
              <w:top w:val="single" w:sz="4" w:space="0" w:color="auto"/>
              <w:left w:val="nil"/>
              <w:bottom w:val="single" w:sz="4" w:space="0" w:color="auto"/>
              <w:right w:val="nil"/>
            </w:tcBorders>
            <w:noWrap/>
            <w:vAlign w:val="center"/>
            <w:hideMark/>
          </w:tcPr>
          <w:p w14:paraId="7D6E070F" w14:textId="77777777" w:rsidR="00B1608A" w:rsidRPr="00192FB8" w:rsidRDefault="00B1608A" w:rsidP="004F1CBC">
            <w:pPr>
              <w:jc w:val="center"/>
              <w:rPr>
                <w:rFonts w:ascii="Calibri" w:hAnsi="Calibri" w:cs="Calibri"/>
                <w:b/>
                <w:bCs/>
                <w:sz w:val="20"/>
                <w:szCs w:val="20"/>
              </w:rPr>
            </w:pPr>
            <w:r w:rsidRPr="00192FB8">
              <w:rPr>
                <w:rFonts w:ascii="Calibri" w:hAnsi="Calibri" w:cs="Calibri"/>
                <w:b/>
                <w:bCs/>
                <w:sz w:val="20"/>
                <w:szCs w:val="20"/>
              </w:rPr>
              <w:t>1.889.566.861</w:t>
            </w:r>
          </w:p>
        </w:tc>
        <w:tc>
          <w:tcPr>
            <w:tcW w:w="1219" w:type="dxa"/>
            <w:tcBorders>
              <w:top w:val="single" w:sz="4" w:space="0" w:color="auto"/>
              <w:left w:val="nil"/>
              <w:bottom w:val="single" w:sz="4" w:space="0" w:color="auto"/>
              <w:right w:val="nil"/>
            </w:tcBorders>
            <w:noWrap/>
            <w:vAlign w:val="center"/>
            <w:hideMark/>
          </w:tcPr>
          <w:p w14:paraId="0111CFC0" w14:textId="77777777" w:rsidR="00B1608A" w:rsidRPr="00192FB8" w:rsidRDefault="00B1608A" w:rsidP="004F1CBC">
            <w:pPr>
              <w:jc w:val="center"/>
              <w:rPr>
                <w:rFonts w:ascii="Calibri" w:hAnsi="Calibri" w:cs="Calibri"/>
                <w:b/>
                <w:bCs/>
                <w:sz w:val="20"/>
                <w:szCs w:val="20"/>
              </w:rPr>
            </w:pPr>
            <w:r w:rsidRPr="00192FB8">
              <w:rPr>
                <w:rFonts w:ascii="Calibri" w:hAnsi="Calibri" w:cs="Calibri"/>
                <w:b/>
                <w:bCs/>
                <w:sz w:val="20"/>
                <w:szCs w:val="20"/>
              </w:rPr>
              <w:t>100,0%</w:t>
            </w:r>
          </w:p>
        </w:tc>
        <w:tc>
          <w:tcPr>
            <w:tcW w:w="1030" w:type="dxa"/>
            <w:tcBorders>
              <w:top w:val="single" w:sz="4" w:space="0" w:color="auto"/>
              <w:left w:val="nil"/>
              <w:bottom w:val="single" w:sz="4" w:space="0" w:color="auto"/>
              <w:right w:val="nil"/>
            </w:tcBorders>
            <w:noWrap/>
            <w:vAlign w:val="center"/>
            <w:hideMark/>
          </w:tcPr>
          <w:p w14:paraId="235BB19F" w14:textId="77777777" w:rsidR="00B1608A" w:rsidRPr="00192FB8" w:rsidRDefault="00B1608A" w:rsidP="004F1CBC">
            <w:pPr>
              <w:jc w:val="center"/>
              <w:rPr>
                <w:rFonts w:ascii="Calibri" w:hAnsi="Calibri" w:cs="Calibri"/>
                <w:b/>
                <w:bCs/>
                <w:sz w:val="20"/>
                <w:szCs w:val="20"/>
              </w:rPr>
            </w:pPr>
            <w:r w:rsidRPr="00192FB8">
              <w:rPr>
                <w:rFonts w:ascii="Calibri" w:hAnsi="Calibri" w:cs="Calibri"/>
                <w:b/>
                <w:bCs/>
                <w:sz w:val="20"/>
                <w:szCs w:val="20"/>
              </w:rPr>
              <w:t>74,9%</w:t>
            </w:r>
          </w:p>
        </w:tc>
        <w:tc>
          <w:tcPr>
            <w:tcW w:w="1471" w:type="dxa"/>
            <w:gridSpan w:val="2"/>
            <w:tcBorders>
              <w:top w:val="single" w:sz="4" w:space="0" w:color="auto"/>
              <w:left w:val="nil"/>
              <w:bottom w:val="single" w:sz="4" w:space="0" w:color="auto"/>
              <w:right w:val="nil"/>
            </w:tcBorders>
            <w:noWrap/>
            <w:vAlign w:val="center"/>
            <w:hideMark/>
          </w:tcPr>
          <w:p w14:paraId="0FB9F56F" w14:textId="77777777" w:rsidR="00B1608A" w:rsidRPr="00192FB8" w:rsidRDefault="00B1608A" w:rsidP="004F1CBC">
            <w:pPr>
              <w:jc w:val="center"/>
              <w:rPr>
                <w:rFonts w:ascii="Calibri" w:hAnsi="Calibri" w:cs="Calibri"/>
                <w:b/>
                <w:bCs/>
                <w:i/>
                <w:iCs/>
                <w:sz w:val="20"/>
                <w:szCs w:val="20"/>
              </w:rPr>
            </w:pPr>
            <w:r w:rsidRPr="00192FB8">
              <w:rPr>
                <w:rFonts w:asciiTheme="minorHAnsi" w:hAnsiTheme="minorHAnsi" w:cstheme="minorHAnsi"/>
                <w:b/>
                <w:bCs/>
                <w:sz w:val="20"/>
                <w:szCs w:val="20"/>
              </w:rPr>
              <w:t>74,9%</w:t>
            </w:r>
          </w:p>
        </w:tc>
      </w:tr>
      <w:tr w:rsidR="00B1608A" w:rsidRPr="00192FB8" w14:paraId="712C50DE" w14:textId="77777777" w:rsidTr="004F1CBC">
        <w:trPr>
          <w:trHeight w:val="283"/>
        </w:trPr>
        <w:tc>
          <w:tcPr>
            <w:tcW w:w="8679" w:type="dxa"/>
            <w:gridSpan w:val="8"/>
            <w:tcBorders>
              <w:top w:val="nil"/>
              <w:left w:val="nil"/>
              <w:bottom w:val="nil"/>
              <w:right w:val="nil"/>
            </w:tcBorders>
            <w:vAlign w:val="center"/>
          </w:tcPr>
          <w:p w14:paraId="4082B37B" w14:textId="77777777" w:rsidR="00B1608A" w:rsidRPr="00192FB8" w:rsidRDefault="00B1608A" w:rsidP="004F1CBC">
            <w:pPr>
              <w:ind w:right="-70"/>
              <w:rPr>
                <w:rFonts w:ascii="Calibri" w:hAnsi="Calibri" w:cs="Calibri"/>
                <w:i/>
                <w:iCs/>
                <w:color w:val="000000"/>
                <w:sz w:val="20"/>
                <w:szCs w:val="20"/>
              </w:rPr>
            </w:pPr>
            <w:r w:rsidRPr="00192FB8">
              <w:rPr>
                <w:rFonts w:ascii="Calibri" w:hAnsi="Calibri" w:cs="Calibri"/>
                <w:i/>
                <w:iCs/>
                <w:color w:val="000000"/>
                <w:sz w:val="20"/>
                <w:szCs w:val="20"/>
              </w:rPr>
              <w:t>Fonte: Elaborazioni Camera di Commercio Toscana Nord-Ovest -ISR su dati Istat (dati provvisori)</w:t>
            </w:r>
          </w:p>
        </w:tc>
      </w:tr>
    </w:tbl>
    <w:p w14:paraId="4C275706" w14:textId="77777777" w:rsidR="00B1608A" w:rsidRPr="00192FB8" w:rsidRDefault="00B1608A" w:rsidP="00B1608A">
      <w:pPr>
        <w:autoSpaceDE w:val="0"/>
        <w:autoSpaceDN w:val="0"/>
        <w:adjustRightInd w:val="0"/>
        <w:spacing w:after="240"/>
      </w:pPr>
    </w:p>
    <w:p w14:paraId="78BCDD80" w14:textId="4A640BFA" w:rsidR="00B1608A" w:rsidRDefault="00B1608A">
      <w:pPr>
        <w:rPr>
          <w:rFonts w:ascii="Calibri" w:hAnsi="Calibri"/>
          <w:b/>
        </w:rPr>
      </w:pPr>
      <w:r>
        <w:rPr>
          <w:rFonts w:ascii="Calibri" w:hAnsi="Calibri"/>
          <w:b/>
        </w:rPr>
        <w:br w:type="page"/>
      </w:r>
    </w:p>
    <w:p w14:paraId="4569C76D" w14:textId="77777777" w:rsidR="00B1608A" w:rsidRDefault="00B1608A" w:rsidP="00B1608A">
      <w:pPr>
        <w:autoSpaceDE w:val="0"/>
        <w:autoSpaceDN w:val="0"/>
        <w:adjustRightInd w:val="0"/>
        <w:spacing w:after="240"/>
        <w:rPr>
          <w:rFonts w:ascii="Calibri" w:hAnsi="Calibri" w:cs="Calibri"/>
          <w:b/>
          <w:bCs/>
          <w:sz w:val="28"/>
          <w:szCs w:val="28"/>
        </w:rPr>
      </w:pPr>
      <w:r>
        <w:rPr>
          <w:rFonts w:ascii="Calibri" w:hAnsi="Calibri" w:cs="Calibri"/>
          <w:b/>
          <w:bCs/>
          <w:sz w:val="28"/>
          <w:szCs w:val="28"/>
        </w:rPr>
        <w:lastRenderedPageBreak/>
        <w:t>L’ANDAMENTO DELL’EXPORT DELLA PROVINCIA DI PISA</w:t>
      </w:r>
    </w:p>
    <w:p w14:paraId="06147FE9" w14:textId="77777777" w:rsidR="00B1608A" w:rsidRPr="00921F96" w:rsidRDefault="00B1608A" w:rsidP="00B1608A">
      <w:pPr>
        <w:autoSpaceDE w:val="0"/>
        <w:autoSpaceDN w:val="0"/>
        <w:adjustRightInd w:val="0"/>
        <w:rPr>
          <w:rFonts w:ascii="Calibri" w:hAnsi="Calibri" w:cs="Calibri"/>
          <w:b/>
          <w:bCs/>
        </w:rPr>
      </w:pPr>
      <w:r w:rsidRPr="00921F96">
        <w:rPr>
          <w:rFonts w:ascii="Calibri" w:hAnsi="Calibri" w:cs="Calibri"/>
          <w:b/>
          <w:bCs/>
        </w:rPr>
        <w:t>L’andamento generale</w:t>
      </w:r>
    </w:p>
    <w:p w14:paraId="5B7BC2EB" w14:textId="77777777" w:rsidR="00B1608A" w:rsidRPr="002C36B4" w:rsidRDefault="00B1608A" w:rsidP="00B1608A">
      <w:pPr>
        <w:jc w:val="both"/>
        <w:rPr>
          <w:rFonts w:ascii="Calibri" w:hAnsi="Calibri"/>
          <w:iCs/>
        </w:rPr>
      </w:pPr>
      <w:r w:rsidRPr="00562AFA">
        <w:rPr>
          <w:rFonts w:ascii="Calibri" w:hAnsi="Calibri"/>
          <w:iCs/>
        </w:rPr>
        <w:t xml:space="preserve">Nel primo semestre del 2026 l’export della provincia di Pisa è tornato a crescere, sia pure </w:t>
      </w:r>
      <w:r>
        <w:rPr>
          <w:rFonts w:ascii="Calibri" w:hAnsi="Calibri"/>
          <w:iCs/>
        </w:rPr>
        <w:t>in modo lieve</w:t>
      </w:r>
      <w:r w:rsidRPr="00562AFA">
        <w:rPr>
          <w:rFonts w:ascii="Calibri" w:hAnsi="Calibri"/>
          <w:iCs/>
        </w:rPr>
        <w:t xml:space="preserve">, interrompendo il rallentamento avviato nel 2024. Le esportazioni si sono attestate a 1 miliardo </w:t>
      </w:r>
      <w:r w:rsidRPr="002C36B4">
        <w:rPr>
          <w:rFonts w:ascii="Calibri" w:hAnsi="Calibri"/>
          <w:iCs/>
        </w:rPr>
        <w:t>e 769 milioni di euro, in aumento dell’1,3% rispetto allo stesso periodo del 2025. Si tratta quindi di una stabilizzazione, più che di una ripresa, con il valore risultato ancora sensibilmente inferiore ai livelli raggiunti nella prima metà del 2023, ma il quadro settoriale appare meno sbilanciato rispetto a un anno fa. I due comparti principali dell’economia pisana, cicli e motocicli, che da soli valgono oltre un quinto delle esportazioni provinciali, e il cuoio, sono rimasti in territorio negativo, ma le rispettive flessioni si sono nettamente attenuate e congiuntamente hanno sottratto meno di due punti percentuali al risultato complessivo, contro gli oltre quattro dell’anno precedente.</w:t>
      </w:r>
    </w:p>
    <w:p w14:paraId="35F190D5" w14:textId="080447F0" w:rsidR="00B1608A" w:rsidRPr="002C36B4" w:rsidRDefault="00B1608A" w:rsidP="00B1608A">
      <w:pPr>
        <w:jc w:val="both"/>
        <w:rPr>
          <w:rFonts w:ascii="Calibri" w:hAnsi="Calibri"/>
          <w:iCs/>
        </w:rPr>
      </w:pPr>
      <w:r w:rsidRPr="002C36B4">
        <w:rPr>
          <w:rFonts w:ascii="Calibri" w:hAnsi="Calibri"/>
          <w:iCs/>
        </w:rPr>
        <w:t>A compensare le perdite hanno contribuito numerosi comparti di dimensione intermedia. Sono cresciute le esportazioni del vetro e dei prodotti in</w:t>
      </w:r>
      <w:r w:rsidRPr="00B91D4F">
        <w:rPr>
          <w:rFonts w:ascii="Calibri" w:hAnsi="Calibri"/>
          <w:iCs/>
        </w:rPr>
        <w:t xml:space="preserve"> vetro (+70,3%), delle altre macchine per impieghi speciali (+19,1%), degli articoli di abbigliamento (+10,7%), dei medicinali e preparati farmaceutici (+6,3%), della chimica di base (+4,6%) e delle macchine di impiego generale (+3,6%). </w:t>
      </w:r>
      <w:r>
        <w:rPr>
          <w:rFonts w:ascii="Calibri" w:hAnsi="Calibri"/>
          <w:iCs/>
        </w:rPr>
        <w:t xml:space="preserve">Hanno confermato difficoltà </w:t>
      </w:r>
      <w:r w:rsidRPr="00B91D4F">
        <w:rPr>
          <w:rFonts w:ascii="Calibri" w:hAnsi="Calibri"/>
          <w:iCs/>
        </w:rPr>
        <w:t xml:space="preserve">invece i </w:t>
      </w:r>
      <w:r w:rsidRPr="002C36B4">
        <w:rPr>
          <w:rFonts w:ascii="Calibri" w:hAnsi="Calibri"/>
          <w:iCs/>
        </w:rPr>
        <w:t>mobili (-19,2% nel 2025 e ancora -12,9% quest’anno), gli altri prodotti chimici (-19,2%), le altre macchine di impiego generale (-10,2%) e le bevande (-8,4%).</w:t>
      </w:r>
    </w:p>
    <w:p w14:paraId="0F4DFE98" w14:textId="77777777" w:rsidR="00B1608A" w:rsidRPr="002C36B4" w:rsidRDefault="00B1608A" w:rsidP="00B1608A">
      <w:pPr>
        <w:spacing w:after="240"/>
        <w:jc w:val="both"/>
        <w:rPr>
          <w:rFonts w:ascii="Calibri" w:hAnsi="Calibri" w:cs="Calibri"/>
        </w:rPr>
      </w:pPr>
      <w:r w:rsidRPr="002C36B4">
        <w:rPr>
          <w:rFonts w:ascii="Calibri" w:hAnsi="Calibri" w:cs="Calibri"/>
        </w:rPr>
        <w:t>Le importazioni della provincia di Pisa hanno segnato una lieve diminuzione dell’1,5% rispetto al primo semestre del 2025, con un controvalore attestato a un miliardo e 134 milioni di euro.</w:t>
      </w:r>
    </w:p>
    <w:p w14:paraId="3E2CBE13" w14:textId="77777777" w:rsidR="00B1608A" w:rsidRPr="002C36B4" w:rsidRDefault="00B1608A" w:rsidP="00B1608A">
      <w:pPr>
        <w:rPr>
          <w:rFonts w:ascii="Calibri" w:hAnsi="Calibri"/>
          <w:b/>
        </w:rPr>
      </w:pPr>
      <w:r w:rsidRPr="002C36B4">
        <w:rPr>
          <w:rFonts w:ascii="Calibri" w:hAnsi="Calibri"/>
          <w:b/>
        </w:rPr>
        <w:t>Gli andamenti settoriali</w:t>
      </w:r>
    </w:p>
    <w:p w14:paraId="3ADF17FB" w14:textId="15EF6DF8" w:rsidR="00B1608A" w:rsidRDefault="00B1608A" w:rsidP="008C5D96">
      <w:pPr>
        <w:jc w:val="both"/>
        <w:rPr>
          <w:rFonts w:ascii="Calibri" w:hAnsi="Calibri" w:cs="Calibri"/>
        </w:rPr>
      </w:pPr>
      <w:r w:rsidRPr="002C36B4">
        <w:rPr>
          <w:rFonts w:ascii="Calibri" w:hAnsi="Calibri" w:cs="Calibri"/>
        </w:rPr>
        <w:t xml:space="preserve">Il comparto dei </w:t>
      </w:r>
      <w:r w:rsidRPr="002C36B4">
        <w:rPr>
          <w:rFonts w:ascii="Calibri" w:hAnsi="Calibri" w:cs="Calibri"/>
          <w:b/>
          <w:i/>
        </w:rPr>
        <w:t>cicli e motocicli</w:t>
      </w:r>
      <w:r w:rsidRPr="002C36B4">
        <w:rPr>
          <w:rFonts w:ascii="Calibri" w:hAnsi="Calibri" w:cs="Calibri"/>
        </w:rPr>
        <w:t xml:space="preserve"> si è confermato il primo settore provinciale per valore assoluto, con una quota del 21,2% sull’export complessivo, e nel primo semestre 2026 ha attenuato la flessione rilevata negli ultimi due anni. Le esportazioni si sono attestate a 374,3 milioni di euro, in calo del 3,5% rispetto ai 388 milioni del 2025: un arretramento di 13,6 milioni che ha sottratto 0,8 punti percentuali al risultato generale, contro i 3,8 punti dello scorso anno.</w:t>
      </w:r>
      <w:r w:rsidR="008C5D96">
        <w:rPr>
          <w:rFonts w:ascii="Calibri" w:hAnsi="Calibri" w:cs="Calibri"/>
        </w:rPr>
        <w:t xml:space="preserve"> </w:t>
      </w:r>
      <w:r w:rsidRPr="002C36B4">
        <w:rPr>
          <w:rFonts w:ascii="Calibri" w:hAnsi="Calibri" w:cs="Calibri"/>
        </w:rPr>
        <w:t>Il quadro dei mercati è risultato però meno uniforme rispetto a un anno fa. La Germania, principale paese di destinazione con 99,8 milioni di euro, è tornata a crescere del 4,8%, e altrettanto hanno fatto l’Austria (37,2 milioni, +7,5%), gli Stati Uniti che hanno recuperato parte del terreno perduto (35,5 milioni, +17,9%) e il Regno Unito (14,6 milioni, +8,7%). La flessione complessiva si è concentrata invece su due mercati: la Francia, scesa a 27,1 milioni con un calo del 31,1% pari a oltre 12 milioni di euro, e la Turchia, che ha ridotto gli acquisti di 13,5 milioni. In arretramento anche la Spagna, quarto mercato del comparto (32,3 milioni, -9,2%), la Grecia (-7,6%) e la Slovenia.</w:t>
      </w:r>
      <w:r w:rsidR="008C5D96">
        <w:rPr>
          <w:rFonts w:ascii="Calibri" w:hAnsi="Calibri" w:cs="Calibri"/>
        </w:rPr>
        <w:t xml:space="preserve"> </w:t>
      </w:r>
      <w:r w:rsidRPr="002C36B4">
        <w:rPr>
          <w:rFonts w:ascii="Calibri" w:hAnsi="Calibri" w:cs="Calibri"/>
        </w:rPr>
        <w:t xml:space="preserve">Segnali di crisi confermati dal </w:t>
      </w:r>
      <w:r w:rsidRPr="002C36B4">
        <w:rPr>
          <w:rFonts w:ascii="Calibri" w:hAnsi="Calibri" w:cs="Calibri"/>
          <w:b/>
          <w:i/>
        </w:rPr>
        <w:t>sistema moda</w:t>
      </w:r>
      <w:r w:rsidRPr="002C36B4">
        <w:rPr>
          <w:rFonts w:ascii="Calibri" w:hAnsi="Calibri" w:cs="Calibri"/>
        </w:rPr>
        <w:t xml:space="preserve"> nel territorio pisano, anche se con minore intensità rispetto agli anni scorsi. Nel primo semestre</w:t>
      </w:r>
      <w:r w:rsidRPr="0046087C">
        <w:rPr>
          <w:rFonts w:ascii="Calibri" w:hAnsi="Calibri" w:cs="Calibri"/>
        </w:rPr>
        <w:t xml:space="preserve"> del 2026 l’export del </w:t>
      </w:r>
      <w:r w:rsidRPr="0046087C">
        <w:rPr>
          <w:rFonts w:ascii="Calibri" w:hAnsi="Calibri" w:cs="Calibri"/>
          <w:b/>
          <w:i/>
        </w:rPr>
        <w:t>cuoio</w:t>
      </w:r>
      <w:r w:rsidRPr="0046087C">
        <w:rPr>
          <w:rFonts w:ascii="Calibri" w:hAnsi="Calibri" w:cs="Calibri"/>
        </w:rPr>
        <w:t xml:space="preserve"> pisano ha evidenziato una contrazione del 5,4% rispetto allo stesso periodo del 2025, </w:t>
      </w:r>
      <w:r>
        <w:rPr>
          <w:rFonts w:ascii="Calibri" w:hAnsi="Calibri" w:cs="Calibri"/>
        </w:rPr>
        <w:t>corrispondente</w:t>
      </w:r>
      <w:r w:rsidRPr="0046087C">
        <w:rPr>
          <w:rFonts w:ascii="Calibri" w:hAnsi="Calibri" w:cs="Calibri"/>
        </w:rPr>
        <w:t xml:space="preserve"> a poco più di 15 milioni di euro in valore assoluto, fermandosi a 268,1 milioni. La Francia è </w:t>
      </w:r>
      <w:r>
        <w:rPr>
          <w:rFonts w:ascii="Calibri" w:hAnsi="Calibri" w:cs="Calibri"/>
        </w:rPr>
        <w:t>risultata ancora il</w:t>
      </w:r>
      <w:r w:rsidRPr="0046087C">
        <w:rPr>
          <w:rFonts w:ascii="Calibri" w:hAnsi="Calibri" w:cs="Calibri"/>
        </w:rPr>
        <w:t xml:space="preserve"> primo partner commerciale e ha proseguito il percorso di crescita avviato lo scorso anno raggiungendo gli 80,1 milioni di euro (+8,3%). La Spagna, seconda destinazione, ha invece accentuato la flessione (-10,2%) scendendo a 32,7 milioni. Il contributo negativo più rilevante è arrivato dal Vietnam</w:t>
      </w:r>
      <w:r>
        <w:rPr>
          <w:rFonts w:ascii="Calibri" w:hAnsi="Calibri" w:cs="Calibri"/>
        </w:rPr>
        <w:t xml:space="preserve"> (16,4 milioni)</w:t>
      </w:r>
      <w:r w:rsidRPr="0046087C">
        <w:rPr>
          <w:rFonts w:ascii="Calibri" w:hAnsi="Calibri" w:cs="Calibri"/>
        </w:rPr>
        <w:t xml:space="preserve">, che ha ridotto gli acquisti di 7,6 </w:t>
      </w:r>
      <w:r w:rsidRPr="002C36B4">
        <w:rPr>
          <w:rFonts w:ascii="Calibri" w:hAnsi="Calibri" w:cs="Calibri"/>
        </w:rPr>
        <w:t>milioni di euro (-31,5%), seguito da Hong Kong (8 milioni, -22,4%) e dal Giappone (7,1 milioni, -17,7%). In lieve calo Portogallo (19,1 milioni, -4,3%), Germania (18,7 milioni, -1,6%) e Cina (12,7 milioni, -1,7%), mentre le vendite in India sono salite a 8,8 milioni di euro (+30,3%) consolidando il percorso di crescita.</w:t>
      </w:r>
    </w:p>
    <w:tbl>
      <w:tblPr>
        <w:tblW w:w="9516" w:type="dxa"/>
        <w:tblInd w:w="70" w:type="dxa"/>
        <w:tblCellMar>
          <w:left w:w="70" w:type="dxa"/>
          <w:right w:w="70" w:type="dxa"/>
        </w:tblCellMar>
        <w:tblLook w:val="04A0" w:firstRow="1" w:lastRow="0" w:firstColumn="1" w:lastColumn="0" w:noHBand="0" w:noVBand="1"/>
      </w:tblPr>
      <w:tblGrid>
        <w:gridCol w:w="3811"/>
        <w:gridCol w:w="1317"/>
        <w:gridCol w:w="1314"/>
        <w:gridCol w:w="985"/>
        <w:gridCol w:w="1037"/>
        <w:gridCol w:w="1052"/>
      </w:tblGrid>
      <w:tr w:rsidR="00B1608A" w:rsidRPr="003B2BAB" w14:paraId="0F4DEC12" w14:textId="77777777" w:rsidTr="004F1CBC">
        <w:trPr>
          <w:trHeight w:val="283"/>
        </w:trPr>
        <w:tc>
          <w:tcPr>
            <w:tcW w:w="9514" w:type="dxa"/>
            <w:gridSpan w:val="6"/>
            <w:tcBorders>
              <w:top w:val="nil"/>
              <w:left w:val="nil"/>
              <w:bottom w:val="nil"/>
            </w:tcBorders>
            <w:noWrap/>
            <w:vAlign w:val="center"/>
            <w:hideMark/>
          </w:tcPr>
          <w:p w14:paraId="1BA7CC1B" w14:textId="77777777" w:rsidR="00B1608A" w:rsidRPr="003B2BAB" w:rsidRDefault="00B1608A" w:rsidP="004F1CBC">
            <w:pPr>
              <w:rPr>
                <w:rFonts w:ascii="Calibri" w:hAnsi="Calibri" w:cs="Calibri"/>
                <w:sz w:val="20"/>
                <w:szCs w:val="20"/>
              </w:rPr>
            </w:pPr>
            <w:r w:rsidRPr="003B2BAB">
              <w:rPr>
                <w:rFonts w:ascii="Calibri" w:hAnsi="Calibri" w:cs="Calibri"/>
                <w:b/>
                <w:bCs/>
                <w:color w:val="000000"/>
                <w:sz w:val="20"/>
                <w:szCs w:val="20"/>
              </w:rPr>
              <w:lastRenderedPageBreak/>
              <w:t>I principali settori esportatori della provincia di Pisa - I semestre 2026</w:t>
            </w:r>
          </w:p>
        </w:tc>
      </w:tr>
      <w:tr w:rsidR="00B1608A" w:rsidRPr="003B2BAB" w14:paraId="5AEE45B3" w14:textId="77777777" w:rsidTr="004F1CBC">
        <w:trPr>
          <w:trHeight w:val="283"/>
        </w:trPr>
        <w:tc>
          <w:tcPr>
            <w:tcW w:w="9514" w:type="dxa"/>
            <w:gridSpan w:val="6"/>
            <w:tcBorders>
              <w:top w:val="nil"/>
              <w:left w:val="nil"/>
              <w:bottom w:val="nil"/>
            </w:tcBorders>
            <w:noWrap/>
            <w:vAlign w:val="center"/>
            <w:hideMark/>
          </w:tcPr>
          <w:p w14:paraId="3B663439" w14:textId="77777777" w:rsidR="00B1608A" w:rsidRPr="003B2BAB" w:rsidRDefault="00B1608A" w:rsidP="004F1CBC">
            <w:pPr>
              <w:rPr>
                <w:rFonts w:ascii="Calibri" w:hAnsi="Calibri" w:cs="Calibri"/>
                <w:sz w:val="20"/>
                <w:szCs w:val="20"/>
              </w:rPr>
            </w:pPr>
            <w:r w:rsidRPr="003B2BAB">
              <w:rPr>
                <w:rFonts w:ascii="Calibri" w:hAnsi="Calibri" w:cs="Calibri"/>
                <w:i/>
                <w:iCs/>
                <w:color w:val="000000"/>
                <w:sz w:val="20"/>
                <w:szCs w:val="20"/>
              </w:rPr>
              <w:t>Valori assoluti in euro, var. % e contributi % alla crescita </w:t>
            </w:r>
          </w:p>
        </w:tc>
      </w:tr>
      <w:tr w:rsidR="00B1608A" w:rsidRPr="003B2BAB" w14:paraId="6222547B" w14:textId="77777777" w:rsidTr="004F1CBC">
        <w:trPr>
          <w:trHeight w:val="283"/>
        </w:trPr>
        <w:tc>
          <w:tcPr>
            <w:tcW w:w="3811" w:type="dxa"/>
            <w:vMerge w:val="restart"/>
            <w:tcBorders>
              <w:top w:val="single" w:sz="4" w:space="0" w:color="auto"/>
              <w:left w:val="nil"/>
              <w:bottom w:val="single" w:sz="4" w:space="0" w:color="000000"/>
              <w:right w:val="nil"/>
            </w:tcBorders>
            <w:noWrap/>
            <w:vAlign w:val="center"/>
            <w:hideMark/>
          </w:tcPr>
          <w:p w14:paraId="01F4B973" w14:textId="77777777" w:rsidR="00B1608A" w:rsidRPr="003B2BAB" w:rsidRDefault="00B1608A" w:rsidP="004F1CBC">
            <w:pPr>
              <w:rPr>
                <w:rFonts w:ascii="Calibri" w:hAnsi="Calibri" w:cs="Calibri"/>
                <w:b/>
                <w:bCs/>
                <w:color w:val="000000"/>
                <w:sz w:val="20"/>
                <w:szCs w:val="20"/>
              </w:rPr>
            </w:pPr>
            <w:r w:rsidRPr="003B2BAB">
              <w:rPr>
                <w:rFonts w:ascii="Calibri" w:hAnsi="Calibri" w:cs="Calibri"/>
                <w:b/>
                <w:bCs/>
                <w:color w:val="000000"/>
                <w:sz w:val="20"/>
                <w:szCs w:val="20"/>
              </w:rPr>
              <w:t>Settori di attività</w:t>
            </w:r>
          </w:p>
        </w:tc>
        <w:tc>
          <w:tcPr>
            <w:tcW w:w="2631" w:type="dxa"/>
            <w:gridSpan w:val="2"/>
            <w:tcBorders>
              <w:top w:val="single" w:sz="4" w:space="0" w:color="auto"/>
              <w:left w:val="nil"/>
              <w:bottom w:val="single" w:sz="4" w:space="0" w:color="auto"/>
              <w:right w:val="nil"/>
            </w:tcBorders>
            <w:noWrap/>
            <w:vAlign w:val="center"/>
            <w:hideMark/>
          </w:tcPr>
          <w:p w14:paraId="247B26F4" w14:textId="77777777" w:rsidR="00B1608A" w:rsidRPr="003B2BAB" w:rsidRDefault="00B1608A" w:rsidP="004F1CBC">
            <w:pPr>
              <w:jc w:val="center"/>
              <w:rPr>
                <w:rFonts w:ascii="Calibri" w:hAnsi="Calibri" w:cs="Calibri"/>
                <w:b/>
                <w:bCs/>
                <w:color w:val="000000"/>
                <w:sz w:val="20"/>
                <w:szCs w:val="20"/>
              </w:rPr>
            </w:pPr>
            <w:r w:rsidRPr="003B2BAB">
              <w:rPr>
                <w:rFonts w:ascii="Calibri" w:hAnsi="Calibri" w:cs="Calibri"/>
                <w:b/>
                <w:bCs/>
                <w:color w:val="000000"/>
                <w:sz w:val="20"/>
                <w:szCs w:val="20"/>
              </w:rPr>
              <w:t>Valori assoluti in euro</w:t>
            </w:r>
          </w:p>
        </w:tc>
        <w:tc>
          <w:tcPr>
            <w:tcW w:w="985" w:type="dxa"/>
            <w:vMerge w:val="restart"/>
            <w:tcBorders>
              <w:top w:val="single" w:sz="4" w:space="0" w:color="auto"/>
              <w:left w:val="nil"/>
              <w:bottom w:val="single" w:sz="4" w:space="0" w:color="000000"/>
              <w:right w:val="nil"/>
            </w:tcBorders>
            <w:noWrap/>
            <w:vAlign w:val="center"/>
            <w:hideMark/>
          </w:tcPr>
          <w:p w14:paraId="23921EA2" w14:textId="77777777" w:rsidR="00B1608A" w:rsidRPr="003B2BAB" w:rsidRDefault="00B1608A" w:rsidP="004F1CBC">
            <w:pPr>
              <w:jc w:val="center"/>
              <w:rPr>
                <w:rFonts w:ascii="Calibri" w:hAnsi="Calibri" w:cs="Calibri"/>
                <w:b/>
                <w:bCs/>
                <w:color w:val="000000"/>
                <w:sz w:val="20"/>
                <w:szCs w:val="20"/>
              </w:rPr>
            </w:pPr>
            <w:r w:rsidRPr="003B2BAB">
              <w:rPr>
                <w:rFonts w:ascii="Calibri" w:hAnsi="Calibri" w:cs="Calibri"/>
                <w:b/>
                <w:bCs/>
                <w:color w:val="000000"/>
                <w:sz w:val="20"/>
                <w:szCs w:val="20"/>
              </w:rPr>
              <w:t>Quota %</w:t>
            </w:r>
          </w:p>
        </w:tc>
        <w:tc>
          <w:tcPr>
            <w:tcW w:w="1037" w:type="dxa"/>
            <w:vMerge w:val="restart"/>
            <w:tcBorders>
              <w:top w:val="single" w:sz="4" w:space="0" w:color="auto"/>
              <w:left w:val="nil"/>
              <w:bottom w:val="single" w:sz="4" w:space="0" w:color="000000"/>
              <w:right w:val="nil"/>
            </w:tcBorders>
            <w:noWrap/>
            <w:vAlign w:val="center"/>
            <w:hideMark/>
          </w:tcPr>
          <w:p w14:paraId="37ADFBFA" w14:textId="77777777" w:rsidR="00B1608A" w:rsidRPr="003B2BAB" w:rsidRDefault="00B1608A" w:rsidP="004F1CBC">
            <w:pPr>
              <w:jc w:val="center"/>
              <w:rPr>
                <w:rFonts w:ascii="Calibri" w:hAnsi="Calibri" w:cs="Calibri"/>
                <w:b/>
                <w:bCs/>
                <w:color w:val="000000"/>
                <w:sz w:val="20"/>
                <w:szCs w:val="20"/>
              </w:rPr>
            </w:pPr>
            <w:r w:rsidRPr="003B2BAB">
              <w:rPr>
                <w:rFonts w:ascii="Calibri" w:hAnsi="Calibri" w:cs="Calibri"/>
                <w:b/>
                <w:bCs/>
                <w:color w:val="000000"/>
                <w:sz w:val="20"/>
                <w:szCs w:val="20"/>
              </w:rPr>
              <w:t>Var. %</w:t>
            </w:r>
          </w:p>
        </w:tc>
        <w:tc>
          <w:tcPr>
            <w:tcW w:w="1052" w:type="dxa"/>
            <w:vMerge w:val="restart"/>
            <w:tcBorders>
              <w:top w:val="single" w:sz="4" w:space="0" w:color="auto"/>
              <w:left w:val="nil"/>
              <w:bottom w:val="single" w:sz="4" w:space="0" w:color="000000"/>
              <w:right w:val="nil"/>
            </w:tcBorders>
            <w:vAlign w:val="center"/>
            <w:hideMark/>
          </w:tcPr>
          <w:p w14:paraId="28A87878" w14:textId="77777777" w:rsidR="00B1608A" w:rsidRPr="003B2BAB" w:rsidRDefault="00B1608A" w:rsidP="004F1CBC">
            <w:pPr>
              <w:jc w:val="center"/>
              <w:rPr>
                <w:rFonts w:ascii="Calibri" w:hAnsi="Calibri" w:cs="Calibri"/>
                <w:b/>
                <w:bCs/>
                <w:color w:val="000000"/>
                <w:sz w:val="20"/>
                <w:szCs w:val="20"/>
              </w:rPr>
            </w:pPr>
            <w:r w:rsidRPr="003B2BAB">
              <w:rPr>
                <w:rFonts w:ascii="Calibri" w:hAnsi="Calibri" w:cs="Calibri"/>
                <w:b/>
                <w:bCs/>
                <w:color w:val="000000"/>
                <w:sz w:val="20"/>
                <w:szCs w:val="20"/>
              </w:rPr>
              <w:t>Contributo %</w:t>
            </w:r>
          </w:p>
        </w:tc>
      </w:tr>
      <w:tr w:rsidR="00B1608A" w:rsidRPr="003B2BAB" w14:paraId="61A4791E" w14:textId="77777777" w:rsidTr="004F1CBC">
        <w:trPr>
          <w:trHeight w:val="283"/>
        </w:trPr>
        <w:tc>
          <w:tcPr>
            <w:tcW w:w="4111" w:type="dxa"/>
            <w:vMerge/>
            <w:tcBorders>
              <w:top w:val="single" w:sz="4" w:space="0" w:color="auto"/>
              <w:left w:val="nil"/>
              <w:bottom w:val="single" w:sz="4" w:space="0" w:color="000000"/>
              <w:right w:val="nil"/>
            </w:tcBorders>
            <w:vAlign w:val="center"/>
            <w:hideMark/>
          </w:tcPr>
          <w:p w14:paraId="5A0FD80F" w14:textId="77777777" w:rsidR="00B1608A" w:rsidRPr="003B2BAB" w:rsidRDefault="00B1608A" w:rsidP="004F1CBC">
            <w:pPr>
              <w:rPr>
                <w:rFonts w:ascii="Calibri" w:hAnsi="Calibri" w:cs="Calibri"/>
                <w:b/>
                <w:bCs/>
                <w:color w:val="000000"/>
                <w:sz w:val="20"/>
                <w:szCs w:val="20"/>
              </w:rPr>
            </w:pPr>
          </w:p>
        </w:tc>
        <w:tc>
          <w:tcPr>
            <w:tcW w:w="1317" w:type="dxa"/>
            <w:tcBorders>
              <w:top w:val="nil"/>
              <w:left w:val="nil"/>
              <w:bottom w:val="single" w:sz="4" w:space="0" w:color="auto"/>
              <w:right w:val="nil"/>
            </w:tcBorders>
            <w:noWrap/>
            <w:vAlign w:val="center"/>
            <w:hideMark/>
          </w:tcPr>
          <w:p w14:paraId="2CE0AE70" w14:textId="7CCEC20A" w:rsidR="00B1608A" w:rsidRPr="003B2BAB" w:rsidRDefault="00B1608A" w:rsidP="004F1CBC">
            <w:pPr>
              <w:jc w:val="center"/>
              <w:rPr>
                <w:rFonts w:ascii="Calibri" w:hAnsi="Calibri" w:cs="Calibri"/>
                <w:b/>
                <w:bCs/>
                <w:color w:val="000000"/>
                <w:sz w:val="20"/>
                <w:szCs w:val="20"/>
              </w:rPr>
            </w:pPr>
            <w:r w:rsidRPr="003B2BAB">
              <w:rPr>
                <w:rFonts w:ascii="Calibri" w:hAnsi="Calibri" w:cs="Calibri"/>
                <w:b/>
                <w:bCs/>
                <w:color w:val="000000"/>
                <w:sz w:val="20"/>
                <w:szCs w:val="20"/>
              </w:rPr>
              <w:t xml:space="preserve">I </w:t>
            </w:r>
            <w:proofErr w:type="spellStart"/>
            <w:r w:rsidRPr="003B2BAB">
              <w:rPr>
                <w:rFonts w:ascii="Calibri" w:hAnsi="Calibri" w:cs="Calibri"/>
                <w:b/>
                <w:bCs/>
                <w:color w:val="000000"/>
                <w:sz w:val="20"/>
                <w:szCs w:val="20"/>
              </w:rPr>
              <w:t>sem</w:t>
            </w:r>
            <w:proofErr w:type="spellEnd"/>
            <w:r w:rsidR="004607C8">
              <w:rPr>
                <w:rFonts w:ascii="Calibri" w:hAnsi="Calibri" w:cs="Calibri"/>
                <w:b/>
                <w:bCs/>
                <w:color w:val="000000"/>
                <w:sz w:val="20"/>
                <w:szCs w:val="20"/>
              </w:rPr>
              <w:t>.</w:t>
            </w:r>
            <w:r w:rsidRPr="003B2BAB">
              <w:rPr>
                <w:rFonts w:ascii="Calibri" w:hAnsi="Calibri" w:cs="Calibri"/>
                <w:b/>
                <w:bCs/>
                <w:color w:val="000000"/>
                <w:sz w:val="20"/>
                <w:szCs w:val="20"/>
              </w:rPr>
              <w:t xml:space="preserve"> 2025</w:t>
            </w:r>
          </w:p>
        </w:tc>
        <w:tc>
          <w:tcPr>
            <w:tcW w:w="1314" w:type="dxa"/>
            <w:tcBorders>
              <w:top w:val="nil"/>
              <w:left w:val="nil"/>
              <w:bottom w:val="single" w:sz="4" w:space="0" w:color="auto"/>
              <w:right w:val="nil"/>
            </w:tcBorders>
            <w:noWrap/>
            <w:vAlign w:val="center"/>
            <w:hideMark/>
          </w:tcPr>
          <w:p w14:paraId="4290C33F" w14:textId="22F6F75D" w:rsidR="00B1608A" w:rsidRPr="003B2BAB" w:rsidRDefault="00B1608A" w:rsidP="004F1CBC">
            <w:pPr>
              <w:jc w:val="center"/>
              <w:rPr>
                <w:rFonts w:ascii="Calibri" w:hAnsi="Calibri" w:cs="Calibri"/>
                <w:b/>
                <w:bCs/>
                <w:color w:val="000000"/>
                <w:sz w:val="20"/>
                <w:szCs w:val="20"/>
              </w:rPr>
            </w:pPr>
            <w:r w:rsidRPr="003B2BAB">
              <w:rPr>
                <w:rFonts w:ascii="Calibri" w:hAnsi="Calibri" w:cs="Calibri"/>
                <w:b/>
                <w:bCs/>
                <w:color w:val="000000"/>
                <w:sz w:val="20"/>
                <w:szCs w:val="20"/>
              </w:rPr>
              <w:t xml:space="preserve">I </w:t>
            </w:r>
            <w:proofErr w:type="spellStart"/>
            <w:r w:rsidRPr="003B2BAB">
              <w:rPr>
                <w:rFonts w:ascii="Calibri" w:hAnsi="Calibri" w:cs="Calibri"/>
                <w:b/>
                <w:bCs/>
                <w:color w:val="000000"/>
                <w:sz w:val="20"/>
                <w:szCs w:val="20"/>
              </w:rPr>
              <w:t>sem</w:t>
            </w:r>
            <w:proofErr w:type="spellEnd"/>
            <w:r w:rsidR="004607C8">
              <w:rPr>
                <w:rFonts w:ascii="Calibri" w:hAnsi="Calibri" w:cs="Calibri"/>
                <w:b/>
                <w:bCs/>
                <w:color w:val="000000"/>
                <w:sz w:val="20"/>
                <w:szCs w:val="20"/>
              </w:rPr>
              <w:t>.</w:t>
            </w:r>
            <w:r w:rsidRPr="003B2BAB">
              <w:rPr>
                <w:rFonts w:ascii="Calibri" w:hAnsi="Calibri" w:cs="Calibri"/>
                <w:b/>
                <w:bCs/>
                <w:color w:val="000000"/>
                <w:sz w:val="20"/>
                <w:szCs w:val="20"/>
              </w:rPr>
              <w:t xml:space="preserve"> 2026</w:t>
            </w:r>
          </w:p>
        </w:tc>
        <w:tc>
          <w:tcPr>
            <w:tcW w:w="985" w:type="dxa"/>
            <w:vMerge/>
            <w:tcBorders>
              <w:top w:val="single" w:sz="4" w:space="0" w:color="auto"/>
              <w:left w:val="nil"/>
              <w:bottom w:val="single" w:sz="4" w:space="0" w:color="000000"/>
              <w:right w:val="nil"/>
            </w:tcBorders>
            <w:vAlign w:val="center"/>
            <w:hideMark/>
          </w:tcPr>
          <w:p w14:paraId="469F2971" w14:textId="77777777" w:rsidR="00B1608A" w:rsidRPr="003B2BAB" w:rsidRDefault="00B1608A" w:rsidP="004F1CBC">
            <w:pPr>
              <w:rPr>
                <w:rFonts w:ascii="Calibri" w:hAnsi="Calibri" w:cs="Calibri"/>
                <w:b/>
                <w:bCs/>
                <w:color w:val="000000"/>
                <w:sz w:val="20"/>
                <w:szCs w:val="20"/>
              </w:rPr>
            </w:pPr>
          </w:p>
        </w:tc>
        <w:tc>
          <w:tcPr>
            <w:tcW w:w="737" w:type="dxa"/>
            <w:vMerge/>
            <w:tcBorders>
              <w:top w:val="single" w:sz="4" w:space="0" w:color="auto"/>
              <w:left w:val="nil"/>
              <w:bottom w:val="single" w:sz="4" w:space="0" w:color="000000"/>
              <w:right w:val="nil"/>
            </w:tcBorders>
            <w:vAlign w:val="center"/>
            <w:hideMark/>
          </w:tcPr>
          <w:p w14:paraId="6305C0EB" w14:textId="77777777" w:rsidR="00B1608A" w:rsidRPr="003B2BAB" w:rsidRDefault="00B1608A" w:rsidP="004F1CBC">
            <w:pPr>
              <w:rPr>
                <w:rFonts w:ascii="Calibri" w:hAnsi="Calibri" w:cs="Calibri"/>
                <w:b/>
                <w:bCs/>
                <w:color w:val="000000"/>
                <w:sz w:val="20"/>
                <w:szCs w:val="20"/>
              </w:rPr>
            </w:pPr>
          </w:p>
        </w:tc>
        <w:tc>
          <w:tcPr>
            <w:tcW w:w="1052" w:type="dxa"/>
            <w:vMerge/>
            <w:tcBorders>
              <w:top w:val="single" w:sz="4" w:space="0" w:color="auto"/>
              <w:left w:val="nil"/>
              <w:bottom w:val="single" w:sz="4" w:space="0" w:color="000000"/>
              <w:right w:val="nil"/>
            </w:tcBorders>
            <w:vAlign w:val="center"/>
            <w:hideMark/>
          </w:tcPr>
          <w:p w14:paraId="6EC6F4A6" w14:textId="77777777" w:rsidR="00B1608A" w:rsidRPr="003B2BAB" w:rsidRDefault="00B1608A" w:rsidP="004F1CBC">
            <w:pPr>
              <w:rPr>
                <w:rFonts w:ascii="Calibri" w:hAnsi="Calibri" w:cs="Calibri"/>
                <w:b/>
                <w:bCs/>
                <w:color w:val="000000"/>
                <w:sz w:val="20"/>
                <w:szCs w:val="20"/>
              </w:rPr>
            </w:pPr>
          </w:p>
        </w:tc>
      </w:tr>
      <w:tr w:rsidR="00B1608A" w:rsidRPr="003B2BAB" w14:paraId="2B5AECA7" w14:textId="77777777" w:rsidTr="004F1CBC">
        <w:trPr>
          <w:trHeight w:val="272"/>
        </w:trPr>
        <w:tc>
          <w:tcPr>
            <w:tcW w:w="3811" w:type="dxa"/>
            <w:tcBorders>
              <w:top w:val="nil"/>
              <w:left w:val="nil"/>
              <w:bottom w:val="nil"/>
              <w:right w:val="nil"/>
            </w:tcBorders>
            <w:noWrap/>
            <w:vAlign w:val="center"/>
            <w:hideMark/>
          </w:tcPr>
          <w:p w14:paraId="7DC754A1" w14:textId="77777777" w:rsidR="00B1608A" w:rsidRPr="003B2BAB" w:rsidRDefault="00B1608A" w:rsidP="004F1CBC">
            <w:pPr>
              <w:rPr>
                <w:rFonts w:ascii="Calibri" w:hAnsi="Calibri" w:cs="Calibri"/>
                <w:color w:val="000000"/>
                <w:sz w:val="20"/>
                <w:szCs w:val="20"/>
              </w:rPr>
            </w:pPr>
            <w:r w:rsidRPr="003B2BAB">
              <w:rPr>
                <w:rFonts w:ascii="Calibri" w:hAnsi="Calibri" w:cs="Calibri"/>
                <w:color w:val="000000"/>
                <w:sz w:val="20"/>
                <w:szCs w:val="20"/>
              </w:rPr>
              <w:t>Cicli e motocicli*</w:t>
            </w:r>
          </w:p>
        </w:tc>
        <w:tc>
          <w:tcPr>
            <w:tcW w:w="1317" w:type="dxa"/>
            <w:tcBorders>
              <w:top w:val="nil"/>
              <w:left w:val="nil"/>
              <w:bottom w:val="nil"/>
              <w:right w:val="nil"/>
            </w:tcBorders>
            <w:noWrap/>
            <w:vAlign w:val="center"/>
            <w:hideMark/>
          </w:tcPr>
          <w:p w14:paraId="6306916F"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387.973.592</w:t>
            </w:r>
          </w:p>
        </w:tc>
        <w:tc>
          <w:tcPr>
            <w:tcW w:w="1314" w:type="dxa"/>
            <w:tcBorders>
              <w:top w:val="nil"/>
              <w:left w:val="nil"/>
              <w:bottom w:val="nil"/>
              <w:right w:val="nil"/>
            </w:tcBorders>
            <w:noWrap/>
            <w:vAlign w:val="center"/>
            <w:hideMark/>
          </w:tcPr>
          <w:p w14:paraId="0E062D5D"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374.331.954</w:t>
            </w:r>
          </w:p>
        </w:tc>
        <w:tc>
          <w:tcPr>
            <w:tcW w:w="985" w:type="dxa"/>
            <w:tcBorders>
              <w:top w:val="nil"/>
              <w:left w:val="nil"/>
              <w:bottom w:val="nil"/>
              <w:right w:val="nil"/>
            </w:tcBorders>
            <w:noWrap/>
            <w:vAlign w:val="center"/>
            <w:hideMark/>
          </w:tcPr>
          <w:p w14:paraId="1E06FAB1"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21,2%</w:t>
            </w:r>
          </w:p>
        </w:tc>
        <w:tc>
          <w:tcPr>
            <w:tcW w:w="1037" w:type="dxa"/>
            <w:tcBorders>
              <w:top w:val="nil"/>
              <w:left w:val="nil"/>
              <w:bottom w:val="nil"/>
              <w:right w:val="nil"/>
            </w:tcBorders>
            <w:noWrap/>
            <w:vAlign w:val="center"/>
            <w:hideMark/>
          </w:tcPr>
          <w:p w14:paraId="0CCC0ABB"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-3,5%</w:t>
            </w:r>
          </w:p>
        </w:tc>
        <w:tc>
          <w:tcPr>
            <w:tcW w:w="1052" w:type="dxa"/>
            <w:tcBorders>
              <w:top w:val="nil"/>
              <w:left w:val="nil"/>
              <w:bottom w:val="nil"/>
              <w:right w:val="nil"/>
            </w:tcBorders>
            <w:noWrap/>
            <w:vAlign w:val="center"/>
            <w:hideMark/>
          </w:tcPr>
          <w:p w14:paraId="0AC464C7"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-0,8%</w:t>
            </w:r>
          </w:p>
        </w:tc>
      </w:tr>
      <w:tr w:rsidR="00B1608A" w:rsidRPr="003B2BAB" w14:paraId="44860E30" w14:textId="77777777" w:rsidTr="004F1CBC">
        <w:trPr>
          <w:trHeight w:val="272"/>
        </w:trPr>
        <w:tc>
          <w:tcPr>
            <w:tcW w:w="3811" w:type="dxa"/>
            <w:tcBorders>
              <w:top w:val="nil"/>
              <w:left w:val="nil"/>
              <w:bottom w:val="nil"/>
              <w:right w:val="nil"/>
            </w:tcBorders>
            <w:noWrap/>
            <w:vAlign w:val="center"/>
            <w:hideMark/>
          </w:tcPr>
          <w:p w14:paraId="5A358BA6" w14:textId="77777777" w:rsidR="00B1608A" w:rsidRPr="003B2BAB" w:rsidRDefault="00B1608A" w:rsidP="004F1CBC">
            <w:pPr>
              <w:rPr>
                <w:rFonts w:ascii="Calibri" w:hAnsi="Calibri" w:cs="Calibri"/>
                <w:color w:val="000000"/>
                <w:sz w:val="20"/>
                <w:szCs w:val="20"/>
              </w:rPr>
            </w:pPr>
            <w:r w:rsidRPr="003B2BAB">
              <w:rPr>
                <w:rFonts w:ascii="Calibri" w:hAnsi="Calibri" w:cs="Calibri"/>
                <w:color w:val="000000"/>
                <w:sz w:val="20"/>
                <w:szCs w:val="20"/>
              </w:rPr>
              <w:t>Pelli-cuoio**</w:t>
            </w:r>
          </w:p>
        </w:tc>
        <w:tc>
          <w:tcPr>
            <w:tcW w:w="1317" w:type="dxa"/>
            <w:tcBorders>
              <w:top w:val="nil"/>
              <w:left w:val="nil"/>
              <w:bottom w:val="nil"/>
              <w:right w:val="nil"/>
            </w:tcBorders>
            <w:noWrap/>
            <w:vAlign w:val="center"/>
            <w:hideMark/>
          </w:tcPr>
          <w:p w14:paraId="533B35FF"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283.562.550</w:t>
            </w:r>
          </w:p>
        </w:tc>
        <w:tc>
          <w:tcPr>
            <w:tcW w:w="1314" w:type="dxa"/>
            <w:tcBorders>
              <w:top w:val="nil"/>
              <w:left w:val="nil"/>
              <w:bottom w:val="nil"/>
              <w:right w:val="nil"/>
            </w:tcBorders>
            <w:noWrap/>
            <w:vAlign w:val="center"/>
            <w:hideMark/>
          </w:tcPr>
          <w:p w14:paraId="2193578C"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268.116.411</w:t>
            </w:r>
          </w:p>
        </w:tc>
        <w:tc>
          <w:tcPr>
            <w:tcW w:w="985" w:type="dxa"/>
            <w:tcBorders>
              <w:top w:val="nil"/>
              <w:left w:val="nil"/>
              <w:bottom w:val="nil"/>
              <w:right w:val="nil"/>
            </w:tcBorders>
            <w:noWrap/>
            <w:vAlign w:val="center"/>
            <w:hideMark/>
          </w:tcPr>
          <w:p w14:paraId="2C925C85"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15,2%</w:t>
            </w:r>
          </w:p>
        </w:tc>
        <w:tc>
          <w:tcPr>
            <w:tcW w:w="1037" w:type="dxa"/>
            <w:tcBorders>
              <w:top w:val="nil"/>
              <w:left w:val="nil"/>
              <w:bottom w:val="nil"/>
              <w:right w:val="nil"/>
            </w:tcBorders>
            <w:noWrap/>
            <w:vAlign w:val="center"/>
            <w:hideMark/>
          </w:tcPr>
          <w:p w14:paraId="05F418CF"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-5,4%</w:t>
            </w:r>
          </w:p>
        </w:tc>
        <w:tc>
          <w:tcPr>
            <w:tcW w:w="1052" w:type="dxa"/>
            <w:tcBorders>
              <w:top w:val="nil"/>
              <w:left w:val="nil"/>
              <w:bottom w:val="nil"/>
              <w:right w:val="nil"/>
            </w:tcBorders>
            <w:noWrap/>
            <w:vAlign w:val="center"/>
            <w:hideMark/>
          </w:tcPr>
          <w:p w14:paraId="00688369"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-0,9%</w:t>
            </w:r>
          </w:p>
        </w:tc>
      </w:tr>
      <w:tr w:rsidR="00B1608A" w:rsidRPr="003B2BAB" w14:paraId="055B30B9" w14:textId="77777777" w:rsidTr="004F1CBC">
        <w:trPr>
          <w:trHeight w:val="272"/>
        </w:trPr>
        <w:tc>
          <w:tcPr>
            <w:tcW w:w="3811" w:type="dxa"/>
            <w:tcBorders>
              <w:top w:val="nil"/>
              <w:left w:val="nil"/>
              <w:bottom w:val="nil"/>
              <w:right w:val="nil"/>
            </w:tcBorders>
            <w:noWrap/>
            <w:vAlign w:val="center"/>
            <w:hideMark/>
          </w:tcPr>
          <w:p w14:paraId="65DB265F" w14:textId="77777777" w:rsidR="00B1608A" w:rsidRPr="003B2BAB" w:rsidRDefault="00B1608A" w:rsidP="004F1CBC">
            <w:pPr>
              <w:rPr>
                <w:rFonts w:ascii="Calibri" w:hAnsi="Calibri" w:cs="Calibri"/>
                <w:color w:val="000000"/>
                <w:sz w:val="20"/>
                <w:szCs w:val="20"/>
              </w:rPr>
            </w:pPr>
            <w:r w:rsidRPr="003B2BAB">
              <w:rPr>
                <w:rFonts w:ascii="Calibri" w:hAnsi="Calibri" w:cs="Calibri"/>
                <w:color w:val="000000"/>
                <w:sz w:val="20"/>
                <w:szCs w:val="20"/>
              </w:rPr>
              <w:t>Macchine di impiego generale</w:t>
            </w:r>
          </w:p>
        </w:tc>
        <w:tc>
          <w:tcPr>
            <w:tcW w:w="1317" w:type="dxa"/>
            <w:tcBorders>
              <w:top w:val="nil"/>
              <w:left w:val="nil"/>
              <w:bottom w:val="nil"/>
              <w:right w:val="nil"/>
            </w:tcBorders>
            <w:noWrap/>
            <w:vAlign w:val="center"/>
            <w:hideMark/>
          </w:tcPr>
          <w:p w14:paraId="235BF80F"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169.165.018</w:t>
            </w:r>
          </w:p>
        </w:tc>
        <w:tc>
          <w:tcPr>
            <w:tcW w:w="1314" w:type="dxa"/>
            <w:tcBorders>
              <w:top w:val="nil"/>
              <w:left w:val="nil"/>
              <w:bottom w:val="nil"/>
              <w:right w:val="nil"/>
            </w:tcBorders>
            <w:noWrap/>
            <w:vAlign w:val="center"/>
            <w:hideMark/>
          </w:tcPr>
          <w:p w14:paraId="1A48205B"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175.231.808</w:t>
            </w:r>
          </w:p>
        </w:tc>
        <w:tc>
          <w:tcPr>
            <w:tcW w:w="985" w:type="dxa"/>
            <w:tcBorders>
              <w:top w:val="nil"/>
              <w:left w:val="nil"/>
              <w:bottom w:val="nil"/>
              <w:right w:val="nil"/>
            </w:tcBorders>
            <w:noWrap/>
            <w:vAlign w:val="center"/>
            <w:hideMark/>
          </w:tcPr>
          <w:p w14:paraId="5C0E12C8"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9,9%</w:t>
            </w:r>
          </w:p>
        </w:tc>
        <w:tc>
          <w:tcPr>
            <w:tcW w:w="1037" w:type="dxa"/>
            <w:tcBorders>
              <w:top w:val="nil"/>
              <w:left w:val="nil"/>
              <w:bottom w:val="nil"/>
              <w:right w:val="nil"/>
            </w:tcBorders>
            <w:noWrap/>
            <w:vAlign w:val="center"/>
            <w:hideMark/>
          </w:tcPr>
          <w:p w14:paraId="22F366B0"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3,6%</w:t>
            </w:r>
          </w:p>
        </w:tc>
        <w:tc>
          <w:tcPr>
            <w:tcW w:w="1052" w:type="dxa"/>
            <w:tcBorders>
              <w:top w:val="nil"/>
              <w:left w:val="nil"/>
              <w:bottom w:val="nil"/>
              <w:right w:val="nil"/>
            </w:tcBorders>
            <w:noWrap/>
            <w:vAlign w:val="center"/>
            <w:hideMark/>
          </w:tcPr>
          <w:p w14:paraId="6EB73438"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0,3%</w:t>
            </w:r>
          </w:p>
        </w:tc>
      </w:tr>
      <w:tr w:rsidR="00B1608A" w:rsidRPr="003B2BAB" w14:paraId="41FBFB26" w14:textId="77777777" w:rsidTr="004F1CBC">
        <w:trPr>
          <w:trHeight w:val="272"/>
        </w:trPr>
        <w:tc>
          <w:tcPr>
            <w:tcW w:w="3811" w:type="dxa"/>
            <w:tcBorders>
              <w:top w:val="nil"/>
              <w:left w:val="nil"/>
              <w:bottom w:val="nil"/>
              <w:right w:val="nil"/>
            </w:tcBorders>
            <w:noWrap/>
            <w:vAlign w:val="center"/>
            <w:hideMark/>
          </w:tcPr>
          <w:p w14:paraId="1668DDBC" w14:textId="77777777" w:rsidR="00B1608A" w:rsidRPr="003B2BAB" w:rsidRDefault="00B1608A" w:rsidP="004F1CBC">
            <w:pPr>
              <w:rPr>
                <w:rFonts w:ascii="Calibri" w:hAnsi="Calibri" w:cs="Calibri"/>
                <w:color w:val="000000"/>
                <w:sz w:val="20"/>
                <w:szCs w:val="20"/>
              </w:rPr>
            </w:pPr>
            <w:r w:rsidRPr="003B2BAB">
              <w:rPr>
                <w:rFonts w:ascii="Calibri" w:hAnsi="Calibri" w:cs="Calibri"/>
                <w:color w:val="000000"/>
                <w:sz w:val="20"/>
                <w:szCs w:val="20"/>
              </w:rPr>
              <w:t>Medicinali e preparati farmaceutici</w:t>
            </w:r>
          </w:p>
        </w:tc>
        <w:tc>
          <w:tcPr>
            <w:tcW w:w="1317" w:type="dxa"/>
            <w:tcBorders>
              <w:top w:val="nil"/>
              <w:left w:val="nil"/>
              <w:bottom w:val="nil"/>
              <w:right w:val="nil"/>
            </w:tcBorders>
            <w:noWrap/>
            <w:vAlign w:val="center"/>
            <w:hideMark/>
          </w:tcPr>
          <w:p w14:paraId="500F356F"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134.566.531</w:t>
            </w:r>
          </w:p>
        </w:tc>
        <w:tc>
          <w:tcPr>
            <w:tcW w:w="1314" w:type="dxa"/>
            <w:tcBorders>
              <w:top w:val="nil"/>
              <w:left w:val="nil"/>
              <w:bottom w:val="nil"/>
              <w:right w:val="nil"/>
            </w:tcBorders>
            <w:noWrap/>
            <w:vAlign w:val="center"/>
            <w:hideMark/>
          </w:tcPr>
          <w:p w14:paraId="7281CFBE"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143.026.853</w:t>
            </w:r>
          </w:p>
        </w:tc>
        <w:tc>
          <w:tcPr>
            <w:tcW w:w="985" w:type="dxa"/>
            <w:tcBorders>
              <w:top w:val="nil"/>
              <w:left w:val="nil"/>
              <w:bottom w:val="nil"/>
              <w:right w:val="nil"/>
            </w:tcBorders>
            <w:noWrap/>
            <w:vAlign w:val="center"/>
            <w:hideMark/>
          </w:tcPr>
          <w:p w14:paraId="790BA5DB"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8,1%</w:t>
            </w:r>
          </w:p>
        </w:tc>
        <w:tc>
          <w:tcPr>
            <w:tcW w:w="1037" w:type="dxa"/>
            <w:tcBorders>
              <w:top w:val="nil"/>
              <w:left w:val="nil"/>
              <w:bottom w:val="nil"/>
              <w:right w:val="nil"/>
            </w:tcBorders>
            <w:noWrap/>
            <w:vAlign w:val="center"/>
            <w:hideMark/>
          </w:tcPr>
          <w:p w14:paraId="4EE6A9E2"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6,3%</w:t>
            </w:r>
          </w:p>
        </w:tc>
        <w:tc>
          <w:tcPr>
            <w:tcW w:w="1052" w:type="dxa"/>
            <w:tcBorders>
              <w:top w:val="nil"/>
              <w:left w:val="nil"/>
              <w:bottom w:val="nil"/>
              <w:right w:val="nil"/>
            </w:tcBorders>
            <w:noWrap/>
            <w:vAlign w:val="center"/>
            <w:hideMark/>
          </w:tcPr>
          <w:p w14:paraId="02102F87"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0,5%</w:t>
            </w:r>
          </w:p>
        </w:tc>
      </w:tr>
      <w:tr w:rsidR="00B1608A" w:rsidRPr="003B2BAB" w14:paraId="04A30181" w14:textId="77777777" w:rsidTr="004F1CBC">
        <w:trPr>
          <w:trHeight w:val="272"/>
        </w:trPr>
        <w:tc>
          <w:tcPr>
            <w:tcW w:w="3811" w:type="dxa"/>
            <w:tcBorders>
              <w:top w:val="nil"/>
              <w:left w:val="nil"/>
              <w:bottom w:val="nil"/>
              <w:right w:val="nil"/>
            </w:tcBorders>
            <w:noWrap/>
            <w:vAlign w:val="center"/>
            <w:hideMark/>
          </w:tcPr>
          <w:p w14:paraId="7ADEC7FB" w14:textId="77777777" w:rsidR="00B1608A" w:rsidRPr="003B2BAB" w:rsidRDefault="00B1608A" w:rsidP="004F1CBC">
            <w:pPr>
              <w:rPr>
                <w:rFonts w:ascii="Calibri" w:hAnsi="Calibri" w:cs="Calibri"/>
                <w:color w:val="000000"/>
                <w:sz w:val="20"/>
                <w:szCs w:val="20"/>
              </w:rPr>
            </w:pPr>
            <w:r w:rsidRPr="003B2BAB">
              <w:rPr>
                <w:rFonts w:ascii="Calibri" w:hAnsi="Calibri" w:cs="Calibri"/>
                <w:color w:val="000000"/>
                <w:sz w:val="20"/>
                <w:szCs w:val="20"/>
              </w:rPr>
              <w:t xml:space="preserve">Chimica di base, </w:t>
            </w:r>
            <w:proofErr w:type="spellStart"/>
            <w:r w:rsidRPr="003B2BAB">
              <w:rPr>
                <w:rFonts w:ascii="Calibri" w:hAnsi="Calibri" w:cs="Calibri"/>
                <w:color w:val="000000"/>
                <w:sz w:val="20"/>
                <w:szCs w:val="20"/>
              </w:rPr>
              <w:t>fertilizz</w:t>
            </w:r>
            <w:proofErr w:type="spellEnd"/>
            <w:r w:rsidRPr="003B2BAB">
              <w:rPr>
                <w:rFonts w:ascii="Calibri" w:hAnsi="Calibri" w:cs="Calibri"/>
                <w:color w:val="000000"/>
                <w:sz w:val="20"/>
                <w:szCs w:val="20"/>
              </w:rPr>
              <w:t>., plastica e gomma</w:t>
            </w:r>
          </w:p>
        </w:tc>
        <w:tc>
          <w:tcPr>
            <w:tcW w:w="1317" w:type="dxa"/>
            <w:tcBorders>
              <w:top w:val="nil"/>
              <w:left w:val="nil"/>
              <w:bottom w:val="nil"/>
              <w:right w:val="nil"/>
            </w:tcBorders>
            <w:noWrap/>
            <w:vAlign w:val="center"/>
            <w:hideMark/>
          </w:tcPr>
          <w:p w14:paraId="4FAADD98"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57.843.395</w:t>
            </w:r>
          </w:p>
        </w:tc>
        <w:tc>
          <w:tcPr>
            <w:tcW w:w="1314" w:type="dxa"/>
            <w:tcBorders>
              <w:top w:val="nil"/>
              <w:left w:val="nil"/>
              <w:bottom w:val="nil"/>
              <w:right w:val="nil"/>
            </w:tcBorders>
            <w:noWrap/>
            <w:vAlign w:val="center"/>
            <w:hideMark/>
          </w:tcPr>
          <w:p w14:paraId="69040255"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60.499.416</w:t>
            </w:r>
          </w:p>
        </w:tc>
        <w:tc>
          <w:tcPr>
            <w:tcW w:w="985" w:type="dxa"/>
            <w:tcBorders>
              <w:top w:val="nil"/>
              <w:left w:val="nil"/>
              <w:bottom w:val="nil"/>
              <w:right w:val="nil"/>
            </w:tcBorders>
            <w:noWrap/>
            <w:vAlign w:val="center"/>
            <w:hideMark/>
          </w:tcPr>
          <w:p w14:paraId="59DA6938"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3,4%</w:t>
            </w:r>
          </w:p>
        </w:tc>
        <w:tc>
          <w:tcPr>
            <w:tcW w:w="1037" w:type="dxa"/>
            <w:tcBorders>
              <w:top w:val="nil"/>
              <w:left w:val="nil"/>
              <w:bottom w:val="nil"/>
              <w:right w:val="nil"/>
            </w:tcBorders>
            <w:noWrap/>
            <w:vAlign w:val="center"/>
            <w:hideMark/>
          </w:tcPr>
          <w:p w14:paraId="2B036A3A"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4,6%</w:t>
            </w:r>
          </w:p>
        </w:tc>
        <w:tc>
          <w:tcPr>
            <w:tcW w:w="1052" w:type="dxa"/>
            <w:tcBorders>
              <w:top w:val="nil"/>
              <w:left w:val="nil"/>
              <w:bottom w:val="nil"/>
              <w:right w:val="nil"/>
            </w:tcBorders>
            <w:noWrap/>
            <w:vAlign w:val="center"/>
            <w:hideMark/>
          </w:tcPr>
          <w:p w14:paraId="3D0F0797"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0,2%</w:t>
            </w:r>
          </w:p>
        </w:tc>
      </w:tr>
      <w:tr w:rsidR="00B1608A" w:rsidRPr="003B2BAB" w14:paraId="0390E6E4" w14:textId="77777777" w:rsidTr="004F1CBC">
        <w:trPr>
          <w:trHeight w:val="272"/>
        </w:trPr>
        <w:tc>
          <w:tcPr>
            <w:tcW w:w="3811" w:type="dxa"/>
            <w:tcBorders>
              <w:top w:val="nil"/>
              <w:left w:val="nil"/>
              <w:bottom w:val="nil"/>
              <w:right w:val="nil"/>
            </w:tcBorders>
            <w:noWrap/>
            <w:vAlign w:val="center"/>
            <w:hideMark/>
          </w:tcPr>
          <w:p w14:paraId="7C7D5693" w14:textId="77777777" w:rsidR="00B1608A" w:rsidRPr="003B2BAB" w:rsidRDefault="00B1608A" w:rsidP="004F1CBC">
            <w:pPr>
              <w:rPr>
                <w:rFonts w:ascii="Calibri" w:hAnsi="Calibri" w:cs="Calibri"/>
                <w:color w:val="000000"/>
                <w:sz w:val="20"/>
                <w:szCs w:val="20"/>
                <w:highlight w:val="yellow"/>
              </w:rPr>
            </w:pPr>
            <w:r w:rsidRPr="003B2BAB">
              <w:rPr>
                <w:rFonts w:ascii="Calibri" w:hAnsi="Calibri" w:cs="Calibri"/>
                <w:color w:val="000000"/>
                <w:sz w:val="20"/>
                <w:szCs w:val="20"/>
              </w:rPr>
              <w:t>Altre macchine di impiego generale</w:t>
            </w:r>
          </w:p>
        </w:tc>
        <w:tc>
          <w:tcPr>
            <w:tcW w:w="1317" w:type="dxa"/>
            <w:tcBorders>
              <w:top w:val="nil"/>
              <w:left w:val="nil"/>
              <w:bottom w:val="nil"/>
              <w:right w:val="nil"/>
            </w:tcBorders>
            <w:noWrap/>
            <w:vAlign w:val="center"/>
            <w:hideMark/>
          </w:tcPr>
          <w:p w14:paraId="6F6F45C0"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62.627.188</w:t>
            </w:r>
          </w:p>
        </w:tc>
        <w:tc>
          <w:tcPr>
            <w:tcW w:w="1314" w:type="dxa"/>
            <w:tcBorders>
              <w:top w:val="nil"/>
              <w:left w:val="nil"/>
              <w:bottom w:val="nil"/>
              <w:right w:val="nil"/>
            </w:tcBorders>
            <w:noWrap/>
            <w:vAlign w:val="center"/>
            <w:hideMark/>
          </w:tcPr>
          <w:p w14:paraId="1AD3DCCD"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56.254.996</w:t>
            </w:r>
          </w:p>
        </w:tc>
        <w:tc>
          <w:tcPr>
            <w:tcW w:w="985" w:type="dxa"/>
            <w:tcBorders>
              <w:top w:val="nil"/>
              <w:left w:val="nil"/>
              <w:bottom w:val="nil"/>
              <w:right w:val="nil"/>
            </w:tcBorders>
            <w:noWrap/>
            <w:vAlign w:val="center"/>
            <w:hideMark/>
          </w:tcPr>
          <w:p w14:paraId="4CCA564D"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3,2%</w:t>
            </w:r>
          </w:p>
        </w:tc>
        <w:tc>
          <w:tcPr>
            <w:tcW w:w="1037" w:type="dxa"/>
            <w:tcBorders>
              <w:top w:val="nil"/>
              <w:left w:val="nil"/>
              <w:bottom w:val="nil"/>
              <w:right w:val="nil"/>
            </w:tcBorders>
            <w:noWrap/>
            <w:vAlign w:val="center"/>
            <w:hideMark/>
          </w:tcPr>
          <w:p w14:paraId="095D99CC"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-10,2%</w:t>
            </w:r>
          </w:p>
        </w:tc>
        <w:tc>
          <w:tcPr>
            <w:tcW w:w="1052" w:type="dxa"/>
            <w:tcBorders>
              <w:top w:val="nil"/>
              <w:left w:val="nil"/>
              <w:bottom w:val="nil"/>
              <w:right w:val="nil"/>
            </w:tcBorders>
            <w:noWrap/>
            <w:vAlign w:val="center"/>
            <w:hideMark/>
          </w:tcPr>
          <w:p w14:paraId="66E1E812"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-0,4%</w:t>
            </w:r>
          </w:p>
        </w:tc>
      </w:tr>
      <w:tr w:rsidR="00B1608A" w:rsidRPr="003B2BAB" w14:paraId="7BFB605E" w14:textId="77777777" w:rsidTr="004F1CBC">
        <w:trPr>
          <w:trHeight w:val="272"/>
        </w:trPr>
        <w:tc>
          <w:tcPr>
            <w:tcW w:w="3811" w:type="dxa"/>
            <w:tcBorders>
              <w:top w:val="nil"/>
              <w:left w:val="nil"/>
              <w:bottom w:val="nil"/>
              <w:right w:val="nil"/>
            </w:tcBorders>
            <w:noWrap/>
            <w:vAlign w:val="center"/>
            <w:hideMark/>
          </w:tcPr>
          <w:p w14:paraId="68F65EF7" w14:textId="77777777" w:rsidR="00B1608A" w:rsidRPr="003B2BAB" w:rsidRDefault="00B1608A" w:rsidP="004F1CBC">
            <w:pPr>
              <w:rPr>
                <w:rFonts w:ascii="Calibri" w:hAnsi="Calibri" w:cs="Calibri"/>
                <w:color w:val="000000"/>
                <w:sz w:val="20"/>
                <w:szCs w:val="20"/>
              </w:rPr>
            </w:pPr>
            <w:r w:rsidRPr="003B2BAB">
              <w:rPr>
                <w:rFonts w:ascii="Calibri" w:hAnsi="Calibri" w:cs="Calibri"/>
                <w:color w:val="000000"/>
                <w:sz w:val="20"/>
                <w:szCs w:val="20"/>
              </w:rPr>
              <w:t>Calzature</w:t>
            </w:r>
          </w:p>
        </w:tc>
        <w:tc>
          <w:tcPr>
            <w:tcW w:w="1317" w:type="dxa"/>
            <w:tcBorders>
              <w:top w:val="nil"/>
              <w:left w:val="nil"/>
              <w:bottom w:val="nil"/>
              <w:right w:val="nil"/>
            </w:tcBorders>
            <w:noWrap/>
            <w:vAlign w:val="center"/>
            <w:hideMark/>
          </w:tcPr>
          <w:p w14:paraId="4EA61507"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57.097.431</w:t>
            </w:r>
          </w:p>
        </w:tc>
        <w:tc>
          <w:tcPr>
            <w:tcW w:w="1314" w:type="dxa"/>
            <w:tcBorders>
              <w:top w:val="nil"/>
              <w:left w:val="nil"/>
              <w:bottom w:val="nil"/>
              <w:right w:val="nil"/>
            </w:tcBorders>
            <w:noWrap/>
            <w:vAlign w:val="center"/>
            <w:hideMark/>
          </w:tcPr>
          <w:p w14:paraId="54818B94"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55.989.880</w:t>
            </w:r>
          </w:p>
        </w:tc>
        <w:tc>
          <w:tcPr>
            <w:tcW w:w="985" w:type="dxa"/>
            <w:tcBorders>
              <w:top w:val="nil"/>
              <w:left w:val="nil"/>
              <w:bottom w:val="nil"/>
              <w:right w:val="nil"/>
            </w:tcBorders>
            <w:noWrap/>
            <w:vAlign w:val="center"/>
            <w:hideMark/>
          </w:tcPr>
          <w:p w14:paraId="08D48509"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3,2%</w:t>
            </w:r>
          </w:p>
        </w:tc>
        <w:tc>
          <w:tcPr>
            <w:tcW w:w="1037" w:type="dxa"/>
            <w:tcBorders>
              <w:top w:val="nil"/>
              <w:left w:val="nil"/>
              <w:bottom w:val="nil"/>
              <w:right w:val="nil"/>
            </w:tcBorders>
            <w:noWrap/>
            <w:vAlign w:val="center"/>
            <w:hideMark/>
          </w:tcPr>
          <w:p w14:paraId="5C005CB2"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-1,9%</w:t>
            </w:r>
          </w:p>
        </w:tc>
        <w:tc>
          <w:tcPr>
            <w:tcW w:w="1052" w:type="dxa"/>
            <w:tcBorders>
              <w:top w:val="nil"/>
              <w:left w:val="nil"/>
              <w:bottom w:val="nil"/>
              <w:right w:val="nil"/>
            </w:tcBorders>
            <w:noWrap/>
            <w:vAlign w:val="center"/>
            <w:hideMark/>
          </w:tcPr>
          <w:p w14:paraId="14F0FBDF"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-0,1%</w:t>
            </w:r>
          </w:p>
        </w:tc>
      </w:tr>
      <w:tr w:rsidR="00B1608A" w:rsidRPr="003B2BAB" w14:paraId="50D59155" w14:textId="77777777" w:rsidTr="004F1CBC">
        <w:trPr>
          <w:trHeight w:val="272"/>
        </w:trPr>
        <w:tc>
          <w:tcPr>
            <w:tcW w:w="3811" w:type="dxa"/>
            <w:tcBorders>
              <w:top w:val="nil"/>
              <w:left w:val="nil"/>
              <w:bottom w:val="nil"/>
              <w:right w:val="nil"/>
            </w:tcBorders>
            <w:noWrap/>
            <w:vAlign w:val="center"/>
            <w:hideMark/>
          </w:tcPr>
          <w:p w14:paraId="75ACE57D" w14:textId="77777777" w:rsidR="00B1608A" w:rsidRPr="003B2BAB" w:rsidRDefault="00B1608A" w:rsidP="004F1CBC">
            <w:pPr>
              <w:rPr>
                <w:rFonts w:ascii="Calibri" w:hAnsi="Calibri" w:cs="Calibri"/>
                <w:color w:val="000000"/>
                <w:sz w:val="20"/>
                <w:szCs w:val="20"/>
                <w:highlight w:val="yellow"/>
              </w:rPr>
            </w:pPr>
            <w:r w:rsidRPr="003B2BAB">
              <w:rPr>
                <w:rFonts w:ascii="Calibri" w:hAnsi="Calibri" w:cs="Calibri"/>
                <w:color w:val="000000"/>
                <w:sz w:val="20"/>
                <w:szCs w:val="20"/>
              </w:rPr>
              <w:t>Articoli di abbigliamento</w:t>
            </w:r>
          </w:p>
        </w:tc>
        <w:tc>
          <w:tcPr>
            <w:tcW w:w="1317" w:type="dxa"/>
            <w:tcBorders>
              <w:top w:val="nil"/>
              <w:left w:val="nil"/>
              <w:bottom w:val="nil"/>
              <w:right w:val="nil"/>
            </w:tcBorders>
            <w:noWrap/>
            <w:vAlign w:val="center"/>
            <w:hideMark/>
          </w:tcPr>
          <w:p w14:paraId="04ECE99F"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49.649.816</w:t>
            </w:r>
          </w:p>
        </w:tc>
        <w:tc>
          <w:tcPr>
            <w:tcW w:w="1314" w:type="dxa"/>
            <w:tcBorders>
              <w:top w:val="nil"/>
              <w:left w:val="nil"/>
              <w:bottom w:val="nil"/>
              <w:right w:val="nil"/>
            </w:tcBorders>
            <w:noWrap/>
            <w:vAlign w:val="center"/>
            <w:hideMark/>
          </w:tcPr>
          <w:p w14:paraId="0FCB19F5"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54.965.983</w:t>
            </w:r>
          </w:p>
        </w:tc>
        <w:tc>
          <w:tcPr>
            <w:tcW w:w="985" w:type="dxa"/>
            <w:tcBorders>
              <w:top w:val="nil"/>
              <w:left w:val="nil"/>
              <w:bottom w:val="nil"/>
              <w:right w:val="nil"/>
            </w:tcBorders>
            <w:noWrap/>
            <w:vAlign w:val="center"/>
            <w:hideMark/>
          </w:tcPr>
          <w:p w14:paraId="7DAF9162"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3,1%</w:t>
            </w:r>
          </w:p>
        </w:tc>
        <w:tc>
          <w:tcPr>
            <w:tcW w:w="1037" w:type="dxa"/>
            <w:tcBorders>
              <w:top w:val="nil"/>
              <w:left w:val="nil"/>
              <w:bottom w:val="nil"/>
              <w:right w:val="nil"/>
            </w:tcBorders>
            <w:noWrap/>
            <w:vAlign w:val="center"/>
            <w:hideMark/>
          </w:tcPr>
          <w:p w14:paraId="53696472"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10,7%</w:t>
            </w:r>
          </w:p>
        </w:tc>
        <w:tc>
          <w:tcPr>
            <w:tcW w:w="1052" w:type="dxa"/>
            <w:tcBorders>
              <w:top w:val="nil"/>
              <w:left w:val="nil"/>
              <w:bottom w:val="nil"/>
              <w:right w:val="nil"/>
            </w:tcBorders>
            <w:noWrap/>
            <w:vAlign w:val="center"/>
            <w:hideMark/>
          </w:tcPr>
          <w:p w14:paraId="0D3F4F65"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0,3%</w:t>
            </w:r>
          </w:p>
        </w:tc>
      </w:tr>
      <w:tr w:rsidR="00B1608A" w:rsidRPr="003B2BAB" w14:paraId="4EF553B3" w14:textId="77777777" w:rsidTr="004F1CBC">
        <w:trPr>
          <w:trHeight w:val="272"/>
        </w:trPr>
        <w:tc>
          <w:tcPr>
            <w:tcW w:w="3811" w:type="dxa"/>
            <w:tcBorders>
              <w:top w:val="nil"/>
              <w:left w:val="nil"/>
              <w:bottom w:val="nil"/>
              <w:right w:val="nil"/>
            </w:tcBorders>
            <w:noWrap/>
            <w:vAlign w:val="center"/>
            <w:hideMark/>
          </w:tcPr>
          <w:p w14:paraId="2C355A33" w14:textId="77777777" w:rsidR="00B1608A" w:rsidRPr="003B2BAB" w:rsidRDefault="00B1608A" w:rsidP="004F1CBC">
            <w:pPr>
              <w:rPr>
                <w:rFonts w:ascii="Calibri" w:hAnsi="Calibri" w:cs="Calibri"/>
                <w:color w:val="000000"/>
                <w:sz w:val="20"/>
                <w:szCs w:val="20"/>
              </w:rPr>
            </w:pPr>
            <w:r w:rsidRPr="003B2BAB">
              <w:rPr>
                <w:rFonts w:ascii="Calibri" w:hAnsi="Calibri" w:cs="Calibri"/>
                <w:color w:val="000000"/>
                <w:sz w:val="20"/>
                <w:szCs w:val="20"/>
              </w:rPr>
              <w:t>Mobili</w:t>
            </w:r>
          </w:p>
        </w:tc>
        <w:tc>
          <w:tcPr>
            <w:tcW w:w="1317" w:type="dxa"/>
            <w:tcBorders>
              <w:top w:val="nil"/>
              <w:left w:val="nil"/>
              <w:bottom w:val="nil"/>
              <w:right w:val="nil"/>
            </w:tcBorders>
            <w:noWrap/>
            <w:vAlign w:val="center"/>
            <w:hideMark/>
          </w:tcPr>
          <w:p w14:paraId="15D214B9"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42.845.462</w:t>
            </w:r>
          </w:p>
        </w:tc>
        <w:tc>
          <w:tcPr>
            <w:tcW w:w="1314" w:type="dxa"/>
            <w:tcBorders>
              <w:top w:val="nil"/>
              <w:left w:val="nil"/>
              <w:bottom w:val="nil"/>
              <w:right w:val="nil"/>
            </w:tcBorders>
            <w:noWrap/>
            <w:vAlign w:val="center"/>
            <w:hideMark/>
          </w:tcPr>
          <w:p w14:paraId="3771A78B"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37.334.770</w:t>
            </w:r>
          </w:p>
        </w:tc>
        <w:tc>
          <w:tcPr>
            <w:tcW w:w="985" w:type="dxa"/>
            <w:tcBorders>
              <w:top w:val="nil"/>
              <w:left w:val="nil"/>
              <w:bottom w:val="nil"/>
              <w:right w:val="nil"/>
            </w:tcBorders>
            <w:noWrap/>
            <w:vAlign w:val="center"/>
            <w:hideMark/>
          </w:tcPr>
          <w:p w14:paraId="1E354B07"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2,1%</w:t>
            </w:r>
          </w:p>
        </w:tc>
        <w:tc>
          <w:tcPr>
            <w:tcW w:w="1037" w:type="dxa"/>
            <w:tcBorders>
              <w:top w:val="nil"/>
              <w:left w:val="nil"/>
              <w:bottom w:val="nil"/>
              <w:right w:val="nil"/>
            </w:tcBorders>
            <w:noWrap/>
            <w:vAlign w:val="center"/>
            <w:hideMark/>
          </w:tcPr>
          <w:p w14:paraId="7D8C029D"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-12,9%</w:t>
            </w:r>
          </w:p>
        </w:tc>
        <w:tc>
          <w:tcPr>
            <w:tcW w:w="1052" w:type="dxa"/>
            <w:tcBorders>
              <w:top w:val="nil"/>
              <w:left w:val="nil"/>
              <w:bottom w:val="nil"/>
              <w:right w:val="nil"/>
            </w:tcBorders>
            <w:noWrap/>
            <w:vAlign w:val="center"/>
            <w:hideMark/>
          </w:tcPr>
          <w:p w14:paraId="7F4D2E47"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-0,3%</w:t>
            </w:r>
          </w:p>
        </w:tc>
      </w:tr>
      <w:tr w:rsidR="00B1608A" w:rsidRPr="003B2BAB" w14:paraId="3B4642F0" w14:textId="77777777" w:rsidTr="004F1CBC">
        <w:trPr>
          <w:trHeight w:val="272"/>
        </w:trPr>
        <w:tc>
          <w:tcPr>
            <w:tcW w:w="3811" w:type="dxa"/>
            <w:tcBorders>
              <w:top w:val="nil"/>
              <w:left w:val="nil"/>
              <w:bottom w:val="nil"/>
              <w:right w:val="nil"/>
            </w:tcBorders>
            <w:noWrap/>
            <w:vAlign w:val="center"/>
            <w:hideMark/>
          </w:tcPr>
          <w:p w14:paraId="3498E83F" w14:textId="77777777" w:rsidR="00B1608A" w:rsidRPr="003B2BAB" w:rsidRDefault="00B1608A" w:rsidP="004F1CBC">
            <w:pPr>
              <w:rPr>
                <w:rFonts w:ascii="Calibri" w:hAnsi="Calibri" w:cs="Calibri"/>
                <w:color w:val="000000"/>
                <w:sz w:val="20"/>
                <w:szCs w:val="20"/>
              </w:rPr>
            </w:pPr>
            <w:r w:rsidRPr="003B2BAB">
              <w:rPr>
                <w:rFonts w:ascii="Calibri" w:hAnsi="Calibri" w:cs="Calibri"/>
                <w:color w:val="000000"/>
                <w:sz w:val="20"/>
                <w:szCs w:val="20"/>
              </w:rPr>
              <w:t>Altre macchine per impieghi speciali</w:t>
            </w:r>
          </w:p>
        </w:tc>
        <w:tc>
          <w:tcPr>
            <w:tcW w:w="1317" w:type="dxa"/>
            <w:tcBorders>
              <w:top w:val="nil"/>
              <w:left w:val="nil"/>
              <w:bottom w:val="nil"/>
              <w:right w:val="nil"/>
            </w:tcBorders>
            <w:noWrap/>
            <w:vAlign w:val="center"/>
            <w:hideMark/>
          </w:tcPr>
          <w:p w14:paraId="69129A24"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30.853.265</w:t>
            </w:r>
          </w:p>
        </w:tc>
        <w:tc>
          <w:tcPr>
            <w:tcW w:w="1314" w:type="dxa"/>
            <w:tcBorders>
              <w:top w:val="nil"/>
              <w:left w:val="nil"/>
              <w:bottom w:val="nil"/>
              <w:right w:val="nil"/>
            </w:tcBorders>
            <w:noWrap/>
            <w:vAlign w:val="center"/>
            <w:hideMark/>
          </w:tcPr>
          <w:p w14:paraId="09B04E71"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36.747.830</w:t>
            </w:r>
          </w:p>
        </w:tc>
        <w:tc>
          <w:tcPr>
            <w:tcW w:w="985" w:type="dxa"/>
            <w:tcBorders>
              <w:top w:val="nil"/>
              <w:left w:val="nil"/>
              <w:bottom w:val="nil"/>
              <w:right w:val="nil"/>
            </w:tcBorders>
            <w:noWrap/>
            <w:vAlign w:val="center"/>
            <w:hideMark/>
          </w:tcPr>
          <w:p w14:paraId="4BBE0617"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2,1%</w:t>
            </w:r>
          </w:p>
        </w:tc>
        <w:tc>
          <w:tcPr>
            <w:tcW w:w="1037" w:type="dxa"/>
            <w:tcBorders>
              <w:top w:val="nil"/>
              <w:left w:val="nil"/>
              <w:bottom w:val="nil"/>
              <w:right w:val="nil"/>
            </w:tcBorders>
            <w:noWrap/>
            <w:vAlign w:val="center"/>
            <w:hideMark/>
          </w:tcPr>
          <w:p w14:paraId="53FC6D4E"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19,1%</w:t>
            </w:r>
          </w:p>
        </w:tc>
        <w:tc>
          <w:tcPr>
            <w:tcW w:w="1052" w:type="dxa"/>
            <w:tcBorders>
              <w:top w:val="nil"/>
              <w:left w:val="nil"/>
              <w:bottom w:val="nil"/>
              <w:right w:val="nil"/>
            </w:tcBorders>
            <w:noWrap/>
            <w:vAlign w:val="center"/>
            <w:hideMark/>
          </w:tcPr>
          <w:p w14:paraId="15FA3815"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0,3%</w:t>
            </w:r>
          </w:p>
        </w:tc>
      </w:tr>
      <w:tr w:rsidR="00B1608A" w:rsidRPr="003B2BAB" w14:paraId="08EC4D53" w14:textId="77777777" w:rsidTr="004F1CBC">
        <w:trPr>
          <w:trHeight w:val="272"/>
        </w:trPr>
        <w:tc>
          <w:tcPr>
            <w:tcW w:w="3811" w:type="dxa"/>
            <w:tcBorders>
              <w:top w:val="nil"/>
              <w:left w:val="nil"/>
              <w:bottom w:val="nil"/>
              <w:right w:val="nil"/>
            </w:tcBorders>
            <w:noWrap/>
            <w:vAlign w:val="center"/>
            <w:hideMark/>
          </w:tcPr>
          <w:p w14:paraId="1182CBB4" w14:textId="77777777" w:rsidR="00B1608A" w:rsidRPr="003B2BAB" w:rsidRDefault="00B1608A" w:rsidP="004F1CBC">
            <w:pPr>
              <w:rPr>
                <w:rFonts w:ascii="Calibri" w:hAnsi="Calibri" w:cs="Calibri"/>
                <w:color w:val="000000"/>
                <w:sz w:val="20"/>
                <w:szCs w:val="20"/>
              </w:rPr>
            </w:pPr>
            <w:r w:rsidRPr="003B2BAB">
              <w:rPr>
                <w:rFonts w:ascii="Calibri" w:hAnsi="Calibri" w:cs="Calibri"/>
                <w:color w:val="000000"/>
                <w:sz w:val="20"/>
                <w:szCs w:val="20"/>
              </w:rPr>
              <w:t>Vetro e prodotti in vetro</w:t>
            </w:r>
          </w:p>
        </w:tc>
        <w:tc>
          <w:tcPr>
            <w:tcW w:w="1317" w:type="dxa"/>
            <w:tcBorders>
              <w:top w:val="nil"/>
              <w:left w:val="nil"/>
              <w:bottom w:val="nil"/>
              <w:right w:val="nil"/>
            </w:tcBorders>
            <w:noWrap/>
            <w:vAlign w:val="center"/>
            <w:hideMark/>
          </w:tcPr>
          <w:p w14:paraId="61CD7C0D"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20.128.024</w:t>
            </w:r>
          </w:p>
        </w:tc>
        <w:tc>
          <w:tcPr>
            <w:tcW w:w="1314" w:type="dxa"/>
            <w:tcBorders>
              <w:top w:val="nil"/>
              <w:left w:val="nil"/>
              <w:bottom w:val="nil"/>
              <w:right w:val="nil"/>
            </w:tcBorders>
            <w:noWrap/>
            <w:vAlign w:val="center"/>
            <w:hideMark/>
          </w:tcPr>
          <w:p w14:paraId="231CD963"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34.272.180</w:t>
            </w:r>
          </w:p>
        </w:tc>
        <w:tc>
          <w:tcPr>
            <w:tcW w:w="985" w:type="dxa"/>
            <w:tcBorders>
              <w:top w:val="nil"/>
              <w:left w:val="nil"/>
              <w:bottom w:val="nil"/>
              <w:right w:val="nil"/>
            </w:tcBorders>
            <w:noWrap/>
            <w:vAlign w:val="center"/>
            <w:hideMark/>
          </w:tcPr>
          <w:p w14:paraId="24CC7C90"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1,9%</w:t>
            </w:r>
          </w:p>
        </w:tc>
        <w:tc>
          <w:tcPr>
            <w:tcW w:w="1037" w:type="dxa"/>
            <w:tcBorders>
              <w:top w:val="nil"/>
              <w:left w:val="nil"/>
              <w:bottom w:val="nil"/>
              <w:right w:val="nil"/>
            </w:tcBorders>
            <w:noWrap/>
            <w:vAlign w:val="center"/>
            <w:hideMark/>
          </w:tcPr>
          <w:p w14:paraId="53D372BC"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70,3%</w:t>
            </w:r>
          </w:p>
        </w:tc>
        <w:tc>
          <w:tcPr>
            <w:tcW w:w="1052" w:type="dxa"/>
            <w:tcBorders>
              <w:top w:val="nil"/>
              <w:left w:val="nil"/>
              <w:bottom w:val="nil"/>
              <w:right w:val="nil"/>
            </w:tcBorders>
            <w:noWrap/>
            <w:vAlign w:val="center"/>
            <w:hideMark/>
          </w:tcPr>
          <w:p w14:paraId="71E568A4"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0,8%</w:t>
            </w:r>
          </w:p>
        </w:tc>
      </w:tr>
      <w:tr w:rsidR="00B1608A" w:rsidRPr="003B2BAB" w14:paraId="5E403DB3" w14:textId="77777777" w:rsidTr="004F1CBC">
        <w:trPr>
          <w:trHeight w:val="272"/>
        </w:trPr>
        <w:tc>
          <w:tcPr>
            <w:tcW w:w="3811" w:type="dxa"/>
            <w:tcBorders>
              <w:top w:val="nil"/>
              <w:left w:val="nil"/>
              <w:bottom w:val="nil"/>
              <w:right w:val="nil"/>
            </w:tcBorders>
            <w:noWrap/>
            <w:vAlign w:val="center"/>
            <w:hideMark/>
          </w:tcPr>
          <w:p w14:paraId="6C5F126F" w14:textId="77777777" w:rsidR="00B1608A" w:rsidRPr="003B2BAB" w:rsidRDefault="00B1608A" w:rsidP="004F1CBC">
            <w:pPr>
              <w:rPr>
                <w:rFonts w:ascii="Calibri" w:hAnsi="Calibri" w:cs="Calibri"/>
                <w:color w:val="000000"/>
                <w:sz w:val="20"/>
                <w:szCs w:val="20"/>
              </w:rPr>
            </w:pPr>
            <w:r w:rsidRPr="003B2BAB">
              <w:rPr>
                <w:rFonts w:ascii="Calibri" w:hAnsi="Calibri" w:cs="Calibri"/>
                <w:color w:val="000000"/>
                <w:sz w:val="20"/>
                <w:szCs w:val="20"/>
              </w:rPr>
              <w:t>Bevande</w:t>
            </w:r>
          </w:p>
        </w:tc>
        <w:tc>
          <w:tcPr>
            <w:tcW w:w="1317" w:type="dxa"/>
            <w:tcBorders>
              <w:top w:val="nil"/>
              <w:left w:val="nil"/>
              <w:bottom w:val="nil"/>
              <w:right w:val="nil"/>
            </w:tcBorders>
            <w:noWrap/>
            <w:vAlign w:val="center"/>
            <w:hideMark/>
          </w:tcPr>
          <w:p w14:paraId="16532FC0"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36.570.513</w:t>
            </w:r>
          </w:p>
        </w:tc>
        <w:tc>
          <w:tcPr>
            <w:tcW w:w="1314" w:type="dxa"/>
            <w:tcBorders>
              <w:top w:val="nil"/>
              <w:left w:val="nil"/>
              <w:bottom w:val="nil"/>
              <w:right w:val="nil"/>
            </w:tcBorders>
            <w:noWrap/>
            <w:vAlign w:val="center"/>
            <w:hideMark/>
          </w:tcPr>
          <w:p w14:paraId="105BA34F"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33.513.766</w:t>
            </w:r>
          </w:p>
        </w:tc>
        <w:tc>
          <w:tcPr>
            <w:tcW w:w="985" w:type="dxa"/>
            <w:tcBorders>
              <w:top w:val="nil"/>
              <w:left w:val="nil"/>
              <w:bottom w:val="nil"/>
              <w:right w:val="nil"/>
            </w:tcBorders>
            <w:noWrap/>
            <w:vAlign w:val="center"/>
            <w:hideMark/>
          </w:tcPr>
          <w:p w14:paraId="2694B6E9"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1,9%</w:t>
            </w:r>
          </w:p>
        </w:tc>
        <w:tc>
          <w:tcPr>
            <w:tcW w:w="1037" w:type="dxa"/>
            <w:tcBorders>
              <w:top w:val="nil"/>
              <w:left w:val="nil"/>
              <w:bottom w:val="nil"/>
              <w:right w:val="nil"/>
            </w:tcBorders>
            <w:noWrap/>
            <w:vAlign w:val="center"/>
            <w:hideMark/>
          </w:tcPr>
          <w:p w14:paraId="3239DEBD"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-8,4%</w:t>
            </w:r>
          </w:p>
        </w:tc>
        <w:tc>
          <w:tcPr>
            <w:tcW w:w="1052" w:type="dxa"/>
            <w:tcBorders>
              <w:top w:val="nil"/>
              <w:left w:val="nil"/>
              <w:bottom w:val="nil"/>
              <w:right w:val="nil"/>
            </w:tcBorders>
            <w:noWrap/>
            <w:vAlign w:val="center"/>
            <w:hideMark/>
          </w:tcPr>
          <w:p w14:paraId="7122C72F"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-0,2%</w:t>
            </w:r>
          </w:p>
        </w:tc>
      </w:tr>
      <w:tr w:rsidR="00B1608A" w:rsidRPr="003B2BAB" w14:paraId="41565B9B" w14:textId="77777777" w:rsidTr="004F1CBC">
        <w:trPr>
          <w:trHeight w:val="272"/>
        </w:trPr>
        <w:tc>
          <w:tcPr>
            <w:tcW w:w="3811" w:type="dxa"/>
            <w:tcBorders>
              <w:top w:val="nil"/>
              <w:left w:val="nil"/>
              <w:bottom w:val="nil"/>
              <w:right w:val="nil"/>
            </w:tcBorders>
            <w:noWrap/>
            <w:vAlign w:val="center"/>
            <w:hideMark/>
          </w:tcPr>
          <w:p w14:paraId="618BDDF5" w14:textId="77777777" w:rsidR="00B1608A" w:rsidRPr="003B2BAB" w:rsidRDefault="00B1608A" w:rsidP="004F1CBC">
            <w:pPr>
              <w:rPr>
                <w:rFonts w:ascii="Calibri" w:hAnsi="Calibri" w:cs="Calibri"/>
                <w:color w:val="000000"/>
                <w:sz w:val="20"/>
                <w:szCs w:val="20"/>
                <w:highlight w:val="yellow"/>
              </w:rPr>
            </w:pPr>
            <w:r w:rsidRPr="003B2BAB">
              <w:rPr>
                <w:rFonts w:ascii="Calibri" w:hAnsi="Calibri" w:cs="Calibri"/>
                <w:color w:val="000000"/>
                <w:sz w:val="20"/>
                <w:szCs w:val="20"/>
              </w:rPr>
              <w:t>Altri prodotti chimici</w:t>
            </w:r>
          </w:p>
        </w:tc>
        <w:tc>
          <w:tcPr>
            <w:tcW w:w="1317" w:type="dxa"/>
            <w:tcBorders>
              <w:top w:val="nil"/>
              <w:left w:val="nil"/>
              <w:bottom w:val="nil"/>
              <w:right w:val="nil"/>
            </w:tcBorders>
            <w:noWrap/>
            <w:vAlign w:val="center"/>
            <w:hideMark/>
          </w:tcPr>
          <w:p w14:paraId="4DCEE95A"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32.696.798</w:t>
            </w:r>
          </w:p>
        </w:tc>
        <w:tc>
          <w:tcPr>
            <w:tcW w:w="1314" w:type="dxa"/>
            <w:tcBorders>
              <w:top w:val="nil"/>
              <w:left w:val="nil"/>
              <w:bottom w:val="nil"/>
              <w:right w:val="nil"/>
            </w:tcBorders>
            <w:noWrap/>
            <w:vAlign w:val="center"/>
            <w:hideMark/>
          </w:tcPr>
          <w:p w14:paraId="15DB0A5F"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26.413.155</w:t>
            </w:r>
          </w:p>
        </w:tc>
        <w:tc>
          <w:tcPr>
            <w:tcW w:w="985" w:type="dxa"/>
            <w:tcBorders>
              <w:top w:val="nil"/>
              <w:left w:val="nil"/>
              <w:bottom w:val="nil"/>
              <w:right w:val="nil"/>
            </w:tcBorders>
            <w:noWrap/>
            <w:vAlign w:val="center"/>
            <w:hideMark/>
          </w:tcPr>
          <w:p w14:paraId="0F29AED7"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1,5%</w:t>
            </w:r>
          </w:p>
        </w:tc>
        <w:tc>
          <w:tcPr>
            <w:tcW w:w="1037" w:type="dxa"/>
            <w:tcBorders>
              <w:top w:val="nil"/>
              <w:left w:val="nil"/>
              <w:bottom w:val="nil"/>
              <w:right w:val="nil"/>
            </w:tcBorders>
            <w:noWrap/>
            <w:vAlign w:val="center"/>
            <w:hideMark/>
          </w:tcPr>
          <w:p w14:paraId="4D2516CB"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-19,2%</w:t>
            </w:r>
          </w:p>
        </w:tc>
        <w:tc>
          <w:tcPr>
            <w:tcW w:w="1052" w:type="dxa"/>
            <w:tcBorders>
              <w:top w:val="nil"/>
              <w:left w:val="nil"/>
              <w:bottom w:val="nil"/>
              <w:right w:val="nil"/>
            </w:tcBorders>
            <w:noWrap/>
            <w:vAlign w:val="center"/>
            <w:hideMark/>
          </w:tcPr>
          <w:p w14:paraId="22E8356D"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-0,4%</w:t>
            </w:r>
          </w:p>
        </w:tc>
      </w:tr>
      <w:tr w:rsidR="00B1608A" w:rsidRPr="003B2BAB" w14:paraId="75FA97DC" w14:textId="77777777" w:rsidTr="004F1CBC">
        <w:trPr>
          <w:trHeight w:val="272"/>
        </w:trPr>
        <w:tc>
          <w:tcPr>
            <w:tcW w:w="3811" w:type="dxa"/>
            <w:tcBorders>
              <w:top w:val="nil"/>
              <w:left w:val="nil"/>
              <w:bottom w:val="nil"/>
              <w:right w:val="nil"/>
            </w:tcBorders>
            <w:noWrap/>
            <w:vAlign w:val="center"/>
            <w:hideMark/>
          </w:tcPr>
          <w:p w14:paraId="29052E50" w14:textId="77777777" w:rsidR="00B1608A" w:rsidRPr="003B2BAB" w:rsidRDefault="00B1608A" w:rsidP="004F1CBC">
            <w:pPr>
              <w:rPr>
                <w:rFonts w:ascii="Calibri" w:hAnsi="Calibri" w:cs="Calibri"/>
                <w:color w:val="000000"/>
                <w:sz w:val="20"/>
                <w:szCs w:val="20"/>
              </w:rPr>
            </w:pPr>
            <w:r w:rsidRPr="003B2BAB">
              <w:rPr>
                <w:rFonts w:ascii="Calibri" w:hAnsi="Calibri" w:cs="Calibri"/>
                <w:color w:val="000000"/>
                <w:sz w:val="20"/>
                <w:szCs w:val="20"/>
              </w:rPr>
              <w:t>Utensili e oggetti di ferramenta</w:t>
            </w:r>
          </w:p>
        </w:tc>
        <w:tc>
          <w:tcPr>
            <w:tcW w:w="1317" w:type="dxa"/>
            <w:tcBorders>
              <w:top w:val="nil"/>
              <w:left w:val="nil"/>
              <w:bottom w:val="nil"/>
              <w:right w:val="nil"/>
            </w:tcBorders>
            <w:noWrap/>
            <w:vAlign w:val="center"/>
            <w:hideMark/>
          </w:tcPr>
          <w:p w14:paraId="46CE8735"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24.635.885</w:t>
            </w:r>
          </w:p>
        </w:tc>
        <w:tc>
          <w:tcPr>
            <w:tcW w:w="1314" w:type="dxa"/>
            <w:tcBorders>
              <w:top w:val="nil"/>
              <w:left w:val="nil"/>
              <w:bottom w:val="nil"/>
              <w:right w:val="nil"/>
            </w:tcBorders>
            <w:noWrap/>
            <w:vAlign w:val="center"/>
            <w:hideMark/>
          </w:tcPr>
          <w:p w14:paraId="7C25D56A"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25.776.426</w:t>
            </w:r>
          </w:p>
        </w:tc>
        <w:tc>
          <w:tcPr>
            <w:tcW w:w="985" w:type="dxa"/>
            <w:tcBorders>
              <w:top w:val="nil"/>
              <w:left w:val="nil"/>
              <w:bottom w:val="nil"/>
              <w:right w:val="nil"/>
            </w:tcBorders>
            <w:noWrap/>
            <w:vAlign w:val="center"/>
            <w:hideMark/>
          </w:tcPr>
          <w:p w14:paraId="5279498E"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1,5%</w:t>
            </w:r>
          </w:p>
        </w:tc>
        <w:tc>
          <w:tcPr>
            <w:tcW w:w="1037" w:type="dxa"/>
            <w:tcBorders>
              <w:top w:val="nil"/>
              <w:left w:val="nil"/>
              <w:bottom w:val="nil"/>
              <w:right w:val="nil"/>
            </w:tcBorders>
            <w:noWrap/>
            <w:vAlign w:val="center"/>
            <w:hideMark/>
          </w:tcPr>
          <w:p w14:paraId="1207A4C8"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4,6%</w:t>
            </w:r>
          </w:p>
        </w:tc>
        <w:tc>
          <w:tcPr>
            <w:tcW w:w="1052" w:type="dxa"/>
            <w:tcBorders>
              <w:top w:val="nil"/>
              <w:left w:val="nil"/>
              <w:bottom w:val="nil"/>
              <w:right w:val="nil"/>
            </w:tcBorders>
            <w:noWrap/>
            <w:vAlign w:val="center"/>
            <w:hideMark/>
          </w:tcPr>
          <w:p w14:paraId="4A49381D"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0,1%</w:t>
            </w:r>
          </w:p>
        </w:tc>
      </w:tr>
      <w:tr w:rsidR="00B1608A" w:rsidRPr="003B2BAB" w14:paraId="40034354" w14:textId="77777777" w:rsidTr="004F1CBC">
        <w:trPr>
          <w:trHeight w:val="272"/>
        </w:trPr>
        <w:tc>
          <w:tcPr>
            <w:tcW w:w="3811" w:type="dxa"/>
            <w:tcBorders>
              <w:top w:val="nil"/>
              <w:left w:val="nil"/>
              <w:bottom w:val="nil"/>
              <w:right w:val="nil"/>
            </w:tcBorders>
            <w:noWrap/>
            <w:vAlign w:val="center"/>
            <w:hideMark/>
          </w:tcPr>
          <w:p w14:paraId="29A0BF45" w14:textId="77777777" w:rsidR="00B1608A" w:rsidRPr="003B2BAB" w:rsidRDefault="00B1608A" w:rsidP="004F1CBC">
            <w:pPr>
              <w:rPr>
                <w:rFonts w:ascii="Calibri" w:hAnsi="Calibri" w:cs="Calibri"/>
                <w:color w:val="000000"/>
                <w:sz w:val="20"/>
                <w:szCs w:val="20"/>
                <w:highlight w:val="yellow"/>
              </w:rPr>
            </w:pPr>
            <w:r w:rsidRPr="003B2BAB">
              <w:rPr>
                <w:rFonts w:ascii="Calibri" w:hAnsi="Calibri" w:cs="Calibri"/>
                <w:color w:val="000000"/>
                <w:sz w:val="20"/>
                <w:szCs w:val="20"/>
              </w:rPr>
              <w:t>Prodotti della raffinazione del petrolio</w:t>
            </w:r>
          </w:p>
        </w:tc>
        <w:tc>
          <w:tcPr>
            <w:tcW w:w="1317" w:type="dxa"/>
            <w:tcBorders>
              <w:top w:val="nil"/>
              <w:left w:val="nil"/>
              <w:bottom w:val="nil"/>
              <w:right w:val="nil"/>
            </w:tcBorders>
            <w:noWrap/>
            <w:vAlign w:val="center"/>
            <w:hideMark/>
          </w:tcPr>
          <w:p w14:paraId="16D686B9"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18.271.979</w:t>
            </w:r>
          </w:p>
        </w:tc>
        <w:tc>
          <w:tcPr>
            <w:tcW w:w="1314" w:type="dxa"/>
            <w:tcBorders>
              <w:top w:val="nil"/>
              <w:left w:val="nil"/>
              <w:bottom w:val="nil"/>
              <w:right w:val="nil"/>
            </w:tcBorders>
            <w:noWrap/>
            <w:vAlign w:val="center"/>
            <w:hideMark/>
          </w:tcPr>
          <w:p w14:paraId="3EFB13B7"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24.261.968</w:t>
            </w:r>
          </w:p>
        </w:tc>
        <w:tc>
          <w:tcPr>
            <w:tcW w:w="985" w:type="dxa"/>
            <w:tcBorders>
              <w:top w:val="nil"/>
              <w:left w:val="nil"/>
              <w:bottom w:val="nil"/>
              <w:right w:val="nil"/>
            </w:tcBorders>
            <w:noWrap/>
            <w:vAlign w:val="center"/>
            <w:hideMark/>
          </w:tcPr>
          <w:p w14:paraId="41302946"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1,4%</w:t>
            </w:r>
          </w:p>
        </w:tc>
        <w:tc>
          <w:tcPr>
            <w:tcW w:w="1037" w:type="dxa"/>
            <w:tcBorders>
              <w:top w:val="nil"/>
              <w:left w:val="nil"/>
              <w:bottom w:val="nil"/>
              <w:right w:val="nil"/>
            </w:tcBorders>
            <w:noWrap/>
            <w:vAlign w:val="center"/>
            <w:hideMark/>
          </w:tcPr>
          <w:p w14:paraId="6FAC3B71" w14:textId="77777777" w:rsidR="00B1608A" w:rsidRPr="003B2BAB" w:rsidRDefault="00B1608A" w:rsidP="004F1CBC">
            <w:pPr>
              <w:jc w:val="center"/>
              <w:rPr>
                <w:rFonts w:ascii="Calibri" w:hAnsi="Calibri" w:cs="Calibri"/>
                <w:color w:val="000000"/>
                <w:sz w:val="20"/>
                <w:szCs w:val="20"/>
              </w:rPr>
            </w:pPr>
            <w:r w:rsidRPr="003B2BAB">
              <w:rPr>
                <w:rFonts w:ascii="Calibri" w:hAnsi="Calibri" w:cs="Calibri"/>
                <w:color w:val="000000"/>
                <w:sz w:val="20"/>
                <w:szCs w:val="20"/>
              </w:rPr>
              <w:t>32,8%</w:t>
            </w:r>
          </w:p>
        </w:tc>
        <w:tc>
          <w:tcPr>
            <w:tcW w:w="1052" w:type="dxa"/>
            <w:tcBorders>
              <w:top w:val="nil"/>
              <w:left w:val="nil"/>
              <w:bottom w:val="nil"/>
              <w:right w:val="nil"/>
            </w:tcBorders>
            <w:noWrap/>
            <w:vAlign w:val="center"/>
            <w:hideMark/>
          </w:tcPr>
          <w:p w14:paraId="3D715629" w14:textId="77777777" w:rsidR="00B1608A" w:rsidRPr="003B2BAB" w:rsidRDefault="00B1608A" w:rsidP="004F1CBC">
            <w:pPr>
              <w:jc w:val="center"/>
              <w:rPr>
                <w:rFonts w:ascii="Calibri" w:hAnsi="Calibri" w:cs="Calibri"/>
                <w:i/>
                <w:iCs/>
                <w:color w:val="000000"/>
                <w:sz w:val="20"/>
                <w:szCs w:val="20"/>
              </w:rPr>
            </w:pPr>
            <w:r w:rsidRPr="003B2BAB">
              <w:rPr>
                <w:rFonts w:ascii="Calibri" w:hAnsi="Calibri" w:cs="Calibri"/>
                <w:i/>
                <w:iCs/>
                <w:color w:val="000000"/>
                <w:sz w:val="20"/>
                <w:szCs w:val="20"/>
              </w:rPr>
              <w:t>0,3%</w:t>
            </w:r>
          </w:p>
        </w:tc>
      </w:tr>
      <w:tr w:rsidR="00B1608A" w:rsidRPr="003B2BAB" w14:paraId="61559E0F" w14:textId="77777777" w:rsidTr="004F1CBC">
        <w:trPr>
          <w:trHeight w:val="272"/>
        </w:trPr>
        <w:tc>
          <w:tcPr>
            <w:tcW w:w="3811" w:type="dxa"/>
            <w:tcBorders>
              <w:top w:val="nil"/>
              <w:left w:val="nil"/>
              <w:bottom w:val="nil"/>
              <w:right w:val="nil"/>
            </w:tcBorders>
            <w:noWrap/>
            <w:vAlign w:val="center"/>
            <w:hideMark/>
          </w:tcPr>
          <w:p w14:paraId="583ABE96" w14:textId="77777777" w:rsidR="00B1608A" w:rsidRPr="003B2BAB" w:rsidRDefault="00B1608A" w:rsidP="004F1CBC">
            <w:pPr>
              <w:rPr>
                <w:rFonts w:ascii="Calibri" w:hAnsi="Calibri" w:cs="Calibri"/>
                <w:sz w:val="20"/>
                <w:szCs w:val="20"/>
              </w:rPr>
            </w:pPr>
            <w:r w:rsidRPr="003B2BAB">
              <w:rPr>
                <w:rFonts w:ascii="Calibri" w:hAnsi="Calibri" w:cs="Calibri"/>
                <w:sz w:val="20"/>
                <w:szCs w:val="20"/>
              </w:rPr>
              <w:t>Altro</w:t>
            </w:r>
          </w:p>
        </w:tc>
        <w:tc>
          <w:tcPr>
            <w:tcW w:w="1317" w:type="dxa"/>
            <w:tcBorders>
              <w:top w:val="nil"/>
              <w:left w:val="nil"/>
              <w:bottom w:val="nil"/>
              <w:right w:val="nil"/>
            </w:tcBorders>
            <w:noWrap/>
            <w:vAlign w:val="center"/>
            <w:hideMark/>
          </w:tcPr>
          <w:p w14:paraId="60AE6EDC" w14:textId="77777777" w:rsidR="00B1608A" w:rsidRPr="003B2BAB" w:rsidRDefault="00B1608A" w:rsidP="004F1CBC">
            <w:pPr>
              <w:jc w:val="center"/>
              <w:rPr>
                <w:rFonts w:ascii="Calibri" w:hAnsi="Calibri" w:cs="Calibri"/>
                <w:sz w:val="20"/>
                <w:szCs w:val="20"/>
              </w:rPr>
            </w:pPr>
            <w:r w:rsidRPr="003B2BAB">
              <w:rPr>
                <w:rFonts w:ascii="Calibri" w:hAnsi="Calibri" w:cs="Calibri"/>
                <w:sz w:val="20"/>
                <w:szCs w:val="20"/>
              </w:rPr>
              <w:t>336.928.550</w:t>
            </w:r>
          </w:p>
        </w:tc>
        <w:tc>
          <w:tcPr>
            <w:tcW w:w="1314" w:type="dxa"/>
            <w:tcBorders>
              <w:top w:val="nil"/>
              <w:left w:val="nil"/>
              <w:bottom w:val="nil"/>
              <w:right w:val="nil"/>
            </w:tcBorders>
            <w:noWrap/>
            <w:vAlign w:val="center"/>
            <w:hideMark/>
          </w:tcPr>
          <w:p w14:paraId="1EDFDD1E" w14:textId="77777777" w:rsidR="00B1608A" w:rsidRPr="003B2BAB" w:rsidRDefault="00B1608A" w:rsidP="004F1CBC">
            <w:pPr>
              <w:jc w:val="center"/>
              <w:rPr>
                <w:rFonts w:ascii="Calibri" w:hAnsi="Calibri" w:cs="Calibri"/>
                <w:sz w:val="20"/>
                <w:szCs w:val="20"/>
              </w:rPr>
            </w:pPr>
            <w:r w:rsidRPr="003B2BAB">
              <w:rPr>
                <w:rFonts w:ascii="Calibri" w:hAnsi="Calibri" w:cs="Calibri"/>
                <w:sz w:val="20"/>
                <w:szCs w:val="20"/>
              </w:rPr>
              <w:t>361.923.693</w:t>
            </w:r>
          </w:p>
        </w:tc>
        <w:tc>
          <w:tcPr>
            <w:tcW w:w="985" w:type="dxa"/>
            <w:tcBorders>
              <w:top w:val="nil"/>
              <w:left w:val="nil"/>
              <w:bottom w:val="nil"/>
              <w:right w:val="nil"/>
            </w:tcBorders>
            <w:noWrap/>
            <w:vAlign w:val="center"/>
            <w:hideMark/>
          </w:tcPr>
          <w:p w14:paraId="0D3290A8" w14:textId="77777777" w:rsidR="00B1608A" w:rsidRPr="003B2BAB" w:rsidRDefault="00B1608A" w:rsidP="004F1CBC">
            <w:pPr>
              <w:jc w:val="center"/>
              <w:rPr>
                <w:rFonts w:ascii="Calibri" w:hAnsi="Calibri" w:cs="Calibri"/>
                <w:sz w:val="20"/>
                <w:szCs w:val="20"/>
              </w:rPr>
            </w:pPr>
            <w:r w:rsidRPr="003B2BAB">
              <w:rPr>
                <w:rFonts w:ascii="Calibri" w:hAnsi="Calibri" w:cs="Calibri"/>
                <w:sz w:val="20"/>
                <w:szCs w:val="20"/>
              </w:rPr>
              <w:t>20,5%</w:t>
            </w:r>
          </w:p>
        </w:tc>
        <w:tc>
          <w:tcPr>
            <w:tcW w:w="1037" w:type="dxa"/>
            <w:tcBorders>
              <w:top w:val="nil"/>
              <w:left w:val="nil"/>
              <w:bottom w:val="nil"/>
              <w:right w:val="nil"/>
            </w:tcBorders>
            <w:noWrap/>
            <w:vAlign w:val="center"/>
            <w:hideMark/>
          </w:tcPr>
          <w:p w14:paraId="67E43ED1" w14:textId="77777777" w:rsidR="00B1608A" w:rsidRPr="003B2BAB" w:rsidRDefault="00B1608A" w:rsidP="004F1CBC">
            <w:pPr>
              <w:jc w:val="center"/>
              <w:rPr>
                <w:rFonts w:ascii="Calibri" w:hAnsi="Calibri" w:cs="Calibri"/>
                <w:sz w:val="20"/>
                <w:szCs w:val="20"/>
              </w:rPr>
            </w:pPr>
            <w:r w:rsidRPr="003B2BAB">
              <w:rPr>
                <w:rFonts w:ascii="Calibri" w:hAnsi="Calibri" w:cs="Calibri"/>
                <w:sz w:val="20"/>
                <w:szCs w:val="20"/>
              </w:rPr>
              <w:t>7,4%</w:t>
            </w:r>
          </w:p>
        </w:tc>
        <w:tc>
          <w:tcPr>
            <w:tcW w:w="1052" w:type="dxa"/>
            <w:tcBorders>
              <w:top w:val="nil"/>
              <w:left w:val="nil"/>
              <w:bottom w:val="nil"/>
              <w:right w:val="nil"/>
            </w:tcBorders>
            <w:noWrap/>
            <w:vAlign w:val="center"/>
            <w:hideMark/>
          </w:tcPr>
          <w:p w14:paraId="3A4AC433" w14:textId="77777777" w:rsidR="00B1608A" w:rsidRPr="003B2BAB" w:rsidRDefault="00B1608A" w:rsidP="004F1CBC">
            <w:pPr>
              <w:jc w:val="center"/>
              <w:rPr>
                <w:rFonts w:ascii="Calibri" w:hAnsi="Calibri" w:cs="Calibri"/>
                <w:i/>
                <w:iCs/>
                <w:sz w:val="20"/>
                <w:szCs w:val="20"/>
              </w:rPr>
            </w:pPr>
            <w:r w:rsidRPr="003B2BAB">
              <w:rPr>
                <w:rFonts w:ascii="Calibri" w:hAnsi="Calibri" w:cs="Calibri"/>
                <w:i/>
                <w:iCs/>
                <w:sz w:val="20"/>
                <w:szCs w:val="20"/>
              </w:rPr>
              <w:t>1,4%</w:t>
            </w:r>
          </w:p>
        </w:tc>
      </w:tr>
      <w:tr w:rsidR="00B1608A" w:rsidRPr="003B2BAB" w14:paraId="0F6AC2F6" w14:textId="77777777" w:rsidTr="004F1CBC">
        <w:trPr>
          <w:trHeight w:val="272"/>
        </w:trPr>
        <w:tc>
          <w:tcPr>
            <w:tcW w:w="3811" w:type="dxa"/>
            <w:tcBorders>
              <w:top w:val="single" w:sz="4" w:space="0" w:color="auto"/>
              <w:left w:val="nil"/>
              <w:bottom w:val="single" w:sz="4" w:space="0" w:color="auto"/>
              <w:right w:val="nil"/>
            </w:tcBorders>
            <w:noWrap/>
            <w:vAlign w:val="center"/>
            <w:hideMark/>
          </w:tcPr>
          <w:p w14:paraId="2C9D94DE" w14:textId="77777777" w:rsidR="00B1608A" w:rsidRPr="003B2BAB" w:rsidRDefault="00B1608A" w:rsidP="004F1CBC">
            <w:pPr>
              <w:rPr>
                <w:rFonts w:ascii="Calibri" w:hAnsi="Calibri" w:cs="Calibri"/>
                <w:b/>
                <w:bCs/>
                <w:sz w:val="20"/>
                <w:szCs w:val="20"/>
              </w:rPr>
            </w:pPr>
            <w:r w:rsidRPr="003B2BAB">
              <w:rPr>
                <w:rFonts w:ascii="Calibri" w:hAnsi="Calibri" w:cs="Calibri"/>
                <w:b/>
                <w:bCs/>
                <w:sz w:val="20"/>
                <w:szCs w:val="20"/>
              </w:rPr>
              <w:t>Totale</w:t>
            </w:r>
          </w:p>
        </w:tc>
        <w:tc>
          <w:tcPr>
            <w:tcW w:w="1317" w:type="dxa"/>
            <w:tcBorders>
              <w:top w:val="single" w:sz="4" w:space="0" w:color="auto"/>
              <w:left w:val="nil"/>
              <w:bottom w:val="single" w:sz="4" w:space="0" w:color="auto"/>
              <w:right w:val="nil"/>
            </w:tcBorders>
            <w:noWrap/>
            <w:vAlign w:val="center"/>
            <w:hideMark/>
          </w:tcPr>
          <w:p w14:paraId="3464E64F" w14:textId="77777777" w:rsidR="00B1608A" w:rsidRPr="003B2BAB" w:rsidRDefault="00B1608A" w:rsidP="004F1CBC">
            <w:pPr>
              <w:jc w:val="center"/>
              <w:rPr>
                <w:rFonts w:ascii="Calibri" w:hAnsi="Calibri" w:cs="Calibri"/>
                <w:b/>
                <w:bCs/>
                <w:sz w:val="20"/>
                <w:szCs w:val="20"/>
              </w:rPr>
            </w:pPr>
            <w:r w:rsidRPr="003B2BAB">
              <w:rPr>
                <w:rFonts w:ascii="Calibri" w:hAnsi="Calibri" w:cs="Calibri"/>
                <w:b/>
                <w:bCs/>
                <w:sz w:val="20"/>
                <w:szCs w:val="20"/>
              </w:rPr>
              <w:t>1.745.415.997</w:t>
            </w:r>
          </w:p>
        </w:tc>
        <w:tc>
          <w:tcPr>
            <w:tcW w:w="1314" w:type="dxa"/>
            <w:tcBorders>
              <w:top w:val="single" w:sz="4" w:space="0" w:color="auto"/>
              <w:left w:val="nil"/>
              <w:bottom w:val="single" w:sz="4" w:space="0" w:color="auto"/>
              <w:right w:val="nil"/>
            </w:tcBorders>
            <w:noWrap/>
            <w:vAlign w:val="center"/>
            <w:hideMark/>
          </w:tcPr>
          <w:p w14:paraId="1DE4407D" w14:textId="77777777" w:rsidR="00B1608A" w:rsidRPr="003B2BAB" w:rsidRDefault="00B1608A" w:rsidP="004F1CBC">
            <w:pPr>
              <w:jc w:val="center"/>
              <w:rPr>
                <w:rFonts w:ascii="Calibri" w:hAnsi="Calibri" w:cs="Calibri"/>
                <w:b/>
                <w:bCs/>
                <w:sz w:val="20"/>
                <w:szCs w:val="20"/>
              </w:rPr>
            </w:pPr>
            <w:r w:rsidRPr="003B2BAB">
              <w:rPr>
                <w:rFonts w:ascii="Calibri" w:hAnsi="Calibri" w:cs="Calibri"/>
                <w:b/>
                <w:bCs/>
                <w:sz w:val="20"/>
                <w:szCs w:val="20"/>
              </w:rPr>
              <w:t>1.768.661.089</w:t>
            </w:r>
          </w:p>
        </w:tc>
        <w:tc>
          <w:tcPr>
            <w:tcW w:w="985" w:type="dxa"/>
            <w:tcBorders>
              <w:top w:val="single" w:sz="4" w:space="0" w:color="auto"/>
              <w:left w:val="nil"/>
              <w:bottom w:val="single" w:sz="4" w:space="0" w:color="auto"/>
              <w:right w:val="nil"/>
            </w:tcBorders>
            <w:noWrap/>
            <w:vAlign w:val="center"/>
            <w:hideMark/>
          </w:tcPr>
          <w:p w14:paraId="588AC271" w14:textId="77777777" w:rsidR="00B1608A" w:rsidRPr="003B2BAB" w:rsidRDefault="00B1608A" w:rsidP="004F1CBC">
            <w:pPr>
              <w:jc w:val="center"/>
              <w:rPr>
                <w:rFonts w:ascii="Calibri" w:hAnsi="Calibri" w:cs="Calibri"/>
                <w:b/>
                <w:bCs/>
                <w:sz w:val="20"/>
                <w:szCs w:val="20"/>
              </w:rPr>
            </w:pPr>
            <w:r w:rsidRPr="003B2BAB">
              <w:rPr>
                <w:rFonts w:ascii="Calibri" w:hAnsi="Calibri" w:cs="Calibri"/>
                <w:b/>
                <w:bCs/>
                <w:sz w:val="20"/>
                <w:szCs w:val="20"/>
              </w:rPr>
              <w:t>100,0%</w:t>
            </w:r>
          </w:p>
        </w:tc>
        <w:tc>
          <w:tcPr>
            <w:tcW w:w="1037" w:type="dxa"/>
            <w:tcBorders>
              <w:top w:val="single" w:sz="4" w:space="0" w:color="auto"/>
              <w:left w:val="nil"/>
              <w:bottom w:val="single" w:sz="4" w:space="0" w:color="auto"/>
              <w:right w:val="nil"/>
            </w:tcBorders>
            <w:noWrap/>
            <w:vAlign w:val="center"/>
            <w:hideMark/>
          </w:tcPr>
          <w:p w14:paraId="5E524A62" w14:textId="77777777" w:rsidR="00B1608A" w:rsidRPr="003B2BAB" w:rsidRDefault="00B1608A" w:rsidP="004F1CBC">
            <w:pPr>
              <w:jc w:val="center"/>
              <w:rPr>
                <w:rFonts w:ascii="Calibri" w:hAnsi="Calibri" w:cs="Calibri"/>
                <w:b/>
                <w:bCs/>
                <w:sz w:val="20"/>
                <w:szCs w:val="20"/>
              </w:rPr>
            </w:pPr>
            <w:r w:rsidRPr="003B2BAB">
              <w:rPr>
                <w:rFonts w:ascii="Calibri" w:hAnsi="Calibri" w:cs="Calibri"/>
                <w:b/>
                <w:bCs/>
                <w:sz w:val="20"/>
                <w:szCs w:val="20"/>
              </w:rPr>
              <w:t>1,3%</w:t>
            </w:r>
          </w:p>
        </w:tc>
        <w:tc>
          <w:tcPr>
            <w:tcW w:w="1052" w:type="dxa"/>
            <w:tcBorders>
              <w:top w:val="single" w:sz="4" w:space="0" w:color="auto"/>
              <w:left w:val="nil"/>
              <w:bottom w:val="single" w:sz="4" w:space="0" w:color="auto"/>
              <w:right w:val="nil"/>
            </w:tcBorders>
            <w:noWrap/>
            <w:vAlign w:val="center"/>
            <w:hideMark/>
          </w:tcPr>
          <w:p w14:paraId="15FC6992" w14:textId="77777777" w:rsidR="00B1608A" w:rsidRPr="003B2BAB" w:rsidRDefault="00B1608A" w:rsidP="004F1CBC">
            <w:pPr>
              <w:jc w:val="center"/>
              <w:rPr>
                <w:rFonts w:ascii="Calibri" w:hAnsi="Calibri" w:cs="Calibri"/>
                <w:b/>
                <w:bCs/>
                <w:i/>
                <w:iCs/>
                <w:sz w:val="20"/>
                <w:szCs w:val="20"/>
              </w:rPr>
            </w:pPr>
            <w:r w:rsidRPr="003B2BAB">
              <w:rPr>
                <w:rFonts w:ascii="Calibri" w:hAnsi="Calibri" w:cs="Calibri"/>
                <w:b/>
                <w:bCs/>
                <w:i/>
                <w:iCs/>
                <w:sz w:val="20"/>
                <w:szCs w:val="20"/>
              </w:rPr>
              <w:t>1,3%</w:t>
            </w:r>
          </w:p>
        </w:tc>
      </w:tr>
      <w:tr w:rsidR="00B1608A" w:rsidRPr="003B2BAB" w14:paraId="7FBAC7BC" w14:textId="77777777" w:rsidTr="004F1CBC">
        <w:trPr>
          <w:trHeight w:val="255"/>
        </w:trPr>
        <w:tc>
          <w:tcPr>
            <w:tcW w:w="9514" w:type="dxa"/>
            <w:gridSpan w:val="6"/>
            <w:tcBorders>
              <w:top w:val="nil"/>
              <w:left w:val="nil"/>
              <w:bottom w:val="nil"/>
            </w:tcBorders>
            <w:noWrap/>
            <w:vAlign w:val="center"/>
            <w:hideMark/>
          </w:tcPr>
          <w:p w14:paraId="0DC5FE55" w14:textId="77777777" w:rsidR="00B1608A" w:rsidRPr="003B2BAB" w:rsidRDefault="00B1608A" w:rsidP="004F1CBC">
            <w:pPr>
              <w:rPr>
                <w:rFonts w:ascii="Calibri" w:hAnsi="Calibri" w:cs="Calibri"/>
                <w:sz w:val="20"/>
                <w:szCs w:val="20"/>
              </w:rPr>
            </w:pPr>
            <w:r w:rsidRPr="003B2BAB">
              <w:rPr>
                <w:rFonts w:ascii="Calibri" w:hAnsi="Calibri" w:cs="Calibri"/>
                <w:i/>
                <w:iCs/>
                <w:color w:val="000000"/>
                <w:sz w:val="20"/>
                <w:szCs w:val="20"/>
              </w:rPr>
              <w:t>Fonte: Elaborazioni Camera di Commercio Toscana Nord-Ovest -ISR su dati Istat (dati provvisori)</w:t>
            </w:r>
          </w:p>
        </w:tc>
      </w:tr>
      <w:tr w:rsidR="00B1608A" w:rsidRPr="003B2BAB" w14:paraId="3CC3E01B" w14:textId="77777777" w:rsidTr="004F1CBC">
        <w:trPr>
          <w:trHeight w:val="255"/>
        </w:trPr>
        <w:tc>
          <w:tcPr>
            <w:tcW w:w="9514" w:type="dxa"/>
            <w:gridSpan w:val="6"/>
            <w:tcBorders>
              <w:top w:val="nil"/>
              <w:left w:val="nil"/>
              <w:bottom w:val="nil"/>
            </w:tcBorders>
            <w:noWrap/>
            <w:vAlign w:val="center"/>
          </w:tcPr>
          <w:p w14:paraId="3B8D74BA" w14:textId="77777777" w:rsidR="00B1608A" w:rsidRPr="003B2BAB" w:rsidRDefault="00B1608A" w:rsidP="004F1CBC">
            <w:pPr>
              <w:rPr>
                <w:rFonts w:ascii="Calibri" w:hAnsi="Calibri" w:cs="Calibri"/>
                <w:i/>
                <w:iCs/>
                <w:color w:val="000000"/>
                <w:sz w:val="20"/>
                <w:szCs w:val="20"/>
              </w:rPr>
            </w:pPr>
            <w:r w:rsidRPr="003B2BAB">
              <w:rPr>
                <w:rFonts w:ascii="Calibri" w:hAnsi="Calibri" w:cs="Calibri"/>
                <w:color w:val="000000"/>
                <w:sz w:val="20"/>
                <w:szCs w:val="20"/>
              </w:rPr>
              <w:t>* Motocicli, motoveicoli, loro motori e accessori, biciclette, veicoli per invalidi.</w:t>
            </w:r>
          </w:p>
        </w:tc>
      </w:tr>
      <w:tr w:rsidR="00B1608A" w:rsidRPr="003B2BAB" w14:paraId="6651CD61" w14:textId="77777777" w:rsidTr="004F1CBC">
        <w:trPr>
          <w:trHeight w:val="255"/>
        </w:trPr>
        <w:tc>
          <w:tcPr>
            <w:tcW w:w="9514" w:type="dxa"/>
            <w:gridSpan w:val="6"/>
            <w:tcBorders>
              <w:top w:val="nil"/>
              <w:left w:val="nil"/>
              <w:bottom w:val="nil"/>
            </w:tcBorders>
            <w:noWrap/>
            <w:vAlign w:val="center"/>
          </w:tcPr>
          <w:p w14:paraId="41795229" w14:textId="77777777" w:rsidR="00B1608A" w:rsidRPr="003B2BAB" w:rsidRDefault="00B1608A" w:rsidP="004F1CBC">
            <w:pPr>
              <w:rPr>
                <w:rFonts w:ascii="Calibri" w:hAnsi="Calibri" w:cs="Calibri"/>
                <w:i/>
                <w:iCs/>
                <w:color w:val="000000"/>
                <w:sz w:val="20"/>
                <w:szCs w:val="20"/>
              </w:rPr>
            </w:pPr>
            <w:r w:rsidRPr="003B2BAB">
              <w:rPr>
                <w:rFonts w:ascii="Calibri" w:hAnsi="Calibri" w:cs="Calibri"/>
                <w:color w:val="000000"/>
                <w:sz w:val="20"/>
                <w:szCs w:val="20"/>
              </w:rPr>
              <w:t>** Il settore è composto prevalentemente da cuoio e pelli gregge</w:t>
            </w:r>
          </w:p>
        </w:tc>
      </w:tr>
    </w:tbl>
    <w:p w14:paraId="4153DCEE" w14:textId="52707DE9" w:rsidR="00B1608A" w:rsidRPr="002C36B4" w:rsidRDefault="00B1608A" w:rsidP="008C5D96">
      <w:pPr>
        <w:spacing w:before="240"/>
        <w:jc w:val="both"/>
        <w:rPr>
          <w:rFonts w:ascii="Calibri" w:hAnsi="Calibri" w:cs="Calibri"/>
        </w:rPr>
      </w:pPr>
      <w:r>
        <w:rPr>
          <w:rFonts w:ascii="Calibri" w:hAnsi="Calibri" w:cs="Calibri"/>
        </w:rPr>
        <w:t xml:space="preserve">Nella meccanica si è invece arrestato il rallentamento delle </w:t>
      </w:r>
      <w:r>
        <w:rPr>
          <w:rFonts w:ascii="Calibri" w:hAnsi="Calibri" w:cs="Calibri"/>
          <w:b/>
          <w:i/>
        </w:rPr>
        <w:t>macchine di impiego generale</w:t>
      </w:r>
      <w:r>
        <w:rPr>
          <w:rFonts w:ascii="Calibri" w:hAnsi="Calibri" w:cs="Calibri"/>
        </w:rPr>
        <w:t xml:space="preserve">, terzo comparto pisano per vendite estere, le cui esportazioni sono risalite a 175,2 milioni di euro con un aumento del 3,6%. Il recupero si è verificato sui mercati extraeuropei e su quello della penisola iberica: gli Stati Uniti hanno aumentato gli acquisti del 53,3% portandosi a 18,5 milioni, la Spagna del 26,4% a 24,5 milioni e l’Ungheria del 59,2% a 18,2 milioni. La Francia ha conseguito il primato nel comparto con 29,2 milioni (+18%), </w:t>
      </w:r>
      <w:r w:rsidRPr="002C36B4">
        <w:rPr>
          <w:rFonts w:ascii="Calibri" w:hAnsi="Calibri" w:cs="Calibri"/>
        </w:rPr>
        <w:t>superando la Germania, ancora in discesa con vendite attestate a 26,2 milioni e in flessione del 26,5% (-9,5 milioni di euro). In calo anche la Corea del Sud (5,7 milioni, -40,6%), mentre la Cina ha segnato una crescita del 5,5% arrivando a quota 15,8 milioni.</w:t>
      </w:r>
      <w:r w:rsidR="008C5D96">
        <w:rPr>
          <w:rFonts w:ascii="Calibri" w:hAnsi="Calibri" w:cs="Calibri"/>
        </w:rPr>
        <w:t xml:space="preserve"> </w:t>
      </w:r>
      <w:r w:rsidRPr="002C36B4">
        <w:rPr>
          <w:rFonts w:ascii="Calibri" w:hAnsi="Calibri" w:cs="Calibri"/>
        </w:rPr>
        <w:t xml:space="preserve">Confermata la fase positiva del comparto </w:t>
      </w:r>
      <w:r w:rsidRPr="002C36B4">
        <w:rPr>
          <w:rFonts w:ascii="Calibri" w:hAnsi="Calibri" w:cs="Calibri"/>
          <w:b/>
          <w:i/>
        </w:rPr>
        <w:t>farmaceutico</w:t>
      </w:r>
      <w:r w:rsidRPr="002C36B4">
        <w:rPr>
          <w:rFonts w:ascii="Calibri" w:hAnsi="Calibri" w:cs="Calibri"/>
          <w:bCs/>
          <w:i/>
        </w:rPr>
        <w:t>,</w:t>
      </w:r>
      <w:r w:rsidRPr="002C36B4">
        <w:rPr>
          <w:rFonts w:ascii="Calibri" w:hAnsi="Calibri" w:cs="Calibri"/>
        </w:rPr>
        <w:t xml:space="preserve"> le cui esportazioni hanno raggiunto i 143 milioni di euro, in aumento del 6,3% rispetto al primo semestre 2025. Il settore resta però fortemente concentrato su un solo mercato: l’Austria ha assorbito da sola 109 milioni di euro, un valore sostanzialmente invariato rispetto all’anno precedente, mentre la crescita è venuta dalle destinazioni minori. La Spagna, seconda per valore, è salita a 13,7 milioni (+14,4%), seguita dagli Emirati Arabi Uniti (2,5 milioni, +92,5%) e dalla Francia, che ha quasi triplicato gli acquisti portandosi a 2,2 milioni.</w:t>
      </w:r>
      <w:r w:rsidR="008C5D96">
        <w:rPr>
          <w:rFonts w:ascii="Calibri" w:hAnsi="Calibri" w:cs="Calibri"/>
        </w:rPr>
        <w:t xml:space="preserve"> </w:t>
      </w:r>
      <w:r w:rsidRPr="002C36B4">
        <w:rPr>
          <w:rFonts w:ascii="Calibri" w:hAnsi="Calibri" w:cs="Calibri"/>
        </w:rPr>
        <w:t xml:space="preserve">Dopo la pesante battuta d’arresto dello scorso anno, il comparto dei </w:t>
      </w:r>
      <w:r w:rsidRPr="002C36B4">
        <w:rPr>
          <w:rFonts w:ascii="Calibri" w:hAnsi="Calibri" w:cs="Calibri"/>
          <w:b/>
          <w:i/>
        </w:rPr>
        <w:t>prodotti chimici e fertilizzanti, gomma e plastica</w:t>
      </w:r>
      <w:r w:rsidRPr="002C36B4">
        <w:rPr>
          <w:rFonts w:ascii="Calibri" w:hAnsi="Calibri" w:cs="Calibri"/>
        </w:rPr>
        <w:t xml:space="preserve"> ha recuperato parte del terreno perduto con un export salito a 60,5 milioni di euro (+4,6%). Il recupero non ha tuttavia interessato i mercati europei tradizionali: la Spagna, primo mercato di sbocco, è scesa a 11,1 milioni (-13,2%), la Francia a 6,3 milioni (-6,5%) e la Germania a 5,6 milioni (-7,7%). La crescita è dovuta invece all’ingresso della Danimarca, che ha assorbito 2,7 milioni di euro, e agli aumenti delle vendite registrati in Cina (3,2 milioni, +37,1%) e in Turchia (2,5 milioni, +63,4%).</w:t>
      </w:r>
      <w:r w:rsidR="008C5D96">
        <w:rPr>
          <w:rFonts w:ascii="Calibri" w:hAnsi="Calibri" w:cs="Calibri"/>
        </w:rPr>
        <w:t xml:space="preserve"> </w:t>
      </w:r>
      <w:r w:rsidRPr="002C36B4">
        <w:rPr>
          <w:rFonts w:ascii="Calibri" w:hAnsi="Calibri" w:cs="Calibri"/>
        </w:rPr>
        <w:t xml:space="preserve">Andamenti opposti per gli altri due segmenti della meccanica. Le </w:t>
      </w:r>
      <w:r w:rsidRPr="002C36B4">
        <w:rPr>
          <w:rFonts w:ascii="Calibri" w:hAnsi="Calibri" w:cs="Calibri"/>
          <w:b/>
          <w:i/>
        </w:rPr>
        <w:t>altre macchine di impiego generale</w:t>
      </w:r>
      <w:r w:rsidRPr="002C36B4">
        <w:rPr>
          <w:rFonts w:ascii="Calibri" w:hAnsi="Calibri" w:cs="Calibri"/>
        </w:rPr>
        <w:t xml:space="preserve"> hanno perso il 10,2% fermandosi a 56,3 milioni di euro, pur con buone performance nei principali mercati europei — Germania (8,6 milioni, +40,1%), Francia (8,5 milioni, +29,7%) e Spagna (7,4 milioni, +26,1%) — a fronte del forte arretramento di Brasile, Regno Unito ed Egitto. Le vendite estere delle </w:t>
      </w:r>
      <w:r w:rsidRPr="002C36B4">
        <w:rPr>
          <w:rFonts w:ascii="Calibri" w:hAnsi="Calibri" w:cs="Calibri"/>
          <w:b/>
          <w:i/>
        </w:rPr>
        <w:t xml:space="preserve">altre macchine per </w:t>
      </w:r>
      <w:r w:rsidRPr="002C36B4">
        <w:rPr>
          <w:rFonts w:ascii="Calibri" w:hAnsi="Calibri" w:cs="Calibri"/>
          <w:b/>
          <w:i/>
        </w:rPr>
        <w:lastRenderedPageBreak/>
        <w:t>impieghi speciali</w:t>
      </w:r>
      <w:r w:rsidRPr="002C36B4">
        <w:rPr>
          <w:rFonts w:ascii="Calibri" w:hAnsi="Calibri" w:cs="Calibri"/>
        </w:rPr>
        <w:t xml:space="preserve"> sono invece cresciute del 19,1%, per un valore totale di 36,7 milioni di euro, grazie agli Stati Uniti (6,4 milioni, +49,9%), alla Francia (2,7 milioni) e all’apertura del mercato congolese.</w:t>
      </w:r>
    </w:p>
    <w:p w14:paraId="2A04616E" w14:textId="3CEBCB95" w:rsidR="00B1608A" w:rsidRDefault="00B1608A" w:rsidP="008C5D96">
      <w:pPr>
        <w:jc w:val="both"/>
        <w:rPr>
          <w:rFonts w:ascii="Calibri" w:hAnsi="Calibri" w:cs="Calibri"/>
        </w:rPr>
      </w:pPr>
      <w:r w:rsidRPr="002C36B4">
        <w:rPr>
          <w:rFonts w:ascii="Calibri" w:hAnsi="Calibri" w:cs="Calibri"/>
        </w:rPr>
        <w:t xml:space="preserve">All’interno del sistema moda le </w:t>
      </w:r>
      <w:r w:rsidRPr="002C36B4">
        <w:rPr>
          <w:rFonts w:ascii="Calibri" w:hAnsi="Calibri" w:cs="Calibri"/>
          <w:b/>
          <w:i/>
        </w:rPr>
        <w:t>calzature</w:t>
      </w:r>
      <w:r w:rsidRPr="002C36B4">
        <w:rPr>
          <w:rFonts w:ascii="Calibri" w:hAnsi="Calibri" w:cs="Calibri"/>
        </w:rPr>
        <w:t xml:space="preserve"> hanno quasi arrestato la discesa, fermandosi a 56 milioni di euro con un calo dell’1,9% dopo il -10,4% dell’anno precedente. La Francia è risultata ancora il primo mercato di sbocco con 12,2 milioni di euro (+6,9%), seguita dai Paesi Bassi (9,3 milioni, -4,8%), dagli Stati Uniti in moderata crescita (8,6 milioni, +3%) e dalla Germania (6,8 milioni, -9%). Ha proseguito invece la corsa l’</w:t>
      </w:r>
      <w:r w:rsidRPr="002C36B4">
        <w:rPr>
          <w:rFonts w:ascii="Calibri" w:hAnsi="Calibri" w:cs="Calibri"/>
          <w:b/>
          <w:i/>
        </w:rPr>
        <w:t>abbigliamento</w:t>
      </w:r>
      <w:r w:rsidRPr="002C36B4">
        <w:rPr>
          <w:rFonts w:ascii="Calibri" w:hAnsi="Calibri" w:cs="Calibri"/>
        </w:rPr>
        <w:t>, cresciuto del 10,7% a quasi 55 milioni di euro dopo il balzo del 54,2% dello scorso anno: la Francia si è confermata primo partner commerciale con 18 milioni di euro (+43%), seguita dagli Stati Uniti (8 milioni), dal Regno Unito (4,9 milioni, +20,8%) e dal Giappone (3,2 milioni, +44,8%), mentre Hong Kong è risultata in flessione (3,5 milioni, -29,3%).</w:t>
      </w:r>
      <w:r w:rsidR="008C5D96">
        <w:rPr>
          <w:rFonts w:ascii="Calibri" w:hAnsi="Calibri" w:cs="Calibri"/>
        </w:rPr>
        <w:t xml:space="preserve"> </w:t>
      </w:r>
      <w:r w:rsidRPr="002C36B4">
        <w:rPr>
          <w:rFonts w:ascii="Calibri" w:hAnsi="Calibri" w:cs="Calibri"/>
        </w:rPr>
        <w:t>Tendenza in negativo per l’</w:t>
      </w:r>
      <w:r w:rsidRPr="002C36B4">
        <w:rPr>
          <w:rFonts w:ascii="Calibri" w:hAnsi="Calibri" w:cs="Calibri"/>
          <w:b/>
          <w:i/>
        </w:rPr>
        <w:t>arredamento</w:t>
      </w:r>
      <w:r w:rsidRPr="002C36B4">
        <w:rPr>
          <w:rFonts w:ascii="Calibri" w:hAnsi="Calibri" w:cs="Calibri"/>
        </w:rPr>
        <w:t xml:space="preserve"> pisano, le cui esportazioni (37,3 milioni) sono diminuite del 12,9% nella prima metà del 2026, con una perdita di 5,5 milioni di euro che si somma ai 10,1 milioni persi l’anno precedente. Gli Stati Uniti, risultati ancora la prima destinazione con 4,3 milioni di euro, hanno chiuso il semestre in calo dell’11,1%, seguiti dalla Francia che è invece tornata a crescere (4,2 milioni, +3%) e dalla Germania (3,4 milioni). In flessione la Cina (3,1 milioni, -22,8%), la Russia (-15,2%) e soprattutto gli Emirati Arabi Uniti, che hanno ridotto gli acquisti di 1,4 milioni di euro.</w:t>
      </w:r>
      <w:r w:rsidR="008C5D96">
        <w:rPr>
          <w:rFonts w:ascii="Calibri" w:hAnsi="Calibri" w:cs="Calibri"/>
        </w:rPr>
        <w:t xml:space="preserve"> </w:t>
      </w:r>
      <w:r w:rsidRPr="002C36B4">
        <w:rPr>
          <w:rFonts w:ascii="Calibri" w:hAnsi="Calibri" w:cs="Calibri"/>
        </w:rPr>
        <w:t xml:space="preserve">Tra i comparti con esportazioni più contenute, si segnalano due risultati di rilievo. L’export di </w:t>
      </w:r>
      <w:r w:rsidRPr="002C36B4">
        <w:rPr>
          <w:rFonts w:ascii="Calibri" w:hAnsi="Calibri" w:cs="Calibri"/>
          <w:b/>
          <w:i/>
        </w:rPr>
        <w:t>vetro e prodotti in vetro</w:t>
      </w:r>
      <w:r w:rsidRPr="002C36B4">
        <w:rPr>
          <w:rFonts w:ascii="Calibri" w:hAnsi="Calibri" w:cs="Calibri"/>
        </w:rPr>
        <w:t xml:space="preserve"> è cresciuto del 70,3% superando i 34 milioni di euro, quasi interamente per effetto del mercato peruviano passato da 0,5 a 11,1 milioni, cui si aggiungono Germania (5,2 milioni, +27,3%) e Cina (2,9 milioni). </w:t>
      </w:r>
      <w:r w:rsidR="00FC724B" w:rsidRPr="00FC724B">
        <w:rPr>
          <w:rFonts w:ascii="Calibri" w:hAnsi="Calibri" w:cs="Calibri"/>
        </w:rPr>
        <w:t>Nel</w:t>
      </w:r>
      <w:r w:rsidR="00FC724B">
        <w:rPr>
          <w:rFonts w:ascii="Calibri" w:hAnsi="Calibri" w:cs="Calibri"/>
        </w:rPr>
        <w:t xml:space="preserve"> semestre </w:t>
      </w:r>
      <w:r w:rsidR="00FC724B" w:rsidRPr="00FC724B">
        <w:rPr>
          <w:rFonts w:ascii="Calibri" w:hAnsi="Calibri" w:cs="Calibri"/>
        </w:rPr>
        <w:t xml:space="preserve">si è registrata inoltre un’anomala crescita delle vendite di </w:t>
      </w:r>
      <w:r w:rsidR="00FC724B" w:rsidRPr="00FC724B">
        <w:rPr>
          <w:rFonts w:ascii="Calibri" w:hAnsi="Calibri" w:cs="Calibri"/>
          <w:b/>
          <w:bCs/>
        </w:rPr>
        <w:t>prodotti derivanti dalla raffinazione del petrolio</w:t>
      </w:r>
      <w:r w:rsidR="00FC724B">
        <w:rPr>
          <w:rFonts w:ascii="Calibri" w:hAnsi="Calibri" w:cs="Calibri"/>
        </w:rPr>
        <w:t xml:space="preserve"> </w:t>
      </w:r>
      <w:r w:rsidR="00FC724B" w:rsidRPr="00FC724B">
        <w:rPr>
          <w:rFonts w:ascii="Calibri" w:hAnsi="Calibri" w:cs="Calibri"/>
        </w:rPr>
        <w:t>(</w:t>
      </w:r>
      <w:r w:rsidR="00FC724B">
        <w:rPr>
          <w:rFonts w:ascii="Calibri" w:hAnsi="Calibri" w:cs="Calibri"/>
        </w:rPr>
        <w:t>24,3</w:t>
      </w:r>
      <w:r w:rsidR="00FC724B" w:rsidRPr="00FC724B">
        <w:rPr>
          <w:rFonts w:ascii="Calibri" w:hAnsi="Calibri" w:cs="Calibri"/>
        </w:rPr>
        <w:t xml:space="preserve"> milioni</w:t>
      </w:r>
      <w:r w:rsidR="00FC724B">
        <w:rPr>
          <w:rFonts w:ascii="Calibri" w:hAnsi="Calibri" w:cs="Calibri"/>
        </w:rPr>
        <w:t>, +32,8%</w:t>
      </w:r>
      <w:r w:rsidR="00FC724B" w:rsidRPr="00FC724B">
        <w:rPr>
          <w:rFonts w:ascii="Calibri" w:hAnsi="Calibri" w:cs="Calibri"/>
        </w:rPr>
        <w:t xml:space="preserve">) dirette </w:t>
      </w:r>
      <w:r w:rsidR="00FC724B">
        <w:rPr>
          <w:rFonts w:ascii="Calibri" w:hAnsi="Calibri" w:cs="Calibri"/>
        </w:rPr>
        <w:t xml:space="preserve">principalmente </w:t>
      </w:r>
      <w:r w:rsidR="00FC724B" w:rsidRPr="00FC724B">
        <w:rPr>
          <w:rFonts w:ascii="Calibri" w:hAnsi="Calibri" w:cs="Calibri"/>
        </w:rPr>
        <w:t>verso la Svizzera: si tratta, con elevata probabilità, di flussi riconducibili a operazioni straordinarie o di natura logistica-commerciale, e quindi non rappresentativi di una dinamica del tessuto produttivo locale.</w:t>
      </w:r>
      <w:r w:rsidR="008C5D96">
        <w:rPr>
          <w:rFonts w:ascii="Calibri" w:hAnsi="Calibri" w:cs="Calibri"/>
        </w:rPr>
        <w:t xml:space="preserve"> </w:t>
      </w:r>
      <w:r w:rsidRPr="002C36B4">
        <w:rPr>
          <w:rFonts w:ascii="Calibri" w:hAnsi="Calibri" w:cs="Calibri"/>
        </w:rPr>
        <w:t xml:space="preserve">In controtendenza le </w:t>
      </w:r>
      <w:r w:rsidRPr="00FC724B">
        <w:rPr>
          <w:rFonts w:ascii="Calibri" w:hAnsi="Calibri" w:cs="Calibri"/>
          <w:bCs/>
          <w:i/>
        </w:rPr>
        <w:t>bevande</w:t>
      </w:r>
      <w:r w:rsidRPr="002C36B4">
        <w:rPr>
          <w:rFonts w:ascii="Calibri" w:hAnsi="Calibri" w:cs="Calibri"/>
        </w:rPr>
        <w:t xml:space="preserve">, principalmente </w:t>
      </w:r>
      <w:r w:rsidRPr="00FC724B">
        <w:rPr>
          <w:rFonts w:ascii="Calibri" w:hAnsi="Calibri" w:cs="Calibri"/>
          <w:b/>
          <w:bCs/>
        </w:rPr>
        <w:t>vino</w:t>
      </w:r>
      <w:r w:rsidRPr="002C36B4">
        <w:rPr>
          <w:rFonts w:ascii="Calibri" w:hAnsi="Calibri" w:cs="Calibri"/>
        </w:rPr>
        <w:t>, scese a 33,5 milioni di euro (-8,4%) dopo anni di crescita: gli Stati Uniti, pur perdendo il 12,5%, si sono confermati primo mercato con 10,3 milioni, mentre sono aumentate le esportazioni verso i Paesi Bassi (3,5 milioni, +8,8%) e la Svezia (3,2 milioni, +13,4%).</w:t>
      </w:r>
    </w:p>
    <w:p w14:paraId="0CF0EB8E" w14:textId="77777777" w:rsidR="008C5D96" w:rsidRPr="002C36B4" w:rsidRDefault="008C5D96" w:rsidP="008C5D96">
      <w:pPr>
        <w:jc w:val="both"/>
        <w:rPr>
          <w:rFonts w:ascii="Calibri" w:hAnsi="Calibri" w:cs="Calibri"/>
        </w:rPr>
      </w:pPr>
    </w:p>
    <w:p w14:paraId="051A8D09" w14:textId="77777777" w:rsidR="00B1608A" w:rsidRPr="002C36B4" w:rsidRDefault="00B1608A" w:rsidP="00B1608A">
      <w:pPr>
        <w:rPr>
          <w:rFonts w:ascii="Calibri" w:hAnsi="Calibri"/>
          <w:b/>
          <w:szCs w:val="22"/>
        </w:rPr>
      </w:pPr>
      <w:r w:rsidRPr="002C36B4">
        <w:rPr>
          <w:rFonts w:ascii="Calibri" w:hAnsi="Calibri"/>
          <w:b/>
          <w:szCs w:val="22"/>
        </w:rPr>
        <w:t>I mercati di destinazione</w:t>
      </w:r>
    </w:p>
    <w:p w14:paraId="52D84F40" w14:textId="5FC0AD6B" w:rsidR="00B1608A" w:rsidRPr="0038325F" w:rsidRDefault="00B1608A" w:rsidP="008C5D96">
      <w:pPr>
        <w:jc w:val="both"/>
        <w:rPr>
          <w:rFonts w:ascii="Calibri" w:hAnsi="Calibri"/>
          <w:bCs/>
          <w:szCs w:val="22"/>
        </w:rPr>
      </w:pPr>
      <w:r w:rsidRPr="002C36B4">
        <w:rPr>
          <w:rFonts w:ascii="Calibri" w:hAnsi="Calibri"/>
          <w:bCs/>
          <w:szCs w:val="22"/>
        </w:rPr>
        <w:t>L’Europa si è confermata il principale mercato di sbocco dell’export pisano con il 71,7% delle vendite all’estero della provincia. La Germania è risultata al primo posto con 221,1 milioni di euro, un valore in flessione contenuta dell’1,3% dopo il calo dell’11% registrato un anno fa, penalizzata ancora dalla domanda di macchinari. Al secondo posto la Francia, tornata a crescere del 3,5% fino a 214,9 milioni grazie a cuoio, macchinari e abbigliamento, nonostante il forte arretramento dei mezzi di trasporto. L’Austria ha consolidato il terzo posto (168,4 milioni, +4,5%) sostenuta dalla farmaceutica, mentre la Spagna è rimasta stabile a 155,6 milioni. Gli Stati Uniti hanno recuperato parte del terreno perduto lo scorso anno, risalendo a 138,9 milioni di euro (+13,1%) grazie ai macchinari e ai mezzi di trasporto. In crescita anche la Svizzera (60,4 milioni, +9,4%), per effetto dei prodotti della raffinazione, e la Polonia (40,4 milioni, +28,6%), mentre hanno chiuso in flessione il Regno Unito (61,4 milioni, -9,8%), la Cina (53 milioni, -13,4%), la Turchia (28,8 milioni, -15,5%) e il Vietnam (-22,4%), questi ultimi due per le dinamiche rispettivamente dei mezzi di trasporto e del cuoio.</w:t>
      </w:r>
      <w:r w:rsidR="008C5D96">
        <w:rPr>
          <w:rFonts w:ascii="Calibri" w:hAnsi="Calibri"/>
          <w:bCs/>
          <w:szCs w:val="22"/>
        </w:rPr>
        <w:t xml:space="preserve"> </w:t>
      </w:r>
      <w:r w:rsidRPr="002C36B4">
        <w:rPr>
          <w:rFonts w:ascii="Calibri" w:hAnsi="Calibri"/>
          <w:bCs/>
          <w:szCs w:val="22"/>
        </w:rPr>
        <w:t>Sul piano delle aree geografiche, l’Unione europea ha assorbito il 61% dell’export provinciale con 1.079,8 milioni di euro, un valore sostanzialmente invariato rispetto al primo semestre 2025 (-0,2%), così come stabili sono risultati i paesi europei non Ue (188,1 milioni, +0,4%). La crescita si è registrata in America settentrionale (157,8 milioni, +17,3%, pari all’8,9% del totale) e in quella centro-meridionale (</w:t>
      </w:r>
      <w:r>
        <w:rPr>
          <w:rFonts w:ascii="Calibri" w:hAnsi="Calibri"/>
          <w:bCs/>
          <w:szCs w:val="22"/>
        </w:rPr>
        <w:t xml:space="preserve">+23,5%), mentre l’Asia, secondo </w:t>
      </w:r>
      <w:r>
        <w:rPr>
          <w:rFonts w:ascii="Calibri" w:hAnsi="Calibri"/>
          <w:bCs/>
          <w:szCs w:val="22"/>
        </w:rPr>
        <w:lastRenderedPageBreak/>
        <w:t>sbocco extraeuropeo con 242,7 milioni (13,7% del totale), ha segnato una flessione del 5,8%.</w:t>
      </w:r>
    </w:p>
    <w:tbl>
      <w:tblPr>
        <w:tblW w:w="8219" w:type="dxa"/>
        <w:tblInd w:w="70" w:type="dxa"/>
        <w:tblCellMar>
          <w:left w:w="70" w:type="dxa"/>
          <w:right w:w="70" w:type="dxa"/>
        </w:tblCellMar>
        <w:tblLook w:val="04A0" w:firstRow="1" w:lastRow="0" w:firstColumn="1" w:lastColumn="0" w:noHBand="0" w:noVBand="1"/>
      </w:tblPr>
      <w:tblGrid>
        <w:gridCol w:w="1473"/>
        <w:gridCol w:w="1513"/>
        <w:gridCol w:w="1605"/>
        <w:gridCol w:w="1431"/>
        <w:gridCol w:w="1041"/>
        <w:gridCol w:w="1042"/>
        <w:gridCol w:w="164"/>
        <w:gridCol w:w="83"/>
        <w:gridCol w:w="81"/>
        <w:gridCol w:w="83"/>
      </w:tblGrid>
      <w:tr w:rsidR="00B1608A" w14:paraId="285848FF" w14:textId="77777777" w:rsidTr="004F1CBC">
        <w:trPr>
          <w:gridAfter w:val="1"/>
          <w:wAfter w:w="15" w:type="dxa"/>
          <w:trHeight w:val="283"/>
        </w:trPr>
        <w:tc>
          <w:tcPr>
            <w:tcW w:w="8040" w:type="dxa"/>
            <w:gridSpan w:val="7"/>
            <w:tcBorders>
              <w:top w:val="nil"/>
              <w:left w:val="nil"/>
              <w:bottom w:val="nil"/>
              <w:right w:val="nil"/>
            </w:tcBorders>
            <w:noWrap/>
            <w:vAlign w:val="center"/>
            <w:hideMark/>
          </w:tcPr>
          <w:p w14:paraId="4F6521FE" w14:textId="77777777" w:rsidR="00B1608A" w:rsidRDefault="00B1608A" w:rsidP="004F1CBC">
            <w:pPr>
              <w:rPr>
                <w:rFonts w:ascii="Calibri" w:hAnsi="Calibri" w:cs="Calibri"/>
                <w:b/>
                <w:bCs/>
                <w:color w:val="000000"/>
                <w:sz w:val="20"/>
                <w:szCs w:val="20"/>
              </w:rPr>
            </w:pPr>
            <w:r w:rsidRPr="00E26663">
              <w:rPr>
                <w:rFonts w:ascii="Calibri" w:hAnsi="Calibri" w:cs="Calibri"/>
                <w:b/>
                <w:bCs/>
                <w:color w:val="000000"/>
                <w:sz w:val="20"/>
              </w:rPr>
              <w:t>I principali paesi di destinazione delle esportazioni della provincia di Pisa - I semestre 2026</w:t>
            </w:r>
          </w:p>
        </w:tc>
        <w:tc>
          <w:tcPr>
            <w:tcW w:w="164" w:type="dxa"/>
            <w:gridSpan w:val="2"/>
            <w:tcBorders>
              <w:top w:val="nil"/>
              <w:left w:val="nil"/>
              <w:bottom w:val="nil"/>
              <w:right w:val="nil"/>
            </w:tcBorders>
            <w:noWrap/>
            <w:vAlign w:val="center"/>
            <w:hideMark/>
          </w:tcPr>
          <w:p w14:paraId="75D5DBA5" w14:textId="77777777" w:rsidR="00B1608A" w:rsidRDefault="00B1608A" w:rsidP="004F1CBC">
            <w:pPr>
              <w:rPr>
                <w:sz w:val="20"/>
                <w:szCs w:val="20"/>
              </w:rPr>
            </w:pPr>
          </w:p>
        </w:tc>
      </w:tr>
      <w:tr w:rsidR="00B1608A" w14:paraId="1EC929D1" w14:textId="77777777" w:rsidTr="004F1CBC">
        <w:trPr>
          <w:trHeight w:val="283"/>
        </w:trPr>
        <w:tc>
          <w:tcPr>
            <w:tcW w:w="6022" w:type="dxa"/>
            <w:gridSpan w:val="4"/>
            <w:tcBorders>
              <w:top w:val="nil"/>
              <w:left w:val="nil"/>
              <w:bottom w:val="nil"/>
              <w:right w:val="nil"/>
            </w:tcBorders>
            <w:noWrap/>
            <w:vAlign w:val="center"/>
            <w:hideMark/>
          </w:tcPr>
          <w:p w14:paraId="5DF52272" w14:textId="77777777" w:rsidR="00B1608A" w:rsidRDefault="00B1608A" w:rsidP="004F1CBC">
            <w:pPr>
              <w:rPr>
                <w:rFonts w:ascii="Calibri" w:hAnsi="Calibri" w:cs="Calibri"/>
                <w:i/>
                <w:iCs/>
                <w:color w:val="000000"/>
                <w:sz w:val="20"/>
                <w:szCs w:val="20"/>
              </w:rPr>
            </w:pPr>
            <w:r>
              <w:rPr>
                <w:rFonts w:ascii="Calibri" w:hAnsi="Calibri" w:cs="Calibri"/>
                <w:i/>
                <w:iCs/>
                <w:color w:val="000000"/>
                <w:sz w:val="20"/>
                <w:szCs w:val="20"/>
              </w:rPr>
              <w:t>Valori assoluti in euro, var. % e contributi % alla crescita </w:t>
            </w:r>
          </w:p>
        </w:tc>
        <w:tc>
          <w:tcPr>
            <w:tcW w:w="1041" w:type="dxa"/>
            <w:tcBorders>
              <w:top w:val="nil"/>
              <w:left w:val="nil"/>
              <w:bottom w:val="nil"/>
              <w:right w:val="nil"/>
            </w:tcBorders>
            <w:noWrap/>
            <w:vAlign w:val="center"/>
            <w:hideMark/>
          </w:tcPr>
          <w:p w14:paraId="20375804" w14:textId="77777777" w:rsidR="00B1608A" w:rsidRDefault="00B1608A" w:rsidP="004F1CBC">
            <w:pPr>
              <w:rPr>
                <w:rFonts w:ascii="Calibri" w:hAnsi="Calibri" w:cs="Calibri"/>
                <w:i/>
                <w:iCs/>
                <w:color w:val="000000"/>
                <w:sz w:val="20"/>
                <w:szCs w:val="20"/>
              </w:rPr>
            </w:pPr>
          </w:p>
        </w:tc>
        <w:tc>
          <w:tcPr>
            <w:tcW w:w="1289" w:type="dxa"/>
            <w:gridSpan w:val="3"/>
            <w:tcBorders>
              <w:top w:val="nil"/>
              <w:left w:val="nil"/>
              <w:bottom w:val="nil"/>
              <w:right w:val="nil"/>
            </w:tcBorders>
            <w:noWrap/>
            <w:vAlign w:val="center"/>
            <w:hideMark/>
          </w:tcPr>
          <w:p w14:paraId="06385AD0" w14:textId="77777777" w:rsidR="00B1608A" w:rsidRDefault="00B1608A" w:rsidP="004F1CBC">
            <w:pPr>
              <w:rPr>
                <w:sz w:val="20"/>
                <w:szCs w:val="20"/>
              </w:rPr>
            </w:pPr>
          </w:p>
        </w:tc>
        <w:tc>
          <w:tcPr>
            <w:tcW w:w="164" w:type="dxa"/>
            <w:gridSpan w:val="2"/>
            <w:tcBorders>
              <w:top w:val="nil"/>
              <w:left w:val="nil"/>
              <w:bottom w:val="nil"/>
              <w:right w:val="nil"/>
            </w:tcBorders>
            <w:noWrap/>
            <w:vAlign w:val="center"/>
            <w:hideMark/>
          </w:tcPr>
          <w:p w14:paraId="3B008A5F" w14:textId="77777777" w:rsidR="00B1608A" w:rsidRDefault="00B1608A" w:rsidP="004F1CBC">
            <w:pPr>
              <w:rPr>
                <w:sz w:val="20"/>
                <w:szCs w:val="20"/>
              </w:rPr>
            </w:pPr>
          </w:p>
        </w:tc>
      </w:tr>
      <w:tr w:rsidR="00B1608A" w14:paraId="2DF487C8" w14:textId="77777777" w:rsidTr="004F1CBC">
        <w:trPr>
          <w:gridAfter w:val="3"/>
          <w:wAfter w:w="247" w:type="dxa"/>
          <w:trHeight w:val="283"/>
        </w:trPr>
        <w:tc>
          <w:tcPr>
            <w:tcW w:w="1473" w:type="dxa"/>
            <w:vMerge w:val="restart"/>
            <w:tcBorders>
              <w:top w:val="single" w:sz="4" w:space="0" w:color="auto"/>
              <w:left w:val="nil"/>
              <w:bottom w:val="single" w:sz="4" w:space="0" w:color="000000"/>
              <w:right w:val="nil"/>
            </w:tcBorders>
            <w:noWrap/>
            <w:vAlign w:val="center"/>
            <w:hideMark/>
          </w:tcPr>
          <w:p w14:paraId="2655FF75" w14:textId="77777777" w:rsidR="00B1608A" w:rsidRDefault="00B1608A" w:rsidP="004F1CBC">
            <w:pPr>
              <w:rPr>
                <w:rFonts w:ascii="Calibri" w:hAnsi="Calibri" w:cs="Calibri"/>
                <w:b/>
                <w:bCs/>
                <w:color w:val="000000"/>
                <w:sz w:val="20"/>
                <w:szCs w:val="20"/>
              </w:rPr>
            </w:pPr>
            <w:r>
              <w:rPr>
                <w:rFonts w:ascii="Calibri" w:hAnsi="Calibri" w:cs="Calibri"/>
                <w:b/>
                <w:bCs/>
                <w:color w:val="000000"/>
                <w:sz w:val="20"/>
                <w:szCs w:val="20"/>
              </w:rPr>
              <w:t>Paesi</w:t>
            </w:r>
          </w:p>
        </w:tc>
        <w:tc>
          <w:tcPr>
            <w:tcW w:w="3118" w:type="dxa"/>
            <w:gridSpan w:val="2"/>
            <w:tcBorders>
              <w:top w:val="single" w:sz="4" w:space="0" w:color="auto"/>
              <w:left w:val="nil"/>
              <w:bottom w:val="single" w:sz="4" w:space="0" w:color="auto"/>
              <w:right w:val="nil"/>
            </w:tcBorders>
            <w:noWrap/>
            <w:vAlign w:val="center"/>
            <w:hideMark/>
          </w:tcPr>
          <w:p w14:paraId="4C35FEC0" w14:textId="77777777" w:rsidR="00B1608A" w:rsidRDefault="00B1608A" w:rsidP="004F1CBC">
            <w:pPr>
              <w:jc w:val="center"/>
              <w:rPr>
                <w:rFonts w:ascii="Calibri" w:hAnsi="Calibri" w:cs="Calibri"/>
                <w:b/>
                <w:bCs/>
                <w:color w:val="000000"/>
                <w:sz w:val="20"/>
                <w:szCs w:val="20"/>
              </w:rPr>
            </w:pPr>
            <w:r>
              <w:rPr>
                <w:rFonts w:ascii="Calibri" w:hAnsi="Calibri" w:cs="Calibri"/>
                <w:b/>
                <w:bCs/>
                <w:color w:val="000000"/>
                <w:sz w:val="20"/>
                <w:szCs w:val="20"/>
              </w:rPr>
              <w:t>Valori assoluti in euro</w:t>
            </w:r>
          </w:p>
        </w:tc>
        <w:tc>
          <w:tcPr>
            <w:tcW w:w="1134" w:type="dxa"/>
            <w:vMerge w:val="restart"/>
            <w:tcBorders>
              <w:top w:val="single" w:sz="4" w:space="0" w:color="auto"/>
              <w:left w:val="nil"/>
              <w:right w:val="nil"/>
            </w:tcBorders>
            <w:noWrap/>
            <w:vAlign w:val="center"/>
            <w:hideMark/>
          </w:tcPr>
          <w:p w14:paraId="4E7ADE05" w14:textId="77777777" w:rsidR="00B1608A" w:rsidRDefault="00B1608A" w:rsidP="004F1CBC">
            <w:pPr>
              <w:jc w:val="center"/>
              <w:rPr>
                <w:rFonts w:ascii="Calibri" w:hAnsi="Calibri" w:cs="Calibri"/>
                <w:b/>
                <w:bCs/>
                <w:color w:val="000000"/>
                <w:sz w:val="20"/>
                <w:szCs w:val="20"/>
              </w:rPr>
            </w:pPr>
            <w:r>
              <w:rPr>
                <w:rFonts w:ascii="Calibri" w:hAnsi="Calibri" w:cs="Calibri"/>
                <w:b/>
                <w:bCs/>
                <w:color w:val="000000"/>
                <w:sz w:val="20"/>
                <w:szCs w:val="20"/>
              </w:rPr>
              <w:t>Quota %</w:t>
            </w:r>
          </w:p>
        </w:tc>
        <w:tc>
          <w:tcPr>
            <w:tcW w:w="1041" w:type="dxa"/>
            <w:vMerge w:val="restart"/>
            <w:tcBorders>
              <w:top w:val="single" w:sz="4" w:space="0" w:color="auto"/>
              <w:left w:val="nil"/>
              <w:right w:val="nil"/>
            </w:tcBorders>
            <w:noWrap/>
            <w:vAlign w:val="center"/>
            <w:hideMark/>
          </w:tcPr>
          <w:p w14:paraId="5AA45097" w14:textId="77777777" w:rsidR="00B1608A" w:rsidRDefault="00B1608A" w:rsidP="004F1CBC">
            <w:pPr>
              <w:jc w:val="center"/>
              <w:rPr>
                <w:rFonts w:ascii="Calibri" w:hAnsi="Calibri" w:cs="Calibri"/>
                <w:b/>
                <w:bCs/>
                <w:color w:val="000000"/>
                <w:sz w:val="20"/>
                <w:szCs w:val="20"/>
              </w:rPr>
            </w:pPr>
            <w:r>
              <w:rPr>
                <w:rFonts w:ascii="Calibri" w:hAnsi="Calibri" w:cs="Calibri"/>
                <w:b/>
                <w:bCs/>
                <w:color w:val="000000"/>
                <w:sz w:val="20"/>
                <w:szCs w:val="20"/>
              </w:rPr>
              <w:t>Var. %</w:t>
            </w:r>
          </w:p>
        </w:tc>
        <w:tc>
          <w:tcPr>
            <w:tcW w:w="1042" w:type="dxa"/>
            <w:vMerge w:val="restart"/>
            <w:tcBorders>
              <w:top w:val="single" w:sz="4" w:space="0" w:color="auto"/>
              <w:left w:val="nil"/>
              <w:right w:val="nil"/>
            </w:tcBorders>
            <w:vAlign w:val="center"/>
            <w:hideMark/>
          </w:tcPr>
          <w:p w14:paraId="6CB48479" w14:textId="77777777" w:rsidR="00B1608A" w:rsidRDefault="00B1608A" w:rsidP="004F1CBC">
            <w:pPr>
              <w:jc w:val="center"/>
              <w:rPr>
                <w:rFonts w:ascii="Calibri" w:hAnsi="Calibri" w:cs="Calibri"/>
                <w:b/>
                <w:bCs/>
                <w:color w:val="000000"/>
                <w:sz w:val="20"/>
                <w:szCs w:val="20"/>
              </w:rPr>
            </w:pPr>
            <w:r>
              <w:rPr>
                <w:rFonts w:ascii="Calibri" w:hAnsi="Calibri" w:cs="Calibri"/>
                <w:b/>
                <w:bCs/>
                <w:color w:val="000000"/>
                <w:sz w:val="20"/>
                <w:szCs w:val="20"/>
              </w:rPr>
              <w:t>Contributo %</w:t>
            </w:r>
          </w:p>
        </w:tc>
        <w:tc>
          <w:tcPr>
            <w:tcW w:w="164" w:type="dxa"/>
            <w:tcBorders>
              <w:top w:val="nil"/>
              <w:left w:val="nil"/>
              <w:bottom w:val="nil"/>
              <w:right w:val="nil"/>
            </w:tcBorders>
            <w:noWrap/>
            <w:vAlign w:val="center"/>
            <w:hideMark/>
          </w:tcPr>
          <w:p w14:paraId="644B0B11" w14:textId="77777777" w:rsidR="00B1608A" w:rsidRDefault="00B1608A" w:rsidP="004F1CBC">
            <w:pPr>
              <w:jc w:val="center"/>
              <w:rPr>
                <w:rFonts w:ascii="Calibri" w:hAnsi="Calibri" w:cs="Calibri"/>
                <w:b/>
                <w:bCs/>
                <w:color w:val="000000"/>
                <w:sz w:val="20"/>
                <w:szCs w:val="20"/>
              </w:rPr>
            </w:pPr>
          </w:p>
        </w:tc>
      </w:tr>
      <w:tr w:rsidR="00B1608A" w14:paraId="294B0211" w14:textId="77777777" w:rsidTr="004F1CBC">
        <w:trPr>
          <w:gridAfter w:val="3"/>
          <w:wAfter w:w="247" w:type="dxa"/>
          <w:trHeight w:val="283"/>
        </w:trPr>
        <w:tc>
          <w:tcPr>
            <w:tcW w:w="1773" w:type="dxa"/>
            <w:vMerge/>
            <w:tcBorders>
              <w:top w:val="single" w:sz="4" w:space="0" w:color="auto"/>
              <w:left w:val="nil"/>
              <w:bottom w:val="single" w:sz="4" w:space="0" w:color="000000"/>
              <w:right w:val="nil"/>
            </w:tcBorders>
            <w:vAlign w:val="center"/>
            <w:hideMark/>
          </w:tcPr>
          <w:p w14:paraId="1909E01F" w14:textId="77777777" w:rsidR="00B1608A" w:rsidRDefault="00B1608A" w:rsidP="004F1CBC">
            <w:pPr>
              <w:rPr>
                <w:rFonts w:ascii="Calibri" w:hAnsi="Calibri" w:cs="Calibri"/>
                <w:b/>
                <w:bCs/>
                <w:color w:val="000000"/>
                <w:sz w:val="20"/>
                <w:szCs w:val="20"/>
              </w:rPr>
            </w:pPr>
          </w:p>
        </w:tc>
        <w:tc>
          <w:tcPr>
            <w:tcW w:w="1513" w:type="dxa"/>
            <w:tcBorders>
              <w:top w:val="nil"/>
              <w:left w:val="nil"/>
              <w:bottom w:val="single" w:sz="4" w:space="0" w:color="auto"/>
              <w:right w:val="nil"/>
            </w:tcBorders>
            <w:noWrap/>
            <w:vAlign w:val="center"/>
            <w:hideMark/>
          </w:tcPr>
          <w:p w14:paraId="2AE7BE49" w14:textId="777C7CD4" w:rsidR="00B1608A" w:rsidRDefault="00B1608A" w:rsidP="004F1CBC">
            <w:pPr>
              <w:jc w:val="center"/>
              <w:rPr>
                <w:rFonts w:ascii="Calibri" w:hAnsi="Calibri" w:cs="Calibri"/>
                <w:b/>
                <w:bCs/>
                <w:color w:val="000000"/>
                <w:sz w:val="20"/>
                <w:szCs w:val="20"/>
              </w:rPr>
            </w:pPr>
            <w:r>
              <w:rPr>
                <w:rFonts w:ascii="Calibri" w:hAnsi="Calibri" w:cs="Calibri"/>
                <w:b/>
                <w:bCs/>
                <w:color w:val="000000"/>
                <w:sz w:val="20"/>
                <w:szCs w:val="20"/>
              </w:rPr>
              <w:t xml:space="preserve">I </w:t>
            </w:r>
            <w:proofErr w:type="spellStart"/>
            <w:r>
              <w:rPr>
                <w:rFonts w:ascii="Calibri" w:hAnsi="Calibri" w:cs="Calibri"/>
                <w:b/>
                <w:bCs/>
                <w:color w:val="000000"/>
                <w:sz w:val="20"/>
                <w:szCs w:val="20"/>
              </w:rPr>
              <w:t>sem</w:t>
            </w:r>
            <w:proofErr w:type="spellEnd"/>
            <w:r w:rsidR="004607C8">
              <w:rPr>
                <w:rFonts w:ascii="Calibri" w:hAnsi="Calibri" w:cs="Calibri"/>
                <w:b/>
                <w:bCs/>
                <w:color w:val="000000"/>
                <w:sz w:val="20"/>
                <w:szCs w:val="20"/>
              </w:rPr>
              <w:t>.</w:t>
            </w:r>
            <w:r>
              <w:rPr>
                <w:rFonts w:ascii="Calibri" w:hAnsi="Calibri" w:cs="Calibri"/>
                <w:b/>
                <w:bCs/>
                <w:color w:val="000000"/>
                <w:sz w:val="20"/>
                <w:szCs w:val="20"/>
              </w:rPr>
              <w:t xml:space="preserve"> 2025</w:t>
            </w:r>
          </w:p>
        </w:tc>
        <w:tc>
          <w:tcPr>
            <w:tcW w:w="1605" w:type="dxa"/>
            <w:tcBorders>
              <w:top w:val="nil"/>
              <w:left w:val="nil"/>
              <w:bottom w:val="single" w:sz="4" w:space="0" w:color="auto"/>
              <w:right w:val="nil"/>
            </w:tcBorders>
            <w:noWrap/>
            <w:vAlign w:val="center"/>
            <w:hideMark/>
          </w:tcPr>
          <w:p w14:paraId="177BB2C4" w14:textId="7DCDCD3E" w:rsidR="00B1608A" w:rsidRDefault="00B1608A" w:rsidP="004F1CBC">
            <w:pPr>
              <w:jc w:val="center"/>
              <w:rPr>
                <w:rFonts w:ascii="Calibri" w:hAnsi="Calibri" w:cs="Calibri"/>
                <w:b/>
                <w:bCs/>
                <w:color w:val="000000"/>
                <w:sz w:val="20"/>
                <w:szCs w:val="20"/>
              </w:rPr>
            </w:pPr>
            <w:r>
              <w:rPr>
                <w:rFonts w:ascii="Calibri" w:hAnsi="Calibri" w:cs="Calibri"/>
                <w:b/>
                <w:bCs/>
                <w:color w:val="000000"/>
                <w:sz w:val="20"/>
                <w:szCs w:val="20"/>
              </w:rPr>
              <w:t xml:space="preserve">I </w:t>
            </w:r>
            <w:proofErr w:type="spellStart"/>
            <w:r>
              <w:rPr>
                <w:rFonts w:ascii="Calibri" w:hAnsi="Calibri" w:cs="Calibri"/>
                <w:b/>
                <w:bCs/>
                <w:color w:val="000000"/>
                <w:sz w:val="20"/>
                <w:szCs w:val="20"/>
              </w:rPr>
              <w:t>sem</w:t>
            </w:r>
            <w:proofErr w:type="spellEnd"/>
            <w:r w:rsidR="004607C8">
              <w:rPr>
                <w:rFonts w:ascii="Calibri" w:hAnsi="Calibri" w:cs="Calibri"/>
                <w:b/>
                <w:bCs/>
                <w:color w:val="000000"/>
                <w:sz w:val="20"/>
                <w:szCs w:val="20"/>
              </w:rPr>
              <w:t>.</w:t>
            </w:r>
            <w:r>
              <w:rPr>
                <w:rFonts w:ascii="Calibri" w:hAnsi="Calibri" w:cs="Calibri"/>
                <w:b/>
                <w:bCs/>
                <w:color w:val="000000"/>
                <w:sz w:val="20"/>
                <w:szCs w:val="20"/>
              </w:rPr>
              <w:t xml:space="preserve"> 2026</w:t>
            </w:r>
          </w:p>
        </w:tc>
        <w:tc>
          <w:tcPr>
            <w:tcW w:w="1134" w:type="dxa"/>
            <w:vMerge/>
            <w:tcBorders>
              <w:left w:val="nil"/>
              <w:bottom w:val="single" w:sz="4" w:space="0" w:color="000000"/>
              <w:right w:val="nil"/>
            </w:tcBorders>
            <w:vAlign w:val="center"/>
            <w:hideMark/>
          </w:tcPr>
          <w:p w14:paraId="7F85BE2D" w14:textId="77777777" w:rsidR="00B1608A" w:rsidRDefault="00B1608A" w:rsidP="004F1CBC">
            <w:pPr>
              <w:rPr>
                <w:rFonts w:ascii="Calibri" w:hAnsi="Calibri" w:cs="Calibri"/>
                <w:b/>
                <w:bCs/>
                <w:color w:val="000000"/>
                <w:sz w:val="20"/>
                <w:szCs w:val="20"/>
              </w:rPr>
            </w:pPr>
          </w:p>
        </w:tc>
        <w:tc>
          <w:tcPr>
            <w:tcW w:w="741" w:type="dxa"/>
            <w:vMerge/>
            <w:tcBorders>
              <w:left w:val="nil"/>
              <w:bottom w:val="single" w:sz="4" w:space="0" w:color="000000"/>
              <w:right w:val="nil"/>
            </w:tcBorders>
            <w:vAlign w:val="center"/>
            <w:hideMark/>
          </w:tcPr>
          <w:p w14:paraId="48DDAE4C" w14:textId="77777777" w:rsidR="00B1608A" w:rsidRDefault="00B1608A" w:rsidP="004F1CBC">
            <w:pPr>
              <w:rPr>
                <w:rFonts w:ascii="Calibri" w:hAnsi="Calibri" w:cs="Calibri"/>
                <w:b/>
                <w:bCs/>
                <w:color w:val="000000"/>
                <w:sz w:val="20"/>
                <w:szCs w:val="20"/>
              </w:rPr>
            </w:pPr>
          </w:p>
        </w:tc>
        <w:tc>
          <w:tcPr>
            <w:tcW w:w="1042" w:type="dxa"/>
            <w:vMerge/>
            <w:tcBorders>
              <w:left w:val="nil"/>
              <w:bottom w:val="single" w:sz="4" w:space="0" w:color="000000"/>
              <w:right w:val="nil"/>
            </w:tcBorders>
            <w:vAlign w:val="center"/>
            <w:hideMark/>
          </w:tcPr>
          <w:p w14:paraId="7B746D73" w14:textId="77777777" w:rsidR="00B1608A" w:rsidRDefault="00B1608A" w:rsidP="004F1CBC">
            <w:pPr>
              <w:rPr>
                <w:rFonts w:ascii="Calibri" w:hAnsi="Calibri" w:cs="Calibri"/>
                <w:b/>
                <w:bCs/>
                <w:color w:val="000000"/>
                <w:sz w:val="20"/>
                <w:szCs w:val="20"/>
              </w:rPr>
            </w:pPr>
          </w:p>
        </w:tc>
        <w:tc>
          <w:tcPr>
            <w:tcW w:w="164" w:type="dxa"/>
            <w:tcBorders>
              <w:top w:val="nil"/>
              <w:left w:val="nil"/>
              <w:bottom w:val="nil"/>
              <w:right w:val="nil"/>
            </w:tcBorders>
            <w:noWrap/>
            <w:vAlign w:val="center"/>
            <w:hideMark/>
          </w:tcPr>
          <w:p w14:paraId="3C97DECC" w14:textId="77777777" w:rsidR="00B1608A" w:rsidRDefault="00B1608A" w:rsidP="004F1CBC">
            <w:pPr>
              <w:jc w:val="center"/>
              <w:rPr>
                <w:rFonts w:ascii="Calibri" w:hAnsi="Calibri" w:cs="Calibri"/>
                <w:b/>
                <w:bCs/>
                <w:color w:val="000000"/>
                <w:sz w:val="20"/>
                <w:szCs w:val="20"/>
              </w:rPr>
            </w:pPr>
          </w:p>
        </w:tc>
      </w:tr>
      <w:tr w:rsidR="00B1608A" w14:paraId="3AF2C91C" w14:textId="77777777" w:rsidTr="004F1CBC">
        <w:trPr>
          <w:trHeight w:val="272"/>
        </w:trPr>
        <w:tc>
          <w:tcPr>
            <w:tcW w:w="1473" w:type="dxa"/>
            <w:tcBorders>
              <w:top w:val="nil"/>
              <w:left w:val="nil"/>
              <w:bottom w:val="nil"/>
              <w:right w:val="nil"/>
            </w:tcBorders>
            <w:noWrap/>
            <w:vAlign w:val="center"/>
            <w:hideMark/>
          </w:tcPr>
          <w:p w14:paraId="3D9B045E"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Germania</w:t>
            </w:r>
          </w:p>
        </w:tc>
        <w:tc>
          <w:tcPr>
            <w:tcW w:w="1513" w:type="dxa"/>
            <w:tcBorders>
              <w:top w:val="nil"/>
              <w:left w:val="nil"/>
              <w:bottom w:val="nil"/>
              <w:right w:val="nil"/>
            </w:tcBorders>
            <w:noWrap/>
            <w:vAlign w:val="center"/>
            <w:hideMark/>
          </w:tcPr>
          <w:p w14:paraId="7F035AD8"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224.059.785</w:t>
            </w:r>
          </w:p>
        </w:tc>
        <w:tc>
          <w:tcPr>
            <w:tcW w:w="1605" w:type="dxa"/>
            <w:tcBorders>
              <w:top w:val="nil"/>
              <w:left w:val="nil"/>
              <w:bottom w:val="nil"/>
              <w:right w:val="nil"/>
            </w:tcBorders>
            <w:noWrap/>
            <w:vAlign w:val="center"/>
            <w:hideMark/>
          </w:tcPr>
          <w:p w14:paraId="3EC1025C"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221.050.397</w:t>
            </w:r>
          </w:p>
        </w:tc>
        <w:tc>
          <w:tcPr>
            <w:tcW w:w="1134" w:type="dxa"/>
            <w:tcBorders>
              <w:top w:val="nil"/>
              <w:left w:val="nil"/>
              <w:bottom w:val="nil"/>
              <w:right w:val="nil"/>
            </w:tcBorders>
            <w:noWrap/>
            <w:vAlign w:val="center"/>
            <w:hideMark/>
          </w:tcPr>
          <w:p w14:paraId="0D8460DC"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12,5%</w:t>
            </w:r>
          </w:p>
        </w:tc>
        <w:tc>
          <w:tcPr>
            <w:tcW w:w="1041" w:type="dxa"/>
            <w:tcBorders>
              <w:top w:val="nil"/>
              <w:left w:val="nil"/>
              <w:bottom w:val="nil"/>
              <w:right w:val="nil"/>
            </w:tcBorders>
            <w:noWrap/>
            <w:vAlign w:val="center"/>
            <w:hideMark/>
          </w:tcPr>
          <w:p w14:paraId="2A849ECE"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-1,3%</w:t>
            </w:r>
          </w:p>
        </w:tc>
        <w:tc>
          <w:tcPr>
            <w:tcW w:w="1289" w:type="dxa"/>
            <w:gridSpan w:val="3"/>
            <w:tcBorders>
              <w:top w:val="nil"/>
              <w:left w:val="nil"/>
              <w:bottom w:val="nil"/>
              <w:right w:val="nil"/>
            </w:tcBorders>
            <w:noWrap/>
            <w:vAlign w:val="center"/>
            <w:hideMark/>
          </w:tcPr>
          <w:p w14:paraId="3CCD183B"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-0,2%</w:t>
            </w:r>
          </w:p>
        </w:tc>
        <w:tc>
          <w:tcPr>
            <w:tcW w:w="164" w:type="dxa"/>
            <w:gridSpan w:val="2"/>
            <w:tcBorders>
              <w:top w:val="nil"/>
              <w:left w:val="nil"/>
              <w:bottom w:val="nil"/>
              <w:right w:val="nil"/>
            </w:tcBorders>
            <w:noWrap/>
            <w:vAlign w:val="center"/>
            <w:hideMark/>
          </w:tcPr>
          <w:p w14:paraId="23276FA5" w14:textId="77777777" w:rsidR="00B1608A" w:rsidRDefault="00B1608A" w:rsidP="004F1CBC">
            <w:pPr>
              <w:jc w:val="center"/>
              <w:rPr>
                <w:rFonts w:ascii="Calibri" w:hAnsi="Calibri" w:cs="Calibri"/>
                <w:i/>
                <w:iCs/>
                <w:color w:val="000000"/>
                <w:sz w:val="20"/>
                <w:szCs w:val="20"/>
              </w:rPr>
            </w:pPr>
          </w:p>
        </w:tc>
      </w:tr>
      <w:tr w:rsidR="00B1608A" w14:paraId="375E1023" w14:textId="77777777" w:rsidTr="004F1CBC">
        <w:trPr>
          <w:trHeight w:val="272"/>
        </w:trPr>
        <w:tc>
          <w:tcPr>
            <w:tcW w:w="1473" w:type="dxa"/>
            <w:tcBorders>
              <w:top w:val="nil"/>
              <w:left w:val="nil"/>
              <w:bottom w:val="nil"/>
              <w:right w:val="nil"/>
            </w:tcBorders>
            <w:noWrap/>
            <w:vAlign w:val="center"/>
            <w:hideMark/>
          </w:tcPr>
          <w:p w14:paraId="0F1A0B8B"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Francia</w:t>
            </w:r>
          </w:p>
        </w:tc>
        <w:tc>
          <w:tcPr>
            <w:tcW w:w="1513" w:type="dxa"/>
            <w:tcBorders>
              <w:top w:val="nil"/>
              <w:left w:val="nil"/>
              <w:bottom w:val="nil"/>
              <w:right w:val="nil"/>
            </w:tcBorders>
            <w:noWrap/>
            <w:vAlign w:val="center"/>
            <w:hideMark/>
          </w:tcPr>
          <w:p w14:paraId="75399B33"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207.671.943</w:t>
            </w:r>
          </w:p>
        </w:tc>
        <w:tc>
          <w:tcPr>
            <w:tcW w:w="1605" w:type="dxa"/>
            <w:tcBorders>
              <w:top w:val="nil"/>
              <w:left w:val="nil"/>
              <w:bottom w:val="nil"/>
              <w:right w:val="nil"/>
            </w:tcBorders>
            <w:noWrap/>
            <w:vAlign w:val="center"/>
            <w:hideMark/>
          </w:tcPr>
          <w:p w14:paraId="3E03ED36"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214.926.797</w:t>
            </w:r>
          </w:p>
        </w:tc>
        <w:tc>
          <w:tcPr>
            <w:tcW w:w="1134" w:type="dxa"/>
            <w:tcBorders>
              <w:top w:val="nil"/>
              <w:left w:val="nil"/>
              <w:bottom w:val="nil"/>
              <w:right w:val="nil"/>
            </w:tcBorders>
            <w:noWrap/>
            <w:vAlign w:val="center"/>
            <w:hideMark/>
          </w:tcPr>
          <w:p w14:paraId="37B009DC"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12,2%</w:t>
            </w:r>
          </w:p>
        </w:tc>
        <w:tc>
          <w:tcPr>
            <w:tcW w:w="1041" w:type="dxa"/>
            <w:tcBorders>
              <w:top w:val="nil"/>
              <w:left w:val="nil"/>
              <w:bottom w:val="nil"/>
              <w:right w:val="nil"/>
            </w:tcBorders>
            <w:noWrap/>
            <w:vAlign w:val="center"/>
            <w:hideMark/>
          </w:tcPr>
          <w:p w14:paraId="7776FD35"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3,5%</w:t>
            </w:r>
          </w:p>
        </w:tc>
        <w:tc>
          <w:tcPr>
            <w:tcW w:w="1289" w:type="dxa"/>
            <w:gridSpan w:val="3"/>
            <w:tcBorders>
              <w:top w:val="nil"/>
              <w:left w:val="nil"/>
              <w:bottom w:val="nil"/>
              <w:right w:val="nil"/>
            </w:tcBorders>
            <w:noWrap/>
            <w:vAlign w:val="center"/>
            <w:hideMark/>
          </w:tcPr>
          <w:p w14:paraId="2ADCD49D"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0,4%</w:t>
            </w:r>
          </w:p>
        </w:tc>
        <w:tc>
          <w:tcPr>
            <w:tcW w:w="164" w:type="dxa"/>
            <w:gridSpan w:val="2"/>
            <w:tcBorders>
              <w:top w:val="nil"/>
              <w:left w:val="nil"/>
              <w:bottom w:val="nil"/>
              <w:right w:val="nil"/>
            </w:tcBorders>
            <w:noWrap/>
            <w:vAlign w:val="center"/>
            <w:hideMark/>
          </w:tcPr>
          <w:p w14:paraId="74D55656" w14:textId="77777777" w:rsidR="00B1608A" w:rsidRDefault="00B1608A" w:rsidP="004F1CBC">
            <w:pPr>
              <w:jc w:val="center"/>
              <w:rPr>
                <w:rFonts w:ascii="Calibri" w:hAnsi="Calibri" w:cs="Calibri"/>
                <w:i/>
                <w:iCs/>
                <w:color w:val="000000"/>
                <w:sz w:val="20"/>
                <w:szCs w:val="20"/>
              </w:rPr>
            </w:pPr>
          </w:p>
        </w:tc>
      </w:tr>
      <w:tr w:rsidR="00B1608A" w14:paraId="25E57931" w14:textId="77777777" w:rsidTr="004F1CBC">
        <w:trPr>
          <w:trHeight w:val="272"/>
        </w:trPr>
        <w:tc>
          <w:tcPr>
            <w:tcW w:w="1473" w:type="dxa"/>
            <w:tcBorders>
              <w:top w:val="nil"/>
              <w:left w:val="nil"/>
              <w:bottom w:val="nil"/>
              <w:right w:val="nil"/>
            </w:tcBorders>
            <w:noWrap/>
            <w:vAlign w:val="center"/>
            <w:hideMark/>
          </w:tcPr>
          <w:p w14:paraId="2E9DE1F6"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Austria</w:t>
            </w:r>
          </w:p>
        </w:tc>
        <w:tc>
          <w:tcPr>
            <w:tcW w:w="1513" w:type="dxa"/>
            <w:tcBorders>
              <w:top w:val="nil"/>
              <w:left w:val="nil"/>
              <w:bottom w:val="nil"/>
              <w:right w:val="nil"/>
            </w:tcBorders>
            <w:noWrap/>
            <w:vAlign w:val="center"/>
            <w:hideMark/>
          </w:tcPr>
          <w:p w14:paraId="79F26CA3"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161.115.548</w:t>
            </w:r>
          </w:p>
        </w:tc>
        <w:tc>
          <w:tcPr>
            <w:tcW w:w="1605" w:type="dxa"/>
            <w:tcBorders>
              <w:top w:val="nil"/>
              <w:left w:val="nil"/>
              <w:bottom w:val="nil"/>
              <w:right w:val="nil"/>
            </w:tcBorders>
            <w:noWrap/>
            <w:vAlign w:val="center"/>
            <w:hideMark/>
          </w:tcPr>
          <w:p w14:paraId="643E93FC"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168.380.997</w:t>
            </w:r>
          </w:p>
        </w:tc>
        <w:tc>
          <w:tcPr>
            <w:tcW w:w="1134" w:type="dxa"/>
            <w:tcBorders>
              <w:top w:val="nil"/>
              <w:left w:val="nil"/>
              <w:bottom w:val="nil"/>
              <w:right w:val="nil"/>
            </w:tcBorders>
            <w:noWrap/>
            <w:vAlign w:val="center"/>
            <w:hideMark/>
          </w:tcPr>
          <w:p w14:paraId="4FC0249B"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9,5%</w:t>
            </w:r>
          </w:p>
        </w:tc>
        <w:tc>
          <w:tcPr>
            <w:tcW w:w="1041" w:type="dxa"/>
            <w:tcBorders>
              <w:top w:val="nil"/>
              <w:left w:val="nil"/>
              <w:bottom w:val="nil"/>
              <w:right w:val="nil"/>
            </w:tcBorders>
            <w:noWrap/>
            <w:vAlign w:val="center"/>
            <w:hideMark/>
          </w:tcPr>
          <w:p w14:paraId="19492407"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4,5%</w:t>
            </w:r>
          </w:p>
        </w:tc>
        <w:tc>
          <w:tcPr>
            <w:tcW w:w="1289" w:type="dxa"/>
            <w:gridSpan w:val="3"/>
            <w:tcBorders>
              <w:top w:val="nil"/>
              <w:left w:val="nil"/>
              <w:bottom w:val="nil"/>
              <w:right w:val="nil"/>
            </w:tcBorders>
            <w:noWrap/>
            <w:vAlign w:val="center"/>
            <w:hideMark/>
          </w:tcPr>
          <w:p w14:paraId="25F7F297"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0,4%</w:t>
            </w:r>
          </w:p>
        </w:tc>
        <w:tc>
          <w:tcPr>
            <w:tcW w:w="164" w:type="dxa"/>
            <w:gridSpan w:val="2"/>
            <w:tcBorders>
              <w:top w:val="nil"/>
              <w:left w:val="nil"/>
              <w:bottom w:val="nil"/>
              <w:right w:val="nil"/>
            </w:tcBorders>
            <w:noWrap/>
            <w:vAlign w:val="center"/>
            <w:hideMark/>
          </w:tcPr>
          <w:p w14:paraId="342260B9" w14:textId="77777777" w:rsidR="00B1608A" w:rsidRDefault="00B1608A" w:rsidP="004F1CBC">
            <w:pPr>
              <w:jc w:val="center"/>
              <w:rPr>
                <w:rFonts w:ascii="Calibri" w:hAnsi="Calibri" w:cs="Calibri"/>
                <w:i/>
                <w:iCs/>
                <w:color w:val="000000"/>
                <w:sz w:val="20"/>
                <w:szCs w:val="20"/>
              </w:rPr>
            </w:pPr>
          </w:p>
        </w:tc>
      </w:tr>
      <w:tr w:rsidR="00B1608A" w14:paraId="65BE1D4C" w14:textId="77777777" w:rsidTr="004F1CBC">
        <w:trPr>
          <w:trHeight w:val="272"/>
        </w:trPr>
        <w:tc>
          <w:tcPr>
            <w:tcW w:w="1473" w:type="dxa"/>
            <w:tcBorders>
              <w:top w:val="nil"/>
              <w:left w:val="nil"/>
              <w:bottom w:val="nil"/>
              <w:right w:val="nil"/>
            </w:tcBorders>
            <w:noWrap/>
            <w:vAlign w:val="center"/>
            <w:hideMark/>
          </w:tcPr>
          <w:p w14:paraId="6F671A6D"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Spagna</w:t>
            </w:r>
          </w:p>
        </w:tc>
        <w:tc>
          <w:tcPr>
            <w:tcW w:w="1513" w:type="dxa"/>
            <w:tcBorders>
              <w:top w:val="nil"/>
              <w:left w:val="nil"/>
              <w:bottom w:val="nil"/>
              <w:right w:val="nil"/>
            </w:tcBorders>
            <w:noWrap/>
            <w:vAlign w:val="center"/>
            <w:hideMark/>
          </w:tcPr>
          <w:p w14:paraId="616DA854"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155.393.148</w:t>
            </w:r>
          </w:p>
        </w:tc>
        <w:tc>
          <w:tcPr>
            <w:tcW w:w="1605" w:type="dxa"/>
            <w:tcBorders>
              <w:top w:val="nil"/>
              <w:left w:val="nil"/>
              <w:bottom w:val="nil"/>
              <w:right w:val="nil"/>
            </w:tcBorders>
            <w:noWrap/>
            <w:vAlign w:val="center"/>
            <w:hideMark/>
          </w:tcPr>
          <w:p w14:paraId="46DF8B89"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155.612.988</w:t>
            </w:r>
          </w:p>
        </w:tc>
        <w:tc>
          <w:tcPr>
            <w:tcW w:w="1134" w:type="dxa"/>
            <w:tcBorders>
              <w:top w:val="nil"/>
              <w:left w:val="nil"/>
              <w:bottom w:val="nil"/>
              <w:right w:val="nil"/>
            </w:tcBorders>
            <w:noWrap/>
            <w:vAlign w:val="center"/>
            <w:hideMark/>
          </w:tcPr>
          <w:p w14:paraId="08F8EBA0"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8,8%</w:t>
            </w:r>
          </w:p>
        </w:tc>
        <w:tc>
          <w:tcPr>
            <w:tcW w:w="1041" w:type="dxa"/>
            <w:tcBorders>
              <w:top w:val="nil"/>
              <w:left w:val="nil"/>
              <w:bottom w:val="nil"/>
              <w:right w:val="nil"/>
            </w:tcBorders>
            <w:noWrap/>
            <w:vAlign w:val="center"/>
            <w:hideMark/>
          </w:tcPr>
          <w:p w14:paraId="50741F55"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0,1%</w:t>
            </w:r>
          </w:p>
        </w:tc>
        <w:tc>
          <w:tcPr>
            <w:tcW w:w="1289" w:type="dxa"/>
            <w:gridSpan w:val="3"/>
            <w:tcBorders>
              <w:top w:val="nil"/>
              <w:left w:val="nil"/>
              <w:bottom w:val="nil"/>
              <w:right w:val="nil"/>
            </w:tcBorders>
            <w:noWrap/>
            <w:vAlign w:val="center"/>
            <w:hideMark/>
          </w:tcPr>
          <w:p w14:paraId="11E2E14A"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0,0%</w:t>
            </w:r>
          </w:p>
        </w:tc>
        <w:tc>
          <w:tcPr>
            <w:tcW w:w="164" w:type="dxa"/>
            <w:gridSpan w:val="2"/>
            <w:tcBorders>
              <w:top w:val="nil"/>
              <w:left w:val="nil"/>
              <w:bottom w:val="nil"/>
              <w:right w:val="nil"/>
            </w:tcBorders>
            <w:noWrap/>
            <w:vAlign w:val="center"/>
            <w:hideMark/>
          </w:tcPr>
          <w:p w14:paraId="47E98C74" w14:textId="77777777" w:rsidR="00B1608A" w:rsidRDefault="00B1608A" w:rsidP="004F1CBC">
            <w:pPr>
              <w:jc w:val="center"/>
              <w:rPr>
                <w:rFonts w:ascii="Calibri" w:hAnsi="Calibri" w:cs="Calibri"/>
                <w:i/>
                <w:iCs/>
                <w:color w:val="000000"/>
                <w:sz w:val="20"/>
                <w:szCs w:val="20"/>
              </w:rPr>
            </w:pPr>
          </w:p>
        </w:tc>
      </w:tr>
      <w:tr w:rsidR="00B1608A" w14:paraId="527B344B" w14:textId="77777777" w:rsidTr="004F1CBC">
        <w:trPr>
          <w:trHeight w:val="272"/>
        </w:trPr>
        <w:tc>
          <w:tcPr>
            <w:tcW w:w="1473" w:type="dxa"/>
            <w:tcBorders>
              <w:top w:val="nil"/>
              <w:left w:val="nil"/>
              <w:bottom w:val="nil"/>
              <w:right w:val="nil"/>
            </w:tcBorders>
            <w:noWrap/>
            <w:vAlign w:val="center"/>
            <w:hideMark/>
          </w:tcPr>
          <w:p w14:paraId="4976E0AC"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Stati Uniti</w:t>
            </w:r>
          </w:p>
        </w:tc>
        <w:tc>
          <w:tcPr>
            <w:tcW w:w="1513" w:type="dxa"/>
            <w:tcBorders>
              <w:top w:val="nil"/>
              <w:left w:val="nil"/>
              <w:bottom w:val="nil"/>
              <w:right w:val="nil"/>
            </w:tcBorders>
            <w:noWrap/>
            <w:vAlign w:val="center"/>
            <w:hideMark/>
          </w:tcPr>
          <w:p w14:paraId="70960E2F"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122.795.325</w:t>
            </w:r>
          </w:p>
        </w:tc>
        <w:tc>
          <w:tcPr>
            <w:tcW w:w="1605" w:type="dxa"/>
            <w:tcBorders>
              <w:top w:val="nil"/>
              <w:left w:val="nil"/>
              <w:bottom w:val="nil"/>
              <w:right w:val="nil"/>
            </w:tcBorders>
            <w:noWrap/>
            <w:vAlign w:val="center"/>
            <w:hideMark/>
          </w:tcPr>
          <w:p w14:paraId="47AB09E6"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138.930.739</w:t>
            </w:r>
          </w:p>
        </w:tc>
        <w:tc>
          <w:tcPr>
            <w:tcW w:w="1134" w:type="dxa"/>
            <w:tcBorders>
              <w:top w:val="nil"/>
              <w:left w:val="nil"/>
              <w:bottom w:val="nil"/>
              <w:right w:val="nil"/>
            </w:tcBorders>
            <w:noWrap/>
            <w:vAlign w:val="center"/>
            <w:hideMark/>
          </w:tcPr>
          <w:p w14:paraId="07A79AE5"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7,9%</w:t>
            </w:r>
          </w:p>
        </w:tc>
        <w:tc>
          <w:tcPr>
            <w:tcW w:w="1041" w:type="dxa"/>
            <w:tcBorders>
              <w:top w:val="nil"/>
              <w:left w:val="nil"/>
              <w:bottom w:val="nil"/>
              <w:right w:val="nil"/>
            </w:tcBorders>
            <w:noWrap/>
            <w:vAlign w:val="center"/>
            <w:hideMark/>
          </w:tcPr>
          <w:p w14:paraId="43EDEA9B"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13,1%</w:t>
            </w:r>
          </w:p>
        </w:tc>
        <w:tc>
          <w:tcPr>
            <w:tcW w:w="1289" w:type="dxa"/>
            <w:gridSpan w:val="3"/>
            <w:tcBorders>
              <w:top w:val="nil"/>
              <w:left w:val="nil"/>
              <w:bottom w:val="nil"/>
              <w:right w:val="nil"/>
            </w:tcBorders>
            <w:noWrap/>
            <w:vAlign w:val="center"/>
            <w:hideMark/>
          </w:tcPr>
          <w:p w14:paraId="194E049E"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0,9%</w:t>
            </w:r>
          </w:p>
        </w:tc>
        <w:tc>
          <w:tcPr>
            <w:tcW w:w="164" w:type="dxa"/>
            <w:gridSpan w:val="2"/>
            <w:tcBorders>
              <w:top w:val="nil"/>
              <w:left w:val="nil"/>
              <w:bottom w:val="nil"/>
              <w:right w:val="nil"/>
            </w:tcBorders>
            <w:noWrap/>
            <w:vAlign w:val="center"/>
            <w:hideMark/>
          </w:tcPr>
          <w:p w14:paraId="6113DFBD" w14:textId="77777777" w:rsidR="00B1608A" w:rsidRDefault="00B1608A" w:rsidP="004F1CBC">
            <w:pPr>
              <w:jc w:val="center"/>
              <w:rPr>
                <w:rFonts w:ascii="Calibri" w:hAnsi="Calibri" w:cs="Calibri"/>
                <w:i/>
                <w:iCs/>
                <w:color w:val="000000"/>
                <w:sz w:val="20"/>
                <w:szCs w:val="20"/>
              </w:rPr>
            </w:pPr>
          </w:p>
        </w:tc>
      </w:tr>
      <w:tr w:rsidR="00B1608A" w14:paraId="585116FC" w14:textId="77777777" w:rsidTr="004F1CBC">
        <w:trPr>
          <w:trHeight w:val="272"/>
        </w:trPr>
        <w:tc>
          <w:tcPr>
            <w:tcW w:w="1473" w:type="dxa"/>
            <w:tcBorders>
              <w:top w:val="nil"/>
              <w:left w:val="nil"/>
              <w:bottom w:val="nil"/>
              <w:right w:val="nil"/>
            </w:tcBorders>
            <w:noWrap/>
            <w:vAlign w:val="center"/>
            <w:hideMark/>
          </w:tcPr>
          <w:p w14:paraId="5B920AE5"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Regno Unito</w:t>
            </w:r>
          </w:p>
        </w:tc>
        <w:tc>
          <w:tcPr>
            <w:tcW w:w="1513" w:type="dxa"/>
            <w:tcBorders>
              <w:top w:val="nil"/>
              <w:left w:val="nil"/>
              <w:bottom w:val="nil"/>
              <w:right w:val="nil"/>
            </w:tcBorders>
            <w:noWrap/>
            <w:vAlign w:val="center"/>
            <w:hideMark/>
          </w:tcPr>
          <w:p w14:paraId="0CB8D161"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67.990.336</w:t>
            </w:r>
          </w:p>
        </w:tc>
        <w:tc>
          <w:tcPr>
            <w:tcW w:w="1605" w:type="dxa"/>
            <w:tcBorders>
              <w:top w:val="nil"/>
              <w:left w:val="nil"/>
              <w:bottom w:val="nil"/>
              <w:right w:val="nil"/>
            </w:tcBorders>
            <w:noWrap/>
            <w:vAlign w:val="center"/>
            <w:hideMark/>
          </w:tcPr>
          <w:p w14:paraId="29453614"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61.356.728</w:t>
            </w:r>
          </w:p>
        </w:tc>
        <w:tc>
          <w:tcPr>
            <w:tcW w:w="1134" w:type="dxa"/>
            <w:tcBorders>
              <w:top w:val="nil"/>
              <w:left w:val="nil"/>
              <w:bottom w:val="nil"/>
              <w:right w:val="nil"/>
            </w:tcBorders>
            <w:noWrap/>
            <w:vAlign w:val="center"/>
            <w:hideMark/>
          </w:tcPr>
          <w:p w14:paraId="5F386DD0"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3,5%</w:t>
            </w:r>
          </w:p>
        </w:tc>
        <w:tc>
          <w:tcPr>
            <w:tcW w:w="1041" w:type="dxa"/>
            <w:tcBorders>
              <w:top w:val="nil"/>
              <w:left w:val="nil"/>
              <w:bottom w:val="nil"/>
              <w:right w:val="nil"/>
            </w:tcBorders>
            <w:noWrap/>
            <w:vAlign w:val="center"/>
            <w:hideMark/>
          </w:tcPr>
          <w:p w14:paraId="12D9A885"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-9,8%</w:t>
            </w:r>
          </w:p>
        </w:tc>
        <w:tc>
          <w:tcPr>
            <w:tcW w:w="1289" w:type="dxa"/>
            <w:gridSpan w:val="3"/>
            <w:tcBorders>
              <w:top w:val="nil"/>
              <w:left w:val="nil"/>
              <w:bottom w:val="nil"/>
              <w:right w:val="nil"/>
            </w:tcBorders>
            <w:noWrap/>
            <w:vAlign w:val="center"/>
            <w:hideMark/>
          </w:tcPr>
          <w:p w14:paraId="4322B5A2"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-0,4%</w:t>
            </w:r>
          </w:p>
        </w:tc>
        <w:tc>
          <w:tcPr>
            <w:tcW w:w="164" w:type="dxa"/>
            <w:gridSpan w:val="2"/>
            <w:tcBorders>
              <w:top w:val="nil"/>
              <w:left w:val="nil"/>
              <w:bottom w:val="nil"/>
              <w:right w:val="nil"/>
            </w:tcBorders>
            <w:noWrap/>
            <w:vAlign w:val="center"/>
            <w:hideMark/>
          </w:tcPr>
          <w:p w14:paraId="259ECDFD" w14:textId="77777777" w:rsidR="00B1608A" w:rsidRDefault="00B1608A" w:rsidP="004F1CBC">
            <w:pPr>
              <w:jc w:val="center"/>
              <w:rPr>
                <w:rFonts w:ascii="Calibri" w:hAnsi="Calibri" w:cs="Calibri"/>
                <w:i/>
                <w:iCs/>
                <w:color w:val="000000"/>
                <w:sz w:val="20"/>
                <w:szCs w:val="20"/>
              </w:rPr>
            </w:pPr>
          </w:p>
        </w:tc>
      </w:tr>
      <w:tr w:rsidR="00B1608A" w14:paraId="6C3F8F11" w14:textId="77777777" w:rsidTr="004F1CBC">
        <w:trPr>
          <w:trHeight w:val="272"/>
        </w:trPr>
        <w:tc>
          <w:tcPr>
            <w:tcW w:w="1473" w:type="dxa"/>
            <w:tcBorders>
              <w:top w:val="nil"/>
              <w:left w:val="nil"/>
              <w:bottom w:val="nil"/>
              <w:right w:val="nil"/>
            </w:tcBorders>
            <w:noWrap/>
            <w:vAlign w:val="center"/>
            <w:hideMark/>
          </w:tcPr>
          <w:p w14:paraId="39EBA49A"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Svizzera</w:t>
            </w:r>
          </w:p>
        </w:tc>
        <w:tc>
          <w:tcPr>
            <w:tcW w:w="1513" w:type="dxa"/>
            <w:tcBorders>
              <w:top w:val="nil"/>
              <w:left w:val="nil"/>
              <w:bottom w:val="nil"/>
              <w:right w:val="nil"/>
            </w:tcBorders>
            <w:noWrap/>
            <w:vAlign w:val="center"/>
            <w:hideMark/>
          </w:tcPr>
          <w:p w14:paraId="201686BB"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55.182.577</w:t>
            </w:r>
          </w:p>
        </w:tc>
        <w:tc>
          <w:tcPr>
            <w:tcW w:w="1605" w:type="dxa"/>
            <w:tcBorders>
              <w:top w:val="nil"/>
              <w:left w:val="nil"/>
              <w:bottom w:val="nil"/>
              <w:right w:val="nil"/>
            </w:tcBorders>
            <w:noWrap/>
            <w:vAlign w:val="center"/>
            <w:hideMark/>
          </w:tcPr>
          <w:p w14:paraId="1B3B8529"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60.385.553</w:t>
            </w:r>
          </w:p>
        </w:tc>
        <w:tc>
          <w:tcPr>
            <w:tcW w:w="1134" w:type="dxa"/>
            <w:tcBorders>
              <w:top w:val="nil"/>
              <w:left w:val="nil"/>
              <w:bottom w:val="nil"/>
              <w:right w:val="nil"/>
            </w:tcBorders>
            <w:noWrap/>
            <w:vAlign w:val="center"/>
            <w:hideMark/>
          </w:tcPr>
          <w:p w14:paraId="55702579"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3,4%</w:t>
            </w:r>
          </w:p>
        </w:tc>
        <w:tc>
          <w:tcPr>
            <w:tcW w:w="1041" w:type="dxa"/>
            <w:tcBorders>
              <w:top w:val="nil"/>
              <w:left w:val="nil"/>
              <w:bottom w:val="nil"/>
              <w:right w:val="nil"/>
            </w:tcBorders>
            <w:noWrap/>
            <w:vAlign w:val="center"/>
            <w:hideMark/>
          </w:tcPr>
          <w:p w14:paraId="4A5A79E8"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9,4%</w:t>
            </w:r>
          </w:p>
        </w:tc>
        <w:tc>
          <w:tcPr>
            <w:tcW w:w="1289" w:type="dxa"/>
            <w:gridSpan w:val="3"/>
            <w:tcBorders>
              <w:top w:val="nil"/>
              <w:left w:val="nil"/>
              <w:bottom w:val="nil"/>
              <w:right w:val="nil"/>
            </w:tcBorders>
            <w:noWrap/>
            <w:vAlign w:val="center"/>
            <w:hideMark/>
          </w:tcPr>
          <w:p w14:paraId="0C03A927"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0,3%</w:t>
            </w:r>
          </w:p>
        </w:tc>
        <w:tc>
          <w:tcPr>
            <w:tcW w:w="164" w:type="dxa"/>
            <w:gridSpan w:val="2"/>
            <w:tcBorders>
              <w:top w:val="nil"/>
              <w:left w:val="nil"/>
              <w:bottom w:val="nil"/>
              <w:right w:val="nil"/>
            </w:tcBorders>
            <w:noWrap/>
            <w:vAlign w:val="center"/>
            <w:hideMark/>
          </w:tcPr>
          <w:p w14:paraId="037CF7EA" w14:textId="77777777" w:rsidR="00B1608A" w:rsidRDefault="00B1608A" w:rsidP="004F1CBC">
            <w:pPr>
              <w:jc w:val="center"/>
              <w:rPr>
                <w:rFonts w:ascii="Calibri" w:hAnsi="Calibri" w:cs="Calibri"/>
                <w:i/>
                <w:iCs/>
                <w:color w:val="000000"/>
                <w:sz w:val="20"/>
                <w:szCs w:val="20"/>
              </w:rPr>
            </w:pPr>
          </w:p>
        </w:tc>
      </w:tr>
      <w:tr w:rsidR="00B1608A" w14:paraId="2D4AC7D1" w14:textId="77777777" w:rsidTr="004F1CBC">
        <w:trPr>
          <w:trHeight w:val="272"/>
        </w:trPr>
        <w:tc>
          <w:tcPr>
            <w:tcW w:w="1473" w:type="dxa"/>
            <w:tcBorders>
              <w:top w:val="nil"/>
              <w:left w:val="nil"/>
              <w:bottom w:val="nil"/>
              <w:right w:val="nil"/>
            </w:tcBorders>
            <w:noWrap/>
            <w:vAlign w:val="center"/>
            <w:hideMark/>
          </w:tcPr>
          <w:p w14:paraId="5D606ED1"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Paesi Bassi</w:t>
            </w:r>
          </w:p>
        </w:tc>
        <w:tc>
          <w:tcPr>
            <w:tcW w:w="1513" w:type="dxa"/>
            <w:tcBorders>
              <w:top w:val="nil"/>
              <w:left w:val="nil"/>
              <w:bottom w:val="nil"/>
              <w:right w:val="nil"/>
            </w:tcBorders>
            <w:noWrap/>
            <w:vAlign w:val="center"/>
            <w:hideMark/>
          </w:tcPr>
          <w:p w14:paraId="57883AA4"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56.259.889</w:t>
            </w:r>
          </w:p>
        </w:tc>
        <w:tc>
          <w:tcPr>
            <w:tcW w:w="1605" w:type="dxa"/>
            <w:tcBorders>
              <w:top w:val="nil"/>
              <w:left w:val="nil"/>
              <w:bottom w:val="nil"/>
              <w:right w:val="nil"/>
            </w:tcBorders>
            <w:noWrap/>
            <w:vAlign w:val="center"/>
            <w:hideMark/>
          </w:tcPr>
          <w:p w14:paraId="203E82F1"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55.738.861</w:t>
            </w:r>
          </w:p>
        </w:tc>
        <w:tc>
          <w:tcPr>
            <w:tcW w:w="1134" w:type="dxa"/>
            <w:tcBorders>
              <w:top w:val="nil"/>
              <w:left w:val="nil"/>
              <w:bottom w:val="nil"/>
              <w:right w:val="nil"/>
            </w:tcBorders>
            <w:noWrap/>
            <w:vAlign w:val="center"/>
            <w:hideMark/>
          </w:tcPr>
          <w:p w14:paraId="19321778"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3,2%</w:t>
            </w:r>
          </w:p>
        </w:tc>
        <w:tc>
          <w:tcPr>
            <w:tcW w:w="1041" w:type="dxa"/>
            <w:tcBorders>
              <w:top w:val="nil"/>
              <w:left w:val="nil"/>
              <w:bottom w:val="nil"/>
              <w:right w:val="nil"/>
            </w:tcBorders>
            <w:noWrap/>
            <w:vAlign w:val="center"/>
            <w:hideMark/>
          </w:tcPr>
          <w:p w14:paraId="31BB07BF"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-0,9%</w:t>
            </w:r>
          </w:p>
        </w:tc>
        <w:tc>
          <w:tcPr>
            <w:tcW w:w="1289" w:type="dxa"/>
            <w:gridSpan w:val="3"/>
            <w:tcBorders>
              <w:top w:val="nil"/>
              <w:left w:val="nil"/>
              <w:bottom w:val="nil"/>
              <w:right w:val="nil"/>
            </w:tcBorders>
            <w:noWrap/>
            <w:vAlign w:val="center"/>
            <w:hideMark/>
          </w:tcPr>
          <w:p w14:paraId="6F250A38"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-0,0%</w:t>
            </w:r>
          </w:p>
        </w:tc>
        <w:tc>
          <w:tcPr>
            <w:tcW w:w="164" w:type="dxa"/>
            <w:gridSpan w:val="2"/>
            <w:tcBorders>
              <w:top w:val="nil"/>
              <w:left w:val="nil"/>
              <w:bottom w:val="nil"/>
              <w:right w:val="nil"/>
            </w:tcBorders>
            <w:noWrap/>
            <w:vAlign w:val="center"/>
            <w:hideMark/>
          </w:tcPr>
          <w:p w14:paraId="7B05EC65" w14:textId="77777777" w:rsidR="00B1608A" w:rsidRDefault="00B1608A" w:rsidP="004F1CBC">
            <w:pPr>
              <w:jc w:val="center"/>
              <w:rPr>
                <w:rFonts w:ascii="Calibri" w:hAnsi="Calibri" w:cs="Calibri"/>
                <w:i/>
                <w:iCs/>
                <w:color w:val="000000"/>
                <w:sz w:val="20"/>
                <w:szCs w:val="20"/>
              </w:rPr>
            </w:pPr>
          </w:p>
        </w:tc>
      </w:tr>
      <w:tr w:rsidR="00B1608A" w14:paraId="4A1A5DA3" w14:textId="77777777" w:rsidTr="004F1CBC">
        <w:trPr>
          <w:trHeight w:val="272"/>
        </w:trPr>
        <w:tc>
          <w:tcPr>
            <w:tcW w:w="1473" w:type="dxa"/>
            <w:tcBorders>
              <w:top w:val="nil"/>
              <w:left w:val="nil"/>
              <w:bottom w:val="nil"/>
              <w:right w:val="nil"/>
            </w:tcBorders>
            <w:noWrap/>
            <w:vAlign w:val="center"/>
            <w:hideMark/>
          </w:tcPr>
          <w:p w14:paraId="28E070C6"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Cina</w:t>
            </w:r>
          </w:p>
        </w:tc>
        <w:tc>
          <w:tcPr>
            <w:tcW w:w="1513" w:type="dxa"/>
            <w:tcBorders>
              <w:top w:val="nil"/>
              <w:left w:val="nil"/>
              <w:bottom w:val="nil"/>
              <w:right w:val="nil"/>
            </w:tcBorders>
            <w:noWrap/>
            <w:vAlign w:val="center"/>
            <w:hideMark/>
          </w:tcPr>
          <w:p w14:paraId="45531939"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61.158.118</w:t>
            </w:r>
          </w:p>
        </w:tc>
        <w:tc>
          <w:tcPr>
            <w:tcW w:w="1605" w:type="dxa"/>
            <w:tcBorders>
              <w:top w:val="nil"/>
              <w:left w:val="nil"/>
              <w:bottom w:val="nil"/>
              <w:right w:val="nil"/>
            </w:tcBorders>
            <w:noWrap/>
            <w:vAlign w:val="center"/>
            <w:hideMark/>
          </w:tcPr>
          <w:p w14:paraId="1FFB6984"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52.956.050</w:t>
            </w:r>
          </w:p>
        </w:tc>
        <w:tc>
          <w:tcPr>
            <w:tcW w:w="1134" w:type="dxa"/>
            <w:tcBorders>
              <w:top w:val="nil"/>
              <w:left w:val="nil"/>
              <w:bottom w:val="nil"/>
              <w:right w:val="nil"/>
            </w:tcBorders>
            <w:noWrap/>
            <w:vAlign w:val="center"/>
            <w:hideMark/>
          </w:tcPr>
          <w:p w14:paraId="0B0B9D36"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3,0%</w:t>
            </w:r>
          </w:p>
        </w:tc>
        <w:tc>
          <w:tcPr>
            <w:tcW w:w="1041" w:type="dxa"/>
            <w:tcBorders>
              <w:top w:val="nil"/>
              <w:left w:val="nil"/>
              <w:bottom w:val="nil"/>
              <w:right w:val="nil"/>
            </w:tcBorders>
            <w:noWrap/>
            <w:vAlign w:val="center"/>
            <w:hideMark/>
          </w:tcPr>
          <w:p w14:paraId="579AD331"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-13,4%</w:t>
            </w:r>
          </w:p>
        </w:tc>
        <w:tc>
          <w:tcPr>
            <w:tcW w:w="1289" w:type="dxa"/>
            <w:gridSpan w:val="3"/>
            <w:tcBorders>
              <w:top w:val="nil"/>
              <w:left w:val="nil"/>
              <w:bottom w:val="nil"/>
              <w:right w:val="nil"/>
            </w:tcBorders>
            <w:noWrap/>
            <w:vAlign w:val="center"/>
            <w:hideMark/>
          </w:tcPr>
          <w:p w14:paraId="69A4EFF1"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-0,5%</w:t>
            </w:r>
          </w:p>
        </w:tc>
        <w:tc>
          <w:tcPr>
            <w:tcW w:w="164" w:type="dxa"/>
            <w:gridSpan w:val="2"/>
            <w:tcBorders>
              <w:top w:val="nil"/>
              <w:left w:val="nil"/>
              <w:bottom w:val="nil"/>
              <w:right w:val="nil"/>
            </w:tcBorders>
            <w:noWrap/>
            <w:vAlign w:val="center"/>
            <w:hideMark/>
          </w:tcPr>
          <w:p w14:paraId="7795D507" w14:textId="77777777" w:rsidR="00B1608A" w:rsidRDefault="00B1608A" w:rsidP="004F1CBC">
            <w:pPr>
              <w:jc w:val="center"/>
              <w:rPr>
                <w:rFonts w:ascii="Calibri" w:hAnsi="Calibri" w:cs="Calibri"/>
                <w:i/>
                <w:iCs/>
                <w:color w:val="000000"/>
                <w:sz w:val="20"/>
                <w:szCs w:val="20"/>
              </w:rPr>
            </w:pPr>
          </w:p>
        </w:tc>
      </w:tr>
      <w:tr w:rsidR="00B1608A" w14:paraId="387178D3" w14:textId="77777777" w:rsidTr="004F1CBC">
        <w:trPr>
          <w:trHeight w:val="272"/>
        </w:trPr>
        <w:tc>
          <w:tcPr>
            <w:tcW w:w="1473" w:type="dxa"/>
            <w:tcBorders>
              <w:top w:val="nil"/>
              <w:left w:val="nil"/>
              <w:bottom w:val="nil"/>
              <w:right w:val="nil"/>
            </w:tcBorders>
            <w:noWrap/>
            <w:vAlign w:val="center"/>
            <w:hideMark/>
          </w:tcPr>
          <w:p w14:paraId="708705DC"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Polonia</w:t>
            </w:r>
          </w:p>
        </w:tc>
        <w:tc>
          <w:tcPr>
            <w:tcW w:w="1513" w:type="dxa"/>
            <w:tcBorders>
              <w:top w:val="nil"/>
              <w:left w:val="nil"/>
              <w:bottom w:val="nil"/>
              <w:right w:val="nil"/>
            </w:tcBorders>
            <w:noWrap/>
            <w:vAlign w:val="center"/>
            <w:hideMark/>
          </w:tcPr>
          <w:p w14:paraId="06F8CC5A"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31.418.496</w:t>
            </w:r>
          </w:p>
        </w:tc>
        <w:tc>
          <w:tcPr>
            <w:tcW w:w="1605" w:type="dxa"/>
            <w:tcBorders>
              <w:top w:val="nil"/>
              <w:left w:val="nil"/>
              <w:bottom w:val="nil"/>
              <w:right w:val="nil"/>
            </w:tcBorders>
            <w:noWrap/>
            <w:vAlign w:val="center"/>
            <w:hideMark/>
          </w:tcPr>
          <w:p w14:paraId="11C43CE4"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40.394.710</w:t>
            </w:r>
          </w:p>
        </w:tc>
        <w:tc>
          <w:tcPr>
            <w:tcW w:w="1134" w:type="dxa"/>
            <w:tcBorders>
              <w:top w:val="nil"/>
              <w:left w:val="nil"/>
              <w:bottom w:val="nil"/>
              <w:right w:val="nil"/>
            </w:tcBorders>
            <w:noWrap/>
            <w:vAlign w:val="center"/>
            <w:hideMark/>
          </w:tcPr>
          <w:p w14:paraId="3060A00A"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2,3%</w:t>
            </w:r>
          </w:p>
        </w:tc>
        <w:tc>
          <w:tcPr>
            <w:tcW w:w="1041" w:type="dxa"/>
            <w:tcBorders>
              <w:top w:val="nil"/>
              <w:left w:val="nil"/>
              <w:bottom w:val="nil"/>
              <w:right w:val="nil"/>
            </w:tcBorders>
            <w:noWrap/>
            <w:vAlign w:val="center"/>
            <w:hideMark/>
          </w:tcPr>
          <w:p w14:paraId="05E875BB"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28,6%</w:t>
            </w:r>
          </w:p>
        </w:tc>
        <w:tc>
          <w:tcPr>
            <w:tcW w:w="1289" w:type="dxa"/>
            <w:gridSpan w:val="3"/>
            <w:tcBorders>
              <w:top w:val="nil"/>
              <w:left w:val="nil"/>
              <w:bottom w:val="nil"/>
              <w:right w:val="nil"/>
            </w:tcBorders>
            <w:noWrap/>
            <w:vAlign w:val="center"/>
            <w:hideMark/>
          </w:tcPr>
          <w:p w14:paraId="41F92F18"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0,5%</w:t>
            </w:r>
          </w:p>
        </w:tc>
        <w:tc>
          <w:tcPr>
            <w:tcW w:w="164" w:type="dxa"/>
            <w:gridSpan w:val="2"/>
            <w:tcBorders>
              <w:top w:val="nil"/>
              <w:left w:val="nil"/>
              <w:bottom w:val="nil"/>
              <w:right w:val="nil"/>
            </w:tcBorders>
            <w:noWrap/>
            <w:vAlign w:val="center"/>
            <w:hideMark/>
          </w:tcPr>
          <w:p w14:paraId="0F909359" w14:textId="77777777" w:rsidR="00B1608A" w:rsidRDefault="00B1608A" w:rsidP="004F1CBC">
            <w:pPr>
              <w:jc w:val="center"/>
              <w:rPr>
                <w:rFonts w:ascii="Calibri" w:hAnsi="Calibri" w:cs="Calibri"/>
                <w:i/>
                <w:iCs/>
                <w:color w:val="000000"/>
                <w:sz w:val="20"/>
                <w:szCs w:val="20"/>
              </w:rPr>
            </w:pPr>
          </w:p>
        </w:tc>
      </w:tr>
      <w:tr w:rsidR="00B1608A" w14:paraId="1C5C6AFA" w14:textId="77777777" w:rsidTr="004F1CBC">
        <w:trPr>
          <w:trHeight w:val="272"/>
        </w:trPr>
        <w:tc>
          <w:tcPr>
            <w:tcW w:w="1473" w:type="dxa"/>
            <w:tcBorders>
              <w:top w:val="nil"/>
              <w:left w:val="nil"/>
              <w:bottom w:val="nil"/>
              <w:right w:val="nil"/>
            </w:tcBorders>
            <w:noWrap/>
            <w:vAlign w:val="center"/>
            <w:hideMark/>
          </w:tcPr>
          <w:p w14:paraId="74351908"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Grecia</w:t>
            </w:r>
          </w:p>
        </w:tc>
        <w:tc>
          <w:tcPr>
            <w:tcW w:w="1513" w:type="dxa"/>
            <w:tcBorders>
              <w:top w:val="nil"/>
              <w:left w:val="nil"/>
              <w:bottom w:val="nil"/>
              <w:right w:val="nil"/>
            </w:tcBorders>
            <w:noWrap/>
            <w:vAlign w:val="center"/>
            <w:hideMark/>
          </w:tcPr>
          <w:p w14:paraId="340E34B4"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35.788.218</w:t>
            </w:r>
          </w:p>
        </w:tc>
        <w:tc>
          <w:tcPr>
            <w:tcW w:w="1605" w:type="dxa"/>
            <w:tcBorders>
              <w:top w:val="nil"/>
              <w:left w:val="nil"/>
              <w:bottom w:val="nil"/>
              <w:right w:val="nil"/>
            </w:tcBorders>
            <w:noWrap/>
            <w:vAlign w:val="center"/>
            <w:hideMark/>
          </w:tcPr>
          <w:p w14:paraId="2008AD57"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34.403.491</w:t>
            </w:r>
          </w:p>
        </w:tc>
        <w:tc>
          <w:tcPr>
            <w:tcW w:w="1134" w:type="dxa"/>
            <w:tcBorders>
              <w:top w:val="nil"/>
              <w:left w:val="nil"/>
              <w:bottom w:val="nil"/>
              <w:right w:val="nil"/>
            </w:tcBorders>
            <w:noWrap/>
            <w:vAlign w:val="center"/>
            <w:hideMark/>
          </w:tcPr>
          <w:p w14:paraId="07EEB52E"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1,9%</w:t>
            </w:r>
          </w:p>
        </w:tc>
        <w:tc>
          <w:tcPr>
            <w:tcW w:w="1041" w:type="dxa"/>
            <w:tcBorders>
              <w:top w:val="nil"/>
              <w:left w:val="nil"/>
              <w:bottom w:val="nil"/>
              <w:right w:val="nil"/>
            </w:tcBorders>
            <w:noWrap/>
            <w:vAlign w:val="center"/>
            <w:hideMark/>
          </w:tcPr>
          <w:p w14:paraId="6BA95FA1"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-3,9%</w:t>
            </w:r>
          </w:p>
        </w:tc>
        <w:tc>
          <w:tcPr>
            <w:tcW w:w="1289" w:type="dxa"/>
            <w:gridSpan w:val="3"/>
            <w:tcBorders>
              <w:top w:val="nil"/>
              <w:left w:val="nil"/>
              <w:bottom w:val="nil"/>
              <w:right w:val="nil"/>
            </w:tcBorders>
            <w:noWrap/>
            <w:vAlign w:val="center"/>
            <w:hideMark/>
          </w:tcPr>
          <w:p w14:paraId="5BC68CFC"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-0,1%</w:t>
            </w:r>
          </w:p>
        </w:tc>
        <w:tc>
          <w:tcPr>
            <w:tcW w:w="164" w:type="dxa"/>
            <w:gridSpan w:val="2"/>
            <w:tcBorders>
              <w:top w:val="nil"/>
              <w:left w:val="nil"/>
              <w:bottom w:val="nil"/>
              <w:right w:val="nil"/>
            </w:tcBorders>
            <w:noWrap/>
            <w:vAlign w:val="center"/>
            <w:hideMark/>
          </w:tcPr>
          <w:p w14:paraId="6B1B9628" w14:textId="77777777" w:rsidR="00B1608A" w:rsidRDefault="00B1608A" w:rsidP="004F1CBC">
            <w:pPr>
              <w:jc w:val="center"/>
              <w:rPr>
                <w:rFonts w:ascii="Calibri" w:hAnsi="Calibri" w:cs="Calibri"/>
                <w:i/>
                <w:iCs/>
                <w:color w:val="000000"/>
                <w:sz w:val="20"/>
                <w:szCs w:val="20"/>
              </w:rPr>
            </w:pPr>
          </w:p>
        </w:tc>
      </w:tr>
      <w:tr w:rsidR="00B1608A" w14:paraId="6534DC4F" w14:textId="77777777" w:rsidTr="004F1CBC">
        <w:trPr>
          <w:trHeight w:val="272"/>
        </w:trPr>
        <w:tc>
          <w:tcPr>
            <w:tcW w:w="1473" w:type="dxa"/>
            <w:tcBorders>
              <w:top w:val="nil"/>
              <w:left w:val="nil"/>
              <w:bottom w:val="nil"/>
              <w:right w:val="nil"/>
            </w:tcBorders>
            <w:noWrap/>
            <w:vAlign w:val="center"/>
            <w:hideMark/>
          </w:tcPr>
          <w:p w14:paraId="2080C8C5"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Portogallo</w:t>
            </w:r>
          </w:p>
        </w:tc>
        <w:tc>
          <w:tcPr>
            <w:tcW w:w="1513" w:type="dxa"/>
            <w:tcBorders>
              <w:top w:val="nil"/>
              <w:left w:val="nil"/>
              <w:bottom w:val="nil"/>
              <w:right w:val="nil"/>
            </w:tcBorders>
            <w:noWrap/>
            <w:vAlign w:val="center"/>
            <w:hideMark/>
          </w:tcPr>
          <w:p w14:paraId="07A30024"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32.303.746</w:t>
            </w:r>
          </w:p>
        </w:tc>
        <w:tc>
          <w:tcPr>
            <w:tcW w:w="1605" w:type="dxa"/>
            <w:tcBorders>
              <w:top w:val="nil"/>
              <w:left w:val="nil"/>
              <w:bottom w:val="nil"/>
              <w:right w:val="nil"/>
            </w:tcBorders>
            <w:noWrap/>
            <w:vAlign w:val="center"/>
            <w:hideMark/>
          </w:tcPr>
          <w:p w14:paraId="13491F00"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29.743.035</w:t>
            </w:r>
          </w:p>
        </w:tc>
        <w:tc>
          <w:tcPr>
            <w:tcW w:w="1134" w:type="dxa"/>
            <w:tcBorders>
              <w:top w:val="nil"/>
              <w:left w:val="nil"/>
              <w:bottom w:val="nil"/>
              <w:right w:val="nil"/>
            </w:tcBorders>
            <w:noWrap/>
            <w:vAlign w:val="center"/>
            <w:hideMark/>
          </w:tcPr>
          <w:p w14:paraId="77370622"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1,7%</w:t>
            </w:r>
          </w:p>
        </w:tc>
        <w:tc>
          <w:tcPr>
            <w:tcW w:w="1041" w:type="dxa"/>
            <w:tcBorders>
              <w:top w:val="nil"/>
              <w:left w:val="nil"/>
              <w:bottom w:val="nil"/>
              <w:right w:val="nil"/>
            </w:tcBorders>
            <w:noWrap/>
            <w:vAlign w:val="center"/>
            <w:hideMark/>
          </w:tcPr>
          <w:p w14:paraId="14F33CF7"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-7,9%</w:t>
            </w:r>
          </w:p>
        </w:tc>
        <w:tc>
          <w:tcPr>
            <w:tcW w:w="1289" w:type="dxa"/>
            <w:gridSpan w:val="3"/>
            <w:tcBorders>
              <w:top w:val="nil"/>
              <w:left w:val="nil"/>
              <w:bottom w:val="nil"/>
              <w:right w:val="nil"/>
            </w:tcBorders>
            <w:noWrap/>
            <w:vAlign w:val="center"/>
            <w:hideMark/>
          </w:tcPr>
          <w:p w14:paraId="527697E3"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-0,1%</w:t>
            </w:r>
          </w:p>
        </w:tc>
        <w:tc>
          <w:tcPr>
            <w:tcW w:w="164" w:type="dxa"/>
            <w:gridSpan w:val="2"/>
            <w:tcBorders>
              <w:top w:val="nil"/>
              <w:left w:val="nil"/>
              <w:bottom w:val="nil"/>
              <w:right w:val="nil"/>
            </w:tcBorders>
            <w:noWrap/>
            <w:vAlign w:val="center"/>
            <w:hideMark/>
          </w:tcPr>
          <w:p w14:paraId="2AADB63C" w14:textId="77777777" w:rsidR="00B1608A" w:rsidRDefault="00B1608A" w:rsidP="004F1CBC">
            <w:pPr>
              <w:jc w:val="center"/>
              <w:rPr>
                <w:rFonts w:ascii="Calibri" w:hAnsi="Calibri" w:cs="Calibri"/>
                <w:i/>
                <w:iCs/>
                <w:color w:val="000000"/>
                <w:sz w:val="20"/>
                <w:szCs w:val="20"/>
              </w:rPr>
            </w:pPr>
          </w:p>
        </w:tc>
      </w:tr>
      <w:tr w:rsidR="00B1608A" w14:paraId="3EEAB079" w14:textId="77777777" w:rsidTr="004F1CBC">
        <w:trPr>
          <w:trHeight w:val="272"/>
        </w:trPr>
        <w:tc>
          <w:tcPr>
            <w:tcW w:w="1473" w:type="dxa"/>
            <w:tcBorders>
              <w:top w:val="nil"/>
              <w:left w:val="nil"/>
              <w:bottom w:val="nil"/>
              <w:right w:val="nil"/>
            </w:tcBorders>
            <w:noWrap/>
            <w:vAlign w:val="center"/>
            <w:hideMark/>
          </w:tcPr>
          <w:p w14:paraId="37F4AB9A"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Turchia</w:t>
            </w:r>
          </w:p>
        </w:tc>
        <w:tc>
          <w:tcPr>
            <w:tcW w:w="1513" w:type="dxa"/>
            <w:tcBorders>
              <w:top w:val="nil"/>
              <w:left w:val="nil"/>
              <w:bottom w:val="nil"/>
              <w:right w:val="nil"/>
            </w:tcBorders>
            <w:noWrap/>
            <w:vAlign w:val="center"/>
            <w:hideMark/>
          </w:tcPr>
          <w:p w14:paraId="4067F1CF"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34.026.602</w:t>
            </w:r>
          </w:p>
        </w:tc>
        <w:tc>
          <w:tcPr>
            <w:tcW w:w="1605" w:type="dxa"/>
            <w:tcBorders>
              <w:top w:val="nil"/>
              <w:left w:val="nil"/>
              <w:bottom w:val="nil"/>
              <w:right w:val="nil"/>
            </w:tcBorders>
            <w:noWrap/>
            <w:vAlign w:val="center"/>
            <w:hideMark/>
          </w:tcPr>
          <w:p w14:paraId="6EB47B3F"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28.758.461</w:t>
            </w:r>
          </w:p>
        </w:tc>
        <w:tc>
          <w:tcPr>
            <w:tcW w:w="1134" w:type="dxa"/>
            <w:tcBorders>
              <w:top w:val="nil"/>
              <w:left w:val="nil"/>
              <w:bottom w:val="nil"/>
              <w:right w:val="nil"/>
            </w:tcBorders>
            <w:noWrap/>
            <w:vAlign w:val="center"/>
            <w:hideMark/>
          </w:tcPr>
          <w:p w14:paraId="1CE9130E"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1,6%</w:t>
            </w:r>
          </w:p>
        </w:tc>
        <w:tc>
          <w:tcPr>
            <w:tcW w:w="1041" w:type="dxa"/>
            <w:tcBorders>
              <w:top w:val="nil"/>
              <w:left w:val="nil"/>
              <w:bottom w:val="nil"/>
              <w:right w:val="nil"/>
            </w:tcBorders>
            <w:noWrap/>
            <w:vAlign w:val="center"/>
            <w:hideMark/>
          </w:tcPr>
          <w:p w14:paraId="348CBA9B"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-15,5%</w:t>
            </w:r>
          </w:p>
        </w:tc>
        <w:tc>
          <w:tcPr>
            <w:tcW w:w="1289" w:type="dxa"/>
            <w:gridSpan w:val="3"/>
            <w:tcBorders>
              <w:top w:val="nil"/>
              <w:left w:val="nil"/>
              <w:bottom w:val="nil"/>
              <w:right w:val="nil"/>
            </w:tcBorders>
            <w:noWrap/>
            <w:vAlign w:val="center"/>
            <w:hideMark/>
          </w:tcPr>
          <w:p w14:paraId="15DFA0D5"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-0,3%</w:t>
            </w:r>
          </w:p>
        </w:tc>
        <w:tc>
          <w:tcPr>
            <w:tcW w:w="164" w:type="dxa"/>
            <w:gridSpan w:val="2"/>
            <w:tcBorders>
              <w:top w:val="nil"/>
              <w:left w:val="nil"/>
              <w:bottom w:val="nil"/>
              <w:right w:val="nil"/>
            </w:tcBorders>
            <w:noWrap/>
            <w:vAlign w:val="center"/>
            <w:hideMark/>
          </w:tcPr>
          <w:p w14:paraId="3F29BAA9" w14:textId="77777777" w:rsidR="00B1608A" w:rsidRDefault="00B1608A" w:rsidP="004F1CBC">
            <w:pPr>
              <w:jc w:val="center"/>
              <w:rPr>
                <w:rFonts w:ascii="Calibri" w:hAnsi="Calibri" w:cs="Calibri"/>
                <w:i/>
                <w:iCs/>
                <w:color w:val="000000"/>
                <w:sz w:val="20"/>
                <w:szCs w:val="20"/>
              </w:rPr>
            </w:pPr>
          </w:p>
        </w:tc>
      </w:tr>
      <w:tr w:rsidR="00B1608A" w14:paraId="7FAD486A" w14:textId="77777777" w:rsidTr="004F1CBC">
        <w:trPr>
          <w:trHeight w:val="272"/>
        </w:trPr>
        <w:tc>
          <w:tcPr>
            <w:tcW w:w="1473" w:type="dxa"/>
            <w:tcBorders>
              <w:top w:val="nil"/>
              <w:left w:val="nil"/>
              <w:bottom w:val="nil"/>
              <w:right w:val="nil"/>
            </w:tcBorders>
            <w:noWrap/>
            <w:vAlign w:val="center"/>
            <w:hideMark/>
          </w:tcPr>
          <w:p w14:paraId="4C80EBF2"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Belgio</w:t>
            </w:r>
          </w:p>
        </w:tc>
        <w:tc>
          <w:tcPr>
            <w:tcW w:w="1513" w:type="dxa"/>
            <w:tcBorders>
              <w:top w:val="nil"/>
              <w:left w:val="nil"/>
              <w:bottom w:val="nil"/>
              <w:right w:val="nil"/>
            </w:tcBorders>
            <w:noWrap/>
            <w:vAlign w:val="center"/>
            <w:hideMark/>
          </w:tcPr>
          <w:p w14:paraId="08E88287"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32.338.356</w:t>
            </w:r>
          </w:p>
        </w:tc>
        <w:tc>
          <w:tcPr>
            <w:tcW w:w="1605" w:type="dxa"/>
            <w:tcBorders>
              <w:top w:val="nil"/>
              <w:left w:val="nil"/>
              <w:bottom w:val="nil"/>
              <w:right w:val="nil"/>
            </w:tcBorders>
            <w:noWrap/>
            <w:vAlign w:val="center"/>
            <w:hideMark/>
          </w:tcPr>
          <w:p w14:paraId="5AE41FD3"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28.071.087</w:t>
            </w:r>
          </w:p>
        </w:tc>
        <w:tc>
          <w:tcPr>
            <w:tcW w:w="1134" w:type="dxa"/>
            <w:tcBorders>
              <w:top w:val="nil"/>
              <w:left w:val="nil"/>
              <w:bottom w:val="nil"/>
              <w:right w:val="nil"/>
            </w:tcBorders>
            <w:noWrap/>
            <w:vAlign w:val="center"/>
            <w:hideMark/>
          </w:tcPr>
          <w:p w14:paraId="7CA5D6FD"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1,6%</w:t>
            </w:r>
          </w:p>
        </w:tc>
        <w:tc>
          <w:tcPr>
            <w:tcW w:w="1041" w:type="dxa"/>
            <w:tcBorders>
              <w:top w:val="nil"/>
              <w:left w:val="nil"/>
              <w:bottom w:val="nil"/>
              <w:right w:val="nil"/>
            </w:tcBorders>
            <w:noWrap/>
            <w:vAlign w:val="center"/>
            <w:hideMark/>
          </w:tcPr>
          <w:p w14:paraId="013592FD"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-13,2%</w:t>
            </w:r>
          </w:p>
        </w:tc>
        <w:tc>
          <w:tcPr>
            <w:tcW w:w="1289" w:type="dxa"/>
            <w:gridSpan w:val="3"/>
            <w:tcBorders>
              <w:top w:val="nil"/>
              <w:left w:val="nil"/>
              <w:bottom w:val="nil"/>
              <w:right w:val="nil"/>
            </w:tcBorders>
            <w:noWrap/>
            <w:vAlign w:val="center"/>
            <w:hideMark/>
          </w:tcPr>
          <w:p w14:paraId="7F5496C0"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-0,2%</w:t>
            </w:r>
          </w:p>
        </w:tc>
        <w:tc>
          <w:tcPr>
            <w:tcW w:w="164" w:type="dxa"/>
            <w:gridSpan w:val="2"/>
            <w:tcBorders>
              <w:top w:val="nil"/>
              <w:left w:val="nil"/>
              <w:bottom w:val="nil"/>
              <w:right w:val="nil"/>
            </w:tcBorders>
            <w:noWrap/>
            <w:vAlign w:val="center"/>
            <w:hideMark/>
          </w:tcPr>
          <w:p w14:paraId="6B282F59" w14:textId="77777777" w:rsidR="00B1608A" w:rsidRDefault="00B1608A" w:rsidP="004F1CBC">
            <w:pPr>
              <w:jc w:val="center"/>
              <w:rPr>
                <w:rFonts w:ascii="Calibri" w:hAnsi="Calibri" w:cs="Calibri"/>
                <w:i/>
                <w:iCs/>
                <w:color w:val="000000"/>
                <w:sz w:val="20"/>
                <w:szCs w:val="20"/>
              </w:rPr>
            </w:pPr>
          </w:p>
        </w:tc>
      </w:tr>
      <w:tr w:rsidR="00B1608A" w14:paraId="7A1BFFFC" w14:textId="77777777" w:rsidTr="004F1CBC">
        <w:trPr>
          <w:trHeight w:val="272"/>
        </w:trPr>
        <w:tc>
          <w:tcPr>
            <w:tcW w:w="1473" w:type="dxa"/>
            <w:tcBorders>
              <w:top w:val="nil"/>
              <w:left w:val="nil"/>
              <w:bottom w:val="nil"/>
              <w:right w:val="nil"/>
            </w:tcBorders>
            <w:noWrap/>
            <w:vAlign w:val="center"/>
            <w:hideMark/>
          </w:tcPr>
          <w:p w14:paraId="35BFF7AE" w14:textId="77777777" w:rsidR="00B1608A" w:rsidRDefault="00B1608A" w:rsidP="004F1CBC">
            <w:pPr>
              <w:rPr>
                <w:rFonts w:ascii="Calibri" w:hAnsi="Calibri" w:cs="Calibri"/>
                <w:color w:val="000000"/>
                <w:sz w:val="20"/>
                <w:szCs w:val="20"/>
              </w:rPr>
            </w:pPr>
            <w:r>
              <w:rPr>
                <w:rFonts w:ascii="Calibri" w:hAnsi="Calibri" w:cs="Calibri"/>
                <w:color w:val="000000"/>
                <w:sz w:val="20"/>
                <w:szCs w:val="20"/>
              </w:rPr>
              <w:t>Ungheria</w:t>
            </w:r>
          </w:p>
        </w:tc>
        <w:tc>
          <w:tcPr>
            <w:tcW w:w="1513" w:type="dxa"/>
            <w:tcBorders>
              <w:top w:val="nil"/>
              <w:left w:val="nil"/>
              <w:bottom w:val="nil"/>
              <w:right w:val="nil"/>
            </w:tcBorders>
            <w:noWrap/>
            <w:vAlign w:val="center"/>
            <w:hideMark/>
          </w:tcPr>
          <w:p w14:paraId="208D9AB7"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25.711.553</w:t>
            </w:r>
          </w:p>
        </w:tc>
        <w:tc>
          <w:tcPr>
            <w:tcW w:w="1605" w:type="dxa"/>
            <w:tcBorders>
              <w:top w:val="nil"/>
              <w:left w:val="nil"/>
              <w:bottom w:val="nil"/>
              <w:right w:val="nil"/>
            </w:tcBorders>
            <w:noWrap/>
            <w:vAlign w:val="center"/>
            <w:hideMark/>
          </w:tcPr>
          <w:p w14:paraId="73752369"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27.237.700</w:t>
            </w:r>
          </w:p>
        </w:tc>
        <w:tc>
          <w:tcPr>
            <w:tcW w:w="1134" w:type="dxa"/>
            <w:tcBorders>
              <w:top w:val="nil"/>
              <w:left w:val="nil"/>
              <w:bottom w:val="nil"/>
              <w:right w:val="nil"/>
            </w:tcBorders>
            <w:noWrap/>
            <w:vAlign w:val="center"/>
            <w:hideMark/>
          </w:tcPr>
          <w:p w14:paraId="6FDC778A"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1,5%</w:t>
            </w:r>
          </w:p>
        </w:tc>
        <w:tc>
          <w:tcPr>
            <w:tcW w:w="1041" w:type="dxa"/>
            <w:tcBorders>
              <w:top w:val="nil"/>
              <w:left w:val="nil"/>
              <w:bottom w:val="nil"/>
              <w:right w:val="nil"/>
            </w:tcBorders>
            <w:noWrap/>
            <w:vAlign w:val="center"/>
            <w:hideMark/>
          </w:tcPr>
          <w:p w14:paraId="77E2E7D5" w14:textId="77777777" w:rsidR="00B1608A" w:rsidRDefault="00B1608A" w:rsidP="004F1CBC">
            <w:pPr>
              <w:jc w:val="center"/>
              <w:rPr>
                <w:rFonts w:ascii="Calibri" w:hAnsi="Calibri" w:cs="Calibri"/>
                <w:color w:val="000000"/>
                <w:sz w:val="20"/>
                <w:szCs w:val="20"/>
              </w:rPr>
            </w:pPr>
            <w:r>
              <w:rPr>
                <w:rFonts w:ascii="Calibri" w:hAnsi="Calibri" w:cs="Calibri"/>
                <w:color w:val="000000"/>
                <w:sz w:val="20"/>
                <w:szCs w:val="20"/>
              </w:rPr>
              <w:t>5,9%</w:t>
            </w:r>
          </w:p>
        </w:tc>
        <w:tc>
          <w:tcPr>
            <w:tcW w:w="1289" w:type="dxa"/>
            <w:gridSpan w:val="3"/>
            <w:tcBorders>
              <w:top w:val="nil"/>
              <w:left w:val="nil"/>
              <w:bottom w:val="nil"/>
              <w:right w:val="nil"/>
            </w:tcBorders>
            <w:noWrap/>
            <w:vAlign w:val="center"/>
            <w:hideMark/>
          </w:tcPr>
          <w:p w14:paraId="56E4DC93" w14:textId="77777777" w:rsidR="00B1608A" w:rsidRDefault="00B1608A" w:rsidP="004F1CBC">
            <w:pPr>
              <w:jc w:val="center"/>
              <w:rPr>
                <w:rFonts w:ascii="Calibri" w:hAnsi="Calibri" w:cs="Calibri"/>
                <w:i/>
                <w:iCs/>
                <w:color w:val="000000"/>
                <w:sz w:val="20"/>
                <w:szCs w:val="20"/>
              </w:rPr>
            </w:pPr>
            <w:r>
              <w:rPr>
                <w:rFonts w:ascii="Calibri" w:hAnsi="Calibri" w:cs="Calibri"/>
                <w:i/>
                <w:iCs/>
                <w:color w:val="000000"/>
                <w:sz w:val="20"/>
                <w:szCs w:val="20"/>
              </w:rPr>
              <w:t>0,1%</w:t>
            </w:r>
          </w:p>
        </w:tc>
        <w:tc>
          <w:tcPr>
            <w:tcW w:w="164" w:type="dxa"/>
            <w:gridSpan w:val="2"/>
            <w:tcBorders>
              <w:top w:val="nil"/>
              <w:left w:val="nil"/>
              <w:bottom w:val="nil"/>
              <w:right w:val="nil"/>
            </w:tcBorders>
            <w:noWrap/>
            <w:vAlign w:val="center"/>
            <w:hideMark/>
          </w:tcPr>
          <w:p w14:paraId="24EED988" w14:textId="77777777" w:rsidR="00B1608A" w:rsidRDefault="00B1608A" w:rsidP="004F1CBC">
            <w:pPr>
              <w:jc w:val="center"/>
              <w:rPr>
                <w:rFonts w:ascii="Calibri" w:hAnsi="Calibri" w:cs="Calibri"/>
                <w:i/>
                <w:iCs/>
                <w:color w:val="000000"/>
                <w:sz w:val="20"/>
                <w:szCs w:val="20"/>
              </w:rPr>
            </w:pPr>
          </w:p>
        </w:tc>
      </w:tr>
      <w:tr w:rsidR="00B1608A" w14:paraId="5F2FEDDA" w14:textId="77777777" w:rsidTr="004F1CBC">
        <w:trPr>
          <w:trHeight w:val="272"/>
        </w:trPr>
        <w:tc>
          <w:tcPr>
            <w:tcW w:w="1473" w:type="dxa"/>
            <w:tcBorders>
              <w:top w:val="nil"/>
              <w:left w:val="nil"/>
              <w:bottom w:val="nil"/>
              <w:right w:val="nil"/>
            </w:tcBorders>
            <w:noWrap/>
            <w:vAlign w:val="center"/>
            <w:hideMark/>
          </w:tcPr>
          <w:p w14:paraId="1F384EA0" w14:textId="77777777" w:rsidR="00B1608A" w:rsidRDefault="00B1608A" w:rsidP="004F1CBC">
            <w:pPr>
              <w:rPr>
                <w:rFonts w:ascii="Calibri" w:hAnsi="Calibri" w:cs="Calibri"/>
                <w:sz w:val="20"/>
                <w:szCs w:val="20"/>
              </w:rPr>
            </w:pPr>
            <w:r>
              <w:rPr>
                <w:rFonts w:ascii="Calibri" w:hAnsi="Calibri" w:cs="Calibri"/>
                <w:sz w:val="20"/>
                <w:szCs w:val="20"/>
              </w:rPr>
              <w:t>Altro</w:t>
            </w:r>
          </w:p>
        </w:tc>
        <w:tc>
          <w:tcPr>
            <w:tcW w:w="1513" w:type="dxa"/>
            <w:tcBorders>
              <w:top w:val="nil"/>
              <w:left w:val="nil"/>
              <w:bottom w:val="nil"/>
              <w:right w:val="nil"/>
            </w:tcBorders>
            <w:noWrap/>
            <w:vAlign w:val="center"/>
            <w:hideMark/>
          </w:tcPr>
          <w:p w14:paraId="4E2D0F24" w14:textId="77777777" w:rsidR="00B1608A" w:rsidRDefault="00B1608A" w:rsidP="004F1CBC">
            <w:pPr>
              <w:jc w:val="center"/>
              <w:rPr>
                <w:rFonts w:ascii="Calibri" w:hAnsi="Calibri" w:cs="Calibri"/>
                <w:sz w:val="20"/>
                <w:szCs w:val="20"/>
              </w:rPr>
            </w:pPr>
            <w:r>
              <w:rPr>
                <w:rFonts w:ascii="Calibri" w:hAnsi="Calibri" w:cs="Calibri"/>
                <w:sz w:val="20"/>
                <w:szCs w:val="20"/>
              </w:rPr>
              <w:t>442.202.357</w:t>
            </w:r>
          </w:p>
        </w:tc>
        <w:tc>
          <w:tcPr>
            <w:tcW w:w="1605" w:type="dxa"/>
            <w:tcBorders>
              <w:top w:val="nil"/>
              <w:left w:val="nil"/>
              <w:bottom w:val="nil"/>
              <w:right w:val="nil"/>
            </w:tcBorders>
            <w:noWrap/>
            <w:vAlign w:val="center"/>
            <w:hideMark/>
          </w:tcPr>
          <w:p w14:paraId="31AAA8B4" w14:textId="77777777" w:rsidR="00B1608A" w:rsidRDefault="00B1608A" w:rsidP="004F1CBC">
            <w:pPr>
              <w:jc w:val="center"/>
              <w:rPr>
                <w:rFonts w:ascii="Calibri" w:hAnsi="Calibri" w:cs="Calibri"/>
                <w:sz w:val="20"/>
                <w:szCs w:val="20"/>
              </w:rPr>
            </w:pPr>
            <w:r>
              <w:rPr>
                <w:rFonts w:ascii="Calibri" w:hAnsi="Calibri" w:cs="Calibri"/>
                <w:sz w:val="20"/>
                <w:szCs w:val="20"/>
              </w:rPr>
              <w:t>450.713.495</w:t>
            </w:r>
          </w:p>
        </w:tc>
        <w:tc>
          <w:tcPr>
            <w:tcW w:w="1134" w:type="dxa"/>
            <w:tcBorders>
              <w:top w:val="nil"/>
              <w:left w:val="nil"/>
              <w:bottom w:val="nil"/>
              <w:right w:val="nil"/>
            </w:tcBorders>
            <w:noWrap/>
            <w:vAlign w:val="center"/>
            <w:hideMark/>
          </w:tcPr>
          <w:p w14:paraId="7B16C5F2" w14:textId="77777777" w:rsidR="00B1608A" w:rsidRDefault="00B1608A" w:rsidP="004F1CBC">
            <w:pPr>
              <w:jc w:val="center"/>
              <w:rPr>
                <w:rFonts w:ascii="Calibri" w:hAnsi="Calibri" w:cs="Calibri"/>
                <w:sz w:val="20"/>
                <w:szCs w:val="20"/>
              </w:rPr>
            </w:pPr>
            <w:r>
              <w:rPr>
                <w:rFonts w:ascii="Calibri" w:hAnsi="Calibri" w:cs="Calibri"/>
                <w:sz w:val="20"/>
                <w:szCs w:val="20"/>
              </w:rPr>
              <w:t>25,5%</w:t>
            </w:r>
          </w:p>
        </w:tc>
        <w:tc>
          <w:tcPr>
            <w:tcW w:w="1041" w:type="dxa"/>
            <w:tcBorders>
              <w:top w:val="nil"/>
              <w:left w:val="nil"/>
              <w:bottom w:val="nil"/>
              <w:right w:val="nil"/>
            </w:tcBorders>
            <w:noWrap/>
            <w:vAlign w:val="center"/>
            <w:hideMark/>
          </w:tcPr>
          <w:p w14:paraId="33B4DCD6" w14:textId="77777777" w:rsidR="00B1608A" w:rsidRDefault="00B1608A" w:rsidP="004F1CBC">
            <w:pPr>
              <w:jc w:val="center"/>
              <w:rPr>
                <w:rFonts w:ascii="Calibri" w:hAnsi="Calibri" w:cs="Calibri"/>
                <w:sz w:val="20"/>
                <w:szCs w:val="20"/>
              </w:rPr>
            </w:pPr>
            <w:r>
              <w:rPr>
                <w:rFonts w:ascii="Calibri" w:hAnsi="Calibri" w:cs="Calibri"/>
                <w:sz w:val="20"/>
                <w:szCs w:val="20"/>
              </w:rPr>
              <w:t>1,9%</w:t>
            </w:r>
          </w:p>
        </w:tc>
        <w:tc>
          <w:tcPr>
            <w:tcW w:w="1289" w:type="dxa"/>
            <w:gridSpan w:val="3"/>
            <w:tcBorders>
              <w:top w:val="nil"/>
              <w:left w:val="nil"/>
              <w:bottom w:val="nil"/>
              <w:right w:val="nil"/>
            </w:tcBorders>
            <w:noWrap/>
            <w:vAlign w:val="center"/>
            <w:hideMark/>
          </w:tcPr>
          <w:p w14:paraId="3C88C466" w14:textId="77777777" w:rsidR="00B1608A" w:rsidRDefault="00B1608A" w:rsidP="004F1CBC">
            <w:pPr>
              <w:jc w:val="center"/>
              <w:rPr>
                <w:rFonts w:ascii="Calibri" w:hAnsi="Calibri" w:cs="Calibri"/>
                <w:i/>
                <w:iCs/>
                <w:sz w:val="20"/>
                <w:szCs w:val="20"/>
              </w:rPr>
            </w:pPr>
            <w:r>
              <w:rPr>
                <w:rFonts w:ascii="Calibri" w:hAnsi="Calibri" w:cs="Calibri"/>
                <w:i/>
                <w:iCs/>
                <w:sz w:val="20"/>
                <w:szCs w:val="20"/>
              </w:rPr>
              <w:t>0,5%</w:t>
            </w:r>
          </w:p>
        </w:tc>
        <w:tc>
          <w:tcPr>
            <w:tcW w:w="164" w:type="dxa"/>
            <w:gridSpan w:val="2"/>
            <w:tcBorders>
              <w:top w:val="nil"/>
              <w:left w:val="nil"/>
              <w:bottom w:val="nil"/>
              <w:right w:val="nil"/>
            </w:tcBorders>
            <w:noWrap/>
            <w:vAlign w:val="center"/>
            <w:hideMark/>
          </w:tcPr>
          <w:p w14:paraId="65E361E8" w14:textId="77777777" w:rsidR="00B1608A" w:rsidRDefault="00B1608A" w:rsidP="004F1CBC">
            <w:pPr>
              <w:jc w:val="center"/>
              <w:rPr>
                <w:rFonts w:ascii="Calibri" w:hAnsi="Calibri" w:cs="Calibri"/>
                <w:i/>
                <w:iCs/>
                <w:sz w:val="20"/>
                <w:szCs w:val="20"/>
              </w:rPr>
            </w:pPr>
          </w:p>
        </w:tc>
      </w:tr>
      <w:tr w:rsidR="00B1608A" w14:paraId="65852460" w14:textId="77777777" w:rsidTr="004F1CBC">
        <w:trPr>
          <w:trHeight w:val="272"/>
        </w:trPr>
        <w:tc>
          <w:tcPr>
            <w:tcW w:w="1473" w:type="dxa"/>
            <w:tcBorders>
              <w:top w:val="single" w:sz="4" w:space="0" w:color="auto"/>
              <w:left w:val="nil"/>
              <w:bottom w:val="single" w:sz="4" w:space="0" w:color="auto"/>
              <w:right w:val="nil"/>
            </w:tcBorders>
            <w:noWrap/>
            <w:vAlign w:val="center"/>
            <w:hideMark/>
          </w:tcPr>
          <w:p w14:paraId="4CC4A59A" w14:textId="77777777" w:rsidR="00B1608A" w:rsidRDefault="00B1608A" w:rsidP="004F1CBC">
            <w:pPr>
              <w:rPr>
                <w:rFonts w:ascii="Calibri" w:hAnsi="Calibri" w:cs="Calibri"/>
                <w:b/>
                <w:bCs/>
                <w:sz w:val="20"/>
                <w:szCs w:val="20"/>
              </w:rPr>
            </w:pPr>
            <w:r>
              <w:rPr>
                <w:rFonts w:ascii="Calibri" w:hAnsi="Calibri" w:cs="Calibri"/>
                <w:b/>
                <w:bCs/>
                <w:sz w:val="20"/>
                <w:szCs w:val="20"/>
              </w:rPr>
              <w:t>Totale</w:t>
            </w:r>
          </w:p>
        </w:tc>
        <w:tc>
          <w:tcPr>
            <w:tcW w:w="1513" w:type="dxa"/>
            <w:tcBorders>
              <w:top w:val="single" w:sz="4" w:space="0" w:color="auto"/>
              <w:left w:val="nil"/>
              <w:bottom w:val="single" w:sz="4" w:space="0" w:color="auto"/>
              <w:right w:val="nil"/>
            </w:tcBorders>
            <w:noWrap/>
            <w:vAlign w:val="center"/>
            <w:hideMark/>
          </w:tcPr>
          <w:p w14:paraId="2F11E3E1" w14:textId="77777777" w:rsidR="00B1608A" w:rsidRDefault="00B1608A" w:rsidP="004F1CBC">
            <w:pPr>
              <w:jc w:val="center"/>
              <w:rPr>
                <w:rFonts w:ascii="Calibri" w:hAnsi="Calibri" w:cs="Calibri"/>
                <w:b/>
                <w:bCs/>
                <w:sz w:val="20"/>
                <w:szCs w:val="20"/>
              </w:rPr>
            </w:pPr>
            <w:r>
              <w:rPr>
                <w:rFonts w:ascii="Calibri" w:hAnsi="Calibri" w:cs="Calibri"/>
                <w:b/>
                <w:bCs/>
                <w:sz w:val="20"/>
                <w:szCs w:val="20"/>
              </w:rPr>
              <w:t>1.745.415.997</w:t>
            </w:r>
          </w:p>
        </w:tc>
        <w:tc>
          <w:tcPr>
            <w:tcW w:w="1605" w:type="dxa"/>
            <w:tcBorders>
              <w:top w:val="single" w:sz="4" w:space="0" w:color="auto"/>
              <w:left w:val="nil"/>
              <w:bottom w:val="single" w:sz="4" w:space="0" w:color="auto"/>
              <w:right w:val="nil"/>
            </w:tcBorders>
            <w:noWrap/>
            <w:vAlign w:val="center"/>
            <w:hideMark/>
          </w:tcPr>
          <w:p w14:paraId="5C600DE5" w14:textId="77777777" w:rsidR="00B1608A" w:rsidRDefault="00B1608A" w:rsidP="004F1CBC">
            <w:pPr>
              <w:jc w:val="center"/>
              <w:rPr>
                <w:rFonts w:ascii="Calibri" w:hAnsi="Calibri" w:cs="Calibri"/>
                <w:b/>
                <w:bCs/>
                <w:sz w:val="20"/>
                <w:szCs w:val="20"/>
              </w:rPr>
            </w:pPr>
            <w:r>
              <w:rPr>
                <w:rFonts w:ascii="Calibri" w:hAnsi="Calibri" w:cs="Calibri"/>
                <w:b/>
                <w:bCs/>
                <w:sz w:val="20"/>
                <w:szCs w:val="20"/>
              </w:rPr>
              <w:t>1.768.661.089</w:t>
            </w:r>
          </w:p>
        </w:tc>
        <w:tc>
          <w:tcPr>
            <w:tcW w:w="1134" w:type="dxa"/>
            <w:tcBorders>
              <w:top w:val="single" w:sz="4" w:space="0" w:color="auto"/>
              <w:left w:val="nil"/>
              <w:bottom w:val="single" w:sz="4" w:space="0" w:color="auto"/>
              <w:right w:val="nil"/>
            </w:tcBorders>
            <w:noWrap/>
            <w:vAlign w:val="center"/>
            <w:hideMark/>
          </w:tcPr>
          <w:p w14:paraId="6C01FE41" w14:textId="77777777" w:rsidR="00B1608A" w:rsidRDefault="00B1608A" w:rsidP="004F1CBC">
            <w:pPr>
              <w:jc w:val="center"/>
              <w:rPr>
                <w:rFonts w:ascii="Calibri" w:hAnsi="Calibri" w:cs="Calibri"/>
                <w:b/>
                <w:bCs/>
                <w:sz w:val="20"/>
                <w:szCs w:val="20"/>
              </w:rPr>
            </w:pPr>
            <w:r>
              <w:rPr>
                <w:rFonts w:ascii="Calibri" w:hAnsi="Calibri" w:cs="Calibri"/>
                <w:b/>
                <w:bCs/>
                <w:sz w:val="20"/>
                <w:szCs w:val="20"/>
              </w:rPr>
              <w:t>100,0%</w:t>
            </w:r>
          </w:p>
        </w:tc>
        <w:tc>
          <w:tcPr>
            <w:tcW w:w="1041" w:type="dxa"/>
            <w:tcBorders>
              <w:top w:val="single" w:sz="4" w:space="0" w:color="auto"/>
              <w:left w:val="nil"/>
              <w:bottom w:val="single" w:sz="4" w:space="0" w:color="auto"/>
              <w:right w:val="nil"/>
            </w:tcBorders>
            <w:noWrap/>
            <w:vAlign w:val="center"/>
            <w:hideMark/>
          </w:tcPr>
          <w:p w14:paraId="2383EB51" w14:textId="77777777" w:rsidR="00B1608A" w:rsidRDefault="00B1608A" w:rsidP="004F1CBC">
            <w:pPr>
              <w:jc w:val="center"/>
              <w:rPr>
                <w:rFonts w:ascii="Calibri" w:hAnsi="Calibri" w:cs="Calibri"/>
                <w:b/>
                <w:bCs/>
                <w:sz w:val="20"/>
                <w:szCs w:val="20"/>
              </w:rPr>
            </w:pPr>
            <w:r>
              <w:rPr>
                <w:rFonts w:ascii="Calibri" w:hAnsi="Calibri" w:cs="Calibri"/>
                <w:b/>
                <w:bCs/>
                <w:sz w:val="20"/>
                <w:szCs w:val="20"/>
              </w:rPr>
              <w:t>1,3%</w:t>
            </w:r>
          </w:p>
        </w:tc>
        <w:tc>
          <w:tcPr>
            <w:tcW w:w="1289" w:type="dxa"/>
            <w:gridSpan w:val="3"/>
            <w:tcBorders>
              <w:top w:val="single" w:sz="4" w:space="0" w:color="auto"/>
              <w:left w:val="nil"/>
              <w:bottom w:val="single" w:sz="4" w:space="0" w:color="auto"/>
              <w:right w:val="nil"/>
            </w:tcBorders>
            <w:noWrap/>
            <w:vAlign w:val="center"/>
            <w:hideMark/>
          </w:tcPr>
          <w:p w14:paraId="16E744E4" w14:textId="77777777" w:rsidR="00B1608A" w:rsidRDefault="00B1608A" w:rsidP="004F1CBC">
            <w:pPr>
              <w:jc w:val="center"/>
              <w:rPr>
                <w:rFonts w:ascii="Calibri" w:hAnsi="Calibri" w:cs="Calibri"/>
                <w:b/>
                <w:bCs/>
                <w:i/>
                <w:iCs/>
                <w:sz w:val="20"/>
                <w:szCs w:val="20"/>
              </w:rPr>
            </w:pPr>
            <w:r>
              <w:rPr>
                <w:rFonts w:ascii="Calibri" w:hAnsi="Calibri" w:cs="Calibri"/>
                <w:b/>
                <w:bCs/>
                <w:i/>
                <w:iCs/>
                <w:sz w:val="20"/>
                <w:szCs w:val="20"/>
              </w:rPr>
              <w:t>1,3%</w:t>
            </w:r>
          </w:p>
        </w:tc>
        <w:tc>
          <w:tcPr>
            <w:tcW w:w="164" w:type="dxa"/>
            <w:gridSpan w:val="2"/>
            <w:tcBorders>
              <w:top w:val="nil"/>
              <w:left w:val="nil"/>
              <w:bottom w:val="nil"/>
              <w:right w:val="nil"/>
            </w:tcBorders>
            <w:noWrap/>
            <w:vAlign w:val="center"/>
            <w:hideMark/>
          </w:tcPr>
          <w:p w14:paraId="414A96BA" w14:textId="77777777" w:rsidR="00B1608A" w:rsidRDefault="00B1608A" w:rsidP="004F1CBC">
            <w:pPr>
              <w:jc w:val="center"/>
              <w:rPr>
                <w:rFonts w:ascii="Calibri" w:hAnsi="Calibri" w:cs="Calibri"/>
                <w:b/>
                <w:bCs/>
                <w:i/>
                <w:iCs/>
                <w:sz w:val="20"/>
                <w:szCs w:val="20"/>
              </w:rPr>
            </w:pPr>
          </w:p>
        </w:tc>
      </w:tr>
      <w:tr w:rsidR="00B1608A" w14:paraId="5FCF8316" w14:textId="77777777" w:rsidTr="004F1CBC">
        <w:trPr>
          <w:gridAfter w:val="1"/>
          <w:wAfter w:w="15" w:type="dxa"/>
          <w:trHeight w:val="283"/>
        </w:trPr>
        <w:tc>
          <w:tcPr>
            <w:tcW w:w="8204" w:type="dxa"/>
            <w:gridSpan w:val="9"/>
            <w:tcBorders>
              <w:top w:val="nil"/>
              <w:left w:val="nil"/>
              <w:bottom w:val="nil"/>
              <w:right w:val="nil"/>
            </w:tcBorders>
            <w:noWrap/>
            <w:vAlign w:val="center"/>
            <w:hideMark/>
          </w:tcPr>
          <w:p w14:paraId="3FD169AA" w14:textId="77777777" w:rsidR="00B1608A" w:rsidRDefault="00B1608A" w:rsidP="004F1CBC">
            <w:pPr>
              <w:rPr>
                <w:rFonts w:ascii="Calibri" w:hAnsi="Calibri" w:cs="Calibri"/>
                <w:i/>
                <w:iCs/>
                <w:color w:val="000000"/>
                <w:sz w:val="20"/>
                <w:szCs w:val="20"/>
              </w:rPr>
            </w:pPr>
            <w:r>
              <w:rPr>
                <w:rFonts w:ascii="Calibri" w:hAnsi="Calibri" w:cs="Calibri"/>
                <w:i/>
                <w:iCs/>
                <w:color w:val="000000"/>
                <w:sz w:val="20"/>
                <w:szCs w:val="20"/>
              </w:rPr>
              <w:t>Fonte: Elaborazioni Camera di Commercio Toscana Nord-Ovest -ISR su dati Istat (dati provvisori)</w:t>
            </w:r>
          </w:p>
        </w:tc>
      </w:tr>
    </w:tbl>
    <w:p w14:paraId="31CF969A" w14:textId="77777777" w:rsidR="0075577E" w:rsidRPr="00F65996" w:rsidRDefault="0022419F" w:rsidP="0075577E">
      <w:pPr>
        <w:rPr>
          <w:rFonts w:ascii="Calibri" w:hAnsi="Calibri" w:cs="Calibri"/>
          <w:b/>
          <w:bCs/>
          <w:i/>
          <w:iCs/>
          <w:color w:val="00000A"/>
          <w:sz w:val="22"/>
          <w:szCs w:val="22"/>
        </w:rPr>
      </w:pPr>
      <w:r>
        <w:rPr>
          <w:rFonts w:ascii="Calibri" w:hAnsi="Calibri" w:cs="Calibri"/>
          <w:b/>
          <w:bCs/>
          <w:i/>
          <w:iCs/>
          <w:color w:val="00000A"/>
          <w:sz w:val="22"/>
          <w:szCs w:val="22"/>
        </w:rPr>
        <w:br w:type="page"/>
      </w:r>
      <w:r w:rsidR="0075577E" w:rsidRPr="00F65996">
        <w:rPr>
          <w:rFonts w:ascii="Calibri" w:hAnsi="Calibri" w:cs="Calibri"/>
          <w:b/>
          <w:bCs/>
          <w:i/>
          <w:iCs/>
          <w:color w:val="00000A"/>
          <w:sz w:val="22"/>
          <w:szCs w:val="22"/>
        </w:rPr>
        <w:lastRenderedPageBreak/>
        <w:t>GRUPPO DI LAVORO</w:t>
      </w:r>
    </w:p>
    <w:p w14:paraId="03D1528A" w14:textId="77777777" w:rsidR="0075577E" w:rsidRPr="00F65996" w:rsidRDefault="0075577E" w:rsidP="0075577E">
      <w:pPr>
        <w:rPr>
          <w:rFonts w:ascii="Calibri" w:hAnsi="Calibri" w:cs="Calibri"/>
          <w:b/>
          <w:bCs/>
          <w:i/>
          <w:iCs/>
          <w:color w:val="00000A"/>
          <w:sz w:val="22"/>
          <w:szCs w:val="22"/>
        </w:rPr>
      </w:pPr>
    </w:p>
    <w:p w14:paraId="10581B47" w14:textId="77777777" w:rsidR="0075577E" w:rsidRPr="00F65996" w:rsidRDefault="0075577E" w:rsidP="0075577E">
      <w:pPr>
        <w:rPr>
          <w:rFonts w:ascii="Calibri" w:hAnsi="Calibri" w:cs="Calibri"/>
          <w:b/>
          <w:bCs/>
          <w:i/>
          <w:iCs/>
          <w:color w:val="00000A"/>
          <w:sz w:val="22"/>
          <w:szCs w:val="22"/>
        </w:rPr>
      </w:pPr>
      <w:r w:rsidRPr="00F65996">
        <w:rPr>
          <w:rFonts w:ascii="Calibri" w:hAnsi="Calibri" w:cs="Calibri"/>
          <w:b/>
          <w:bCs/>
          <w:i/>
          <w:iCs/>
          <w:color w:val="00000A"/>
          <w:sz w:val="22"/>
          <w:szCs w:val="22"/>
        </w:rPr>
        <w:t>Coordinamento</w:t>
      </w:r>
    </w:p>
    <w:p w14:paraId="1F1B2D8A" w14:textId="77777777" w:rsidR="0075577E" w:rsidRPr="00F65996" w:rsidRDefault="0075577E" w:rsidP="0075577E">
      <w:pPr>
        <w:rPr>
          <w:rFonts w:ascii="Calibri" w:hAnsi="Calibri" w:cs="Calibri"/>
          <w:i/>
          <w:iCs/>
          <w:color w:val="00000A"/>
          <w:sz w:val="22"/>
          <w:szCs w:val="22"/>
        </w:rPr>
      </w:pPr>
      <w:r w:rsidRPr="00F65996">
        <w:rPr>
          <w:rFonts w:ascii="Calibri" w:hAnsi="Calibri" w:cs="Calibri"/>
          <w:i/>
          <w:iCs/>
          <w:color w:val="00000A"/>
          <w:sz w:val="22"/>
          <w:szCs w:val="22"/>
        </w:rPr>
        <w:t>Alberto Susini</w:t>
      </w:r>
    </w:p>
    <w:p w14:paraId="70AECA31" w14:textId="77777777" w:rsidR="0075577E" w:rsidRPr="00F65996" w:rsidRDefault="0075577E" w:rsidP="0075577E">
      <w:pPr>
        <w:rPr>
          <w:rFonts w:ascii="Calibri" w:hAnsi="Calibri" w:cs="Calibri"/>
          <w:i/>
          <w:iCs/>
          <w:color w:val="00000A"/>
          <w:sz w:val="22"/>
          <w:szCs w:val="22"/>
        </w:rPr>
      </w:pPr>
    </w:p>
    <w:p w14:paraId="7C8FA971" w14:textId="77777777" w:rsidR="0075577E" w:rsidRPr="00F65996" w:rsidRDefault="0075577E" w:rsidP="0075577E">
      <w:pPr>
        <w:rPr>
          <w:rFonts w:ascii="Calibri" w:hAnsi="Calibri" w:cs="Calibri"/>
          <w:b/>
          <w:bCs/>
          <w:i/>
          <w:iCs/>
          <w:color w:val="00000A"/>
          <w:sz w:val="22"/>
          <w:szCs w:val="22"/>
        </w:rPr>
      </w:pPr>
      <w:r w:rsidRPr="00F65996">
        <w:rPr>
          <w:rFonts w:ascii="Calibri" w:hAnsi="Calibri" w:cs="Calibri"/>
          <w:b/>
          <w:bCs/>
          <w:i/>
          <w:iCs/>
          <w:color w:val="00000A"/>
          <w:sz w:val="22"/>
          <w:szCs w:val="22"/>
        </w:rPr>
        <w:t xml:space="preserve">Redazione </w:t>
      </w:r>
    </w:p>
    <w:p w14:paraId="2E6446C4" w14:textId="195F8D01" w:rsidR="0075577E" w:rsidRPr="00F65996" w:rsidRDefault="0075577E" w:rsidP="0075577E">
      <w:pPr>
        <w:rPr>
          <w:rFonts w:ascii="Calibri" w:hAnsi="Calibri" w:cs="Calibri"/>
          <w:i/>
          <w:iCs/>
          <w:color w:val="00000A"/>
          <w:sz w:val="22"/>
          <w:szCs w:val="22"/>
        </w:rPr>
      </w:pPr>
      <w:r>
        <w:rPr>
          <w:rFonts w:ascii="Calibri" w:hAnsi="Calibri" w:cs="Calibri"/>
          <w:i/>
          <w:iCs/>
          <w:color w:val="00000A"/>
          <w:sz w:val="22"/>
          <w:szCs w:val="22"/>
        </w:rPr>
        <w:t>Silvano Crecchi</w:t>
      </w:r>
      <w:r w:rsidR="00FC724B">
        <w:rPr>
          <w:rFonts w:ascii="Calibri" w:hAnsi="Calibri" w:cs="Calibri"/>
          <w:i/>
          <w:iCs/>
          <w:color w:val="00000A"/>
          <w:sz w:val="22"/>
          <w:szCs w:val="22"/>
        </w:rPr>
        <w:t>, Massimo Marcesini, Massimo Pazzarelli</w:t>
      </w:r>
    </w:p>
    <w:p w14:paraId="57FBAAA3" w14:textId="77777777" w:rsidR="0075577E" w:rsidRPr="00F65996" w:rsidRDefault="0075577E" w:rsidP="0075577E">
      <w:pPr>
        <w:rPr>
          <w:rFonts w:ascii="Calibri" w:hAnsi="Calibri" w:cs="Calibri"/>
          <w:i/>
          <w:iCs/>
          <w:color w:val="00000A"/>
          <w:sz w:val="22"/>
          <w:szCs w:val="22"/>
        </w:rPr>
      </w:pPr>
    </w:p>
    <w:p w14:paraId="6CCE1C75" w14:textId="77777777" w:rsidR="0075577E" w:rsidRPr="00F65996" w:rsidRDefault="0075577E" w:rsidP="0075577E">
      <w:pPr>
        <w:rPr>
          <w:rFonts w:ascii="Calibri" w:hAnsi="Calibri" w:cs="Calibri"/>
          <w:b/>
          <w:bCs/>
          <w:i/>
          <w:iCs/>
          <w:color w:val="00000A"/>
          <w:sz w:val="22"/>
          <w:szCs w:val="22"/>
        </w:rPr>
      </w:pPr>
      <w:r w:rsidRPr="00F65996">
        <w:rPr>
          <w:rFonts w:ascii="Calibri" w:hAnsi="Calibri" w:cs="Calibri"/>
          <w:b/>
          <w:bCs/>
          <w:i/>
          <w:iCs/>
          <w:color w:val="00000A"/>
          <w:sz w:val="22"/>
          <w:szCs w:val="22"/>
        </w:rPr>
        <w:t>Elaborazioni</w:t>
      </w:r>
    </w:p>
    <w:p w14:paraId="3A26AE43" w14:textId="77777777" w:rsidR="0075577E" w:rsidRDefault="0075577E" w:rsidP="0075577E">
      <w:pPr>
        <w:rPr>
          <w:rFonts w:ascii="Calibri" w:hAnsi="Calibri" w:cs="Calibri"/>
          <w:i/>
          <w:iCs/>
          <w:color w:val="00000A"/>
          <w:sz w:val="22"/>
          <w:szCs w:val="22"/>
        </w:rPr>
      </w:pPr>
      <w:r>
        <w:rPr>
          <w:rFonts w:ascii="Calibri" w:hAnsi="Calibri" w:cs="Calibri"/>
          <w:i/>
          <w:iCs/>
          <w:color w:val="00000A"/>
          <w:sz w:val="22"/>
          <w:szCs w:val="22"/>
        </w:rPr>
        <w:t>Massimo Pazzarelli</w:t>
      </w:r>
    </w:p>
    <w:p w14:paraId="78F8209F" w14:textId="77777777" w:rsidR="0075577E" w:rsidRPr="00F65996" w:rsidRDefault="0075577E" w:rsidP="0075577E">
      <w:pPr>
        <w:rPr>
          <w:rFonts w:ascii="Calibri" w:hAnsi="Calibri" w:cs="Calibri"/>
          <w:i/>
          <w:iCs/>
          <w:color w:val="00000A"/>
          <w:sz w:val="22"/>
          <w:szCs w:val="22"/>
        </w:rPr>
      </w:pPr>
    </w:p>
    <w:p w14:paraId="62085D42" w14:textId="77777777" w:rsidR="0075577E" w:rsidRPr="00F65996" w:rsidRDefault="0075577E" w:rsidP="0075577E">
      <w:pPr>
        <w:rPr>
          <w:rFonts w:ascii="Calibri" w:hAnsi="Calibri" w:cs="Calibri"/>
          <w:b/>
          <w:bCs/>
          <w:i/>
          <w:iCs/>
          <w:color w:val="00000A"/>
          <w:sz w:val="22"/>
          <w:szCs w:val="22"/>
        </w:rPr>
      </w:pPr>
      <w:r w:rsidRPr="00F65996">
        <w:rPr>
          <w:rFonts w:ascii="Calibri" w:hAnsi="Calibri" w:cs="Calibri"/>
          <w:b/>
          <w:bCs/>
          <w:i/>
          <w:iCs/>
          <w:color w:val="00000A"/>
          <w:sz w:val="22"/>
          <w:szCs w:val="22"/>
        </w:rPr>
        <w:t>INFO</w:t>
      </w:r>
    </w:p>
    <w:p w14:paraId="75EEA396" w14:textId="77777777" w:rsidR="0075577E" w:rsidRPr="00F65996" w:rsidRDefault="0075577E" w:rsidP="0075577E">
      <w:pPr>
        <w:rPr>
          <w:rFonts w:ascii="Calibri" w:hAnsi="Calibri" w:cs="Calibri"/>
          <w:i/>
          <w:iCs/>
          <w:color w:val="00000A"/>
          <w:sz w:val="22"/>
          <w:szCs w:val="22"/>
        </w:rPr>
      </w:pPr>
      <w:hyperlink r:id="rId10" w:history="1">
        <w:r w:rsidRPr="00F65996">
          <w:rPr>
            <w:rStyle w:val="Collegamentoipertestuale"/>
            <w:rFonts w:ascii="Calibri" w:hAnsi="Calibri" w:cs="Calibri"/>
            <w:i/>
            <w:iCs/>
            <w:sz w:val="22"/>
            <w:szCs w:val="22"/>
          </w:rPr>
          <w:t>studi@tno.camcom.it</w:t>
        </w:r>
      </w:hyperlink>
    </w:p>
    <w:p w14:paraId="5F069FEF" w14:textId="77777777" w:rsidR="0075577E" w:rsidRDefault="0075577E" w:rsidP="0075577E">
      <w:pPr>
        <w:rPr>
          <w:rFonts w:ascii="Calibri" w:hAnsi="Calibri" w:cs="Calibri"/>
          <w:i/>
          <w:iCs/>
          <w:color w:val="00000A"/>
          <w:sz w:val="22"/>
          <w:szCs w:val="22"/>
        </w:rPr>
      </w:pPr>
      <w:hyperlink r:id="rId11" w:history="1">
        <w:r w:rsidRPr="00F65996">
          <w:rPr>
            <w:rStyle w:val="Collegamentoipertestuale"/>
            <w:rFonts w:ascii="Calibri" w:hAnsi="Calibri" w:cs="Calibri"/>
            <w:i/>
            <w:iCs/>
            <w:sz w:val="22"/>
            <w:szCs w:val="22"/>
          </w:rPr>
          <w:t>https://www.isr-ms.it</w:t>
        </w:r>
      </w:hyperlink>
      <w:r w:rsidRPr="00F65996">
        <w:rPr>
          <w:rFonts w:ascii="Calibri" w:hAnsi="Calibri" w:cs="Calibri"/>
          <w:i/>
          <w:iCs/>
          <w:color w:val="00000A"/>
          <w:sz w:val="22"/>
          <w:szCs w:val="22"/>
        </w:rPr>
        <w:t xml:space="preserve"> </w:t>
      </w:r>
    </w:p>
    <w:p w14:paraId="1C328A23" w14:textId="77777777" w:rsidR="0075577E" w:rsidRDefault="0075577E" w:rsidP="0075577E">
      <w:pPr>
        <w:rPr>
          <w:rFonts w:ascii="Calibri" w:hAnsi="Calibri" w:cs="Calibri"/>
          <w:i/>
          <w:iCs/>
          <w:color w:val="00000A"/>
          <w:sz w:val="22"/>
          <w:szCs w:val="22"/>
        </w:rPr>
      </w:pPr>
    </w:p>
    <w:p w14:paraId="59EA3349" w14:textId="77777777" w:rsidR="0075577E" w:rsidRDefault="0075577E" w:rsidP="0075577E">
      <w:pPr>
        <w:rPr>
          <w:rFonts w:ascii="Calibri" w:hAnsi="Calibri" w:cs="Calibri"/>
          <w:i/>
          <w:iCs/>
          <w:color w:val="00000A"/>
          <w:sz w:val="22"/>
          <w:szCs w:val="22"/>
        </w:rPr>
      </w:pPr>
    </w:p>
    <w:p w14:paraId="08BE57CE" w14:textId="69859B5F" w:rsidR="0075577E" w:rsidRPr="00DB06BA" w:rsidRDefault="0075577E" w:rsidP="0075577E">
      <w:pPr>
        <w:rPr>
          <w:rFonts w:ascii="Calibri" w:hAnsi="Calibri" w:cs="Calibri"/>
        </w:rPr>
      </w:pPr>
      <w:r w:rsidRPr="00397E47">
        <w:rPr>
          <w:rFonts w:ascii="Calibri" w:hAnsi="Calibri" w:cs="Calibri"/>
        </w:rPr>
        <w:t xml:space="preserve">Diffusa il </w:t>
      </w:r>
      <w:r w:rsidR="00397E47" w:rsidRPr="00397E47">
        <w:rPr>
          <w:rFonts w:ascii="Calibri" w:hAnsi="Calibri" w:cs="Calibri"/>
        </w:rPr>
        <w:t>24</w:t>
      </w:r>
      <w:r w:rsidRPr="00397E47">
        <w:rPr>
          <w:rFonts w:ascii="Calibri" w:hAnsi="Calibri" w:cs="Calibri"/>
        </w:rPr>
        <w:t xml:space="preserve"> settembre 202</w:t>
      </w:r>
      <w:r w:rsidR="00FC724B" w:rsidRPr="00397E47">
        <w:rPr>
          <w:rFonts w:ascii="Calibri" w:hAnsi="Calibri" w:cs="Calibri"/>
        </w:rPr>
        <w:t>6</w:t>
      </w:r>
    </w:p>
    <w:p w14:paraId="093B3CFA" w14:textId="77777777" w:rsidR="0075577E" w:rsidRPr="00F65996" w:rsidRDefault="0075577E" w:rsidP="0075577E">
      <w:pPr>
        <w:rPr>
          <w:rFonts w:ascii="Calibri" w:hAnsi="Calibri" w:cs="Calibri"/>
          <w:i/>
          <w:iCs/>
          <w:color w:val="00000A"/>
          <w:sz w:val="22"/>
          <w:szCs w:val="22"/>
        </w:rPr>
      </w:pPr>
    </w:p>
    <w:p w14:paraId="409EECB5" w14:textId="77777777" w:rsidR="0075577E" w:rsidRDefault="0075577E" w:rsidP="0075577E">
      <w:pPr>
        <w:spacing w:before="240"/>
        <w:jc w:val="both"/>
        <w:rPr>
          <w:rFonts w:ascii="Calibri" w:eastAsia="Calibri" w:hAnsi="Calibri" w:cs="Calibri"/>
          <w:b/>
          <w:i/>
          <w:iCs/>
          <w:sz w:val="22"/>
          <w:szCs w:val="22"/>
        </w:rPr>
      </w:pPr>
      <w:r w:rsidRPr="00F65996">
        <w:rPr>
          <w:rFonts w:ascii="Calibri" w:eastAsia="Calibri" w:hAnsi="Calibri" w:cs="Calibri"/>
          <w:b/>
          <w:i/>
          <w:iCs/>
          <w:sz w:val="22"/>
          <w:szCs w:val="22"/>
        </w:rPr>
        <w:br w:type="page"/>
      </w:r>
      <w:r w:rsidRPr="00BD235D">
        <w:rPr>
          <w:rFonts w:ascii="Calibri" w:eastAsia="Calibri" w:hAnsi="Calibri" w:cs="Calibri"/>
          <w:b/>
          <w:i/>
          <w:iCs/>
          <w:sz w:val="22"/>
          <w:szCs w:val="22"/>
        </w:rPr>
        <w:lastRenderedPageBreak/>
        <w:t>NOTA METODOLOGICA</w:t>
      </w:r>
    </w:p>
    <w:p w14:paraId="2BEBA3D6" w14:textId="77777777" w:rsidR="0075577E" w:rsidRPr="006D6BB4" w:rsidRDefault="0075577E" w:rsidP="0075577E">
      <w:pPr>
        <w:jc w:val="both"/>
        <w:rPr>
          <w:rFonts w:ascii="Calibri" w:eastAsia="Calibri" w:hAnsi="Calibri" w:cs="Calibri"/>
          <w:bCs/>
          <w:i/>
          <w:iCs/>
          <w:sz w:val="22"/>
          <w:szCs w:val="22"/>
        </w:rPr>
      </w:pPr>
      <w:proofErr w:type="spellStart"/>
      <w:r w:rsidRPr="006D6BB4">
        <w:rPr>
          <w:rFonts w:ascii="Calibri" w:eastAsia="Calibri" w:hAnsi="Calibri" w:cs="Calibri"/>
          <w:bCs/>
          <w:i/>
          <w:iCs/>
          <w:sz w:val="22"/>
          <w:szCs w:val="22"/>
        </w:rPr>
        <w:t>Coeweb</w:t>
      </w:r>
      <w:proofErr w:type="spellEnd"/>
      <w:r w:rsidRPr="006D6BB4">
        <w:rPr>
          <w:rFonts w:ascii="Calibri" w:eastAsia="Calibri" w:hAnsi="Calibri" w:cs="Calibri"/>
          <w:bCs/>
          <w:i/>
          <w:iCs/>
          <w:sz w:val="22"/>
          <w:szCs w:val="22"/>
        </w:rPr>
        <w:t xml:space="preserve"> è il sistema informativo on-line di ISTAT dedicato alle statistiche del commercio con l'estero e fornisce, con cadenza mensile (trimestrale a livello provinciale), un ricco patrimonio informativo sui flussi commerciali dell'Italia con il resto del mondo. </w:t>
      </w:r>
    </w:p>
    <w:p w14:paraId="09F9188B" w14:textId="77777777" w:rsidR="0075577E" w:rsidRPr="006D6BB4" w:rsidRDefault="0075577E" w:rsidP="0075577E">
      <w:pPr>
        <w:jc w:val="both"/>
        <w:rPr>
          <w:rFonts w:ascii="Calibri" w:eastAsia="Calibri" w:hAnsi="Calibri" w:cs="Calibri"/>
          <w:bCs/>
          <w:i/>
          <w:iCs/>
          <w:sz w:val="22"/>
          <w:szCs w:val="22"/>
        </w:rPr>
      </w:pPr>
      <w:r w:rsidRPr="006D6BB4">
        <w:rPr>
          <w:rFonts w:ascii="Calibri" w:eastAsia="Calibri" w:hAnsi="Calibri" w:cs="Calibri"/>
          <w:bCs/>
          <w:i/>
          <w:iCs/>
          <w:sz w:val="22"/>
          <w:szCs w:val="22"/>
        </w:rPr>
        <w:t xml:space="preserve">Le informazioni derivano per i paesi extra-UE dal Documento Amministrativo Unico (D.A.U.) e per i paesi UE dai modelli Intrastat acquisiti dall'Agenzia delle Dogane. </w:t>
      </w:r>
    </w:p>
    <w:p w14:paraId="342F5122" w14:textId="77777777" w:rsidR="0075577E" w:rsidRPr="006D6BB4" w:rsidRDefault="0075577E" w:rsidP="0075577E">
      <w:pPr>
        <w:jc w:val="both"/>
        <w:rPr>
          <w:rFonts w:ascii="Calibri" w:eastAsia="Calibri" w:hAnsi="Calibri" w:cs="Calibri"/>
          <w:bCs/>
          <w:i/>
          <w:iCs/>
          <w:sz w:val="22"/>
          <w:szCs w:val="22"/>
        </w:rPr>
      </w:pPr>
      <w:r w:rsidRPr="006D6BB4">
        <w:rPr>
          <w:rFonts w:ascii="Calibri" w:eastAsia="Calibri" w:hAnsi="Calibri" w:cs="Calibri"/>
          <w:bCs/>
          <w:i/>
          <w:iCs/>
          <w:sz w:val="22"/>
          <w:szCs w:val="22"/>
        </w:rPr>
        <w:t>I dati raccolti, una volta pervenuti all'ISTAT, vengono prima trattati in base alle normative comunitarie relative alle statistiche del commercio con l'estero e successivamente rivisti e validati dai revisori.</w:t>
      </w:r>
    </w:p>
    <w:p w14:paraId="16484784" w14:textId="77777777" w:rsidR="0075577E" w:rsidRPr="006D6BB4" w:rsidRDefault="0075577E" w:rsidP="0075577E">
      <w:pPr>
        <w:jc w:val="both"/>
        <w:rPr>
          <w:rFonts w:ascii="Calibri" w:eastAsia="Calibri" w:hAnsi="Calibri" w:cs="Calibri"/>
          <w:bCs/>
          <w:i/>
          <w:iCs/>
          <w:sz w:val="22"/>
          <w:szCs w:val="22"/>
        </w:rPr>
      </w:pPr>
      <w:r w:rsidRPr="006D6BB4">
        <w:rPr>
          <w:rFonts w:ascii="Calibri" w:eastAsia="Calibri" w:hAnsi="Calibri" w:cs="Calibri"/>
          <w:bCs/>
          <w:i/>
          <w:iCs/>
          <w:sz w:val="22"/>
          <w:szCs w:val="22"/>
        </w:rPr>
        <w:t xml:space="preserve">La banca dati, che contiene informazioni a partire dal 1991, fornisce informazioni statistiche per le esportazioni e le importazioni secondo varie variabili di classificazione: </w:t>
      </w:r>
    </w:p>
    <w:p w14:paraId="6DEC5556" w14:textId="77777777" w:rsidR="0075577E" w:rsidRPr="006D6BB4" w:rsidRDefault="0075577E" w:rsidP="0075577E">
      <w:pPr>
        <w:jc w:val="both"/>
        <w:rPr>
          <w:rFonts w:ascii="Calibri" w:eastAsia="Calibri" w:hAnsi="Calibri" w:cs="Calibri"/>
          <w:bCs/>
          <w:i/>
          <w:iCs/>
          <w:sz w:val="22"/>
          <w:szCs w:val="22"/>
        </w:rPr>
      </w:pPr>
      <w:r w:rsidRPr="006D6BB4">
        <w:rPr>
          <w:rFonts w:ascii="Calibri" w:eastAsia="Calibri" w:hAnsi="Calibri" w:cs="Calibri"/>
          <w:bCs/>
          <w:i/>
          <w:iCs/>
          <w:sz w:val="22"/>
          <w:szCs w:val="22"/>
        </w:rPr>
        <w:t xml:space="preserve"> - Territorio di provenienza o destinazione delle merci (province, regioni, macro ripartizioni)</w:t>
      </w:r>
    </w:p>
    <w:p w14:paraId="1E92C1E6" w14:textId="77777777" w:rsidR="0075577E" w:rsidRPr="006D6BB4" w:rsidRDefault="0075577E" w:rsidP="0075577E">
      <w:pPr>
        <w:jc w:val="both"/>
        <w:rPr>
          <w:rFonts w:ascii="Calibri" w:eastAsia="Calibri" w:hAnsi="Calibri" w:cs="Calibri"/>
          <w:bCs/>
          <w:i/>
          <w:iCs/>
          <w:sz w:val="22"/>
          <w:szCs w:val="22"/>
        </w:rPr>
      </w:pPr>
      <w:r w:rsidRPr="006D6BB4">
        <w:rPr>
          <w:rFonts w:ascii="Calibri" w:eastAsia="Calibri" w:hAnsi="Calibri" w:cs="Calibri"/>
          <w:bCs/>
          <w:i/>
          <w:iCs/>
          <w:sz w:val="22"/>
          <w:szCs w:val="22"/>
        </w:rPr>
        <w:t xml:space="preserve"> - Tipologia di merce (secondo varie classificazioni: NC8, Ateco, CTCI, NST)</w:t>
      </w:r>
    </w:p>
    <w:p w14:paraId="7F255F8E" w14:textId="77777777" w:rsidR="0075577E" w:rsidRPr="006D6BB4" w:rsidRDefault="0075577E" w:rsidP="0075577E">
      <w:pPr>
        <w:jc w:val="both"/>
        <w:rPr>
          <w:rFonts w:ascii="Calibri" w:eastAsia="Calibri" w:hAnsi="Calibri" w:cs="Calibri"/>
          <w:bCs/>
          <w:i/>
          <w:iCs/>
          <w:sz w:val="22"/>
          <w:szCs w:val="22"/>
        </w:rPr>
      </w:pPr>
      <w:r w:rsidRPr="006D6BB4">
        <w:rPr>
          <w:rFonts w:ascii="Calibri" w:eastAsia="Calibri" w:hAnsi="Calibri" w:cs="Calibri"/>
          <w:bCs/>
          <w:i/>
          <w:iCs/>
          <w:sz w:val="22"/>
          <w:szCs w:val="22"/>
        </w:rPr>
        <w:t xml:space="preserve"> - Paese di destinazione o provenienza delle merci</w:t>
      </w:r>
    </w:p>
    <w:p w14:paraId="57CFC3F8" w14:textId="77777777" w:rsidR="0075577E" w:rsidRPr="006D6BB4" w:rsidRDefault="0075577E" w:rsidP="0075577E">
      <w:pPr>
        <w:jc w:val="both"/>
        <w:rPr>
          <w:rFonts w:ascii="Calibri" w:eastAsia="Calibri" w:hAnsi="Calibri" w:cs="Calibri"/>
          <w:bCs/>
          <w:i/>
          <w:iCs/>
          <w:sz w:val="22"/>
          <w:szCs w:val="22"/>
        </w:rPr>
      </w:pPr>
      <w:r w:rsidRPr="006D6BB4">
        <w:rPr>
          <w:rFonts w:ascii="Calibri" w:eastAsia="Calibri" w:hAnsi="Calibri" w:cs="Calibri"/>
          <w:bCs/>
          <w:i/>
          <w:iCs/>
          <w:sz w:val="22"/>
          <w:szCs w:val="22"/>
        </w:rPr>
        <w:t xml:space="preserve">Ai fini dell’analisi è stata utilizzata la classificazione delle merci Ateco 2007, </w:t>
      </w:r>
    </w:p>
    <w:p w14:paraId="589DE4D2" w14:textId="77777777" w:rsidR="0075577E" w:rsidRDefault="0075577E" w:rsidP="0075577E">
      <w:pPr>
        <w:jc w:val="both"/>
        <w:rPr>
          <w:rFonts w:ascii="Calibri" w:eastAsia="Calibri" w:hAnsi="Calibri" w:cs="Calibri"/>
          <w:bCs/>
          <w:i/>
          <w:iCs/>
          <w:sz w:val="22"/>
          <w:szCs w:val="22"/>
        </w:rPr>
      </w:pPr>
      <w:r w:rsidRPr="006D6BB4">
        <w:rPr>
          <w:rFonts w:ascii="Calibri" w:eastAsia="Calibri" w:hAnsi="Calibri" w:cs="Calibri"/>
          <w:bCs/>
          <w:i/>
          <w:iCs/>
          <w:sz w:val="22"/>
          <w:szCs w:val="22"/>
        </w:rPr>
        <w:t>A livello provinciale l’analisi dell’interscambio commerciale è disponibile solamente in valore monetario.</w:t>
      </w:r>
    </w:p>
    <w:p w14:paraId="3C60436D" w14:textId="77777777" w:rsidR="0075577E" w:rsidRDefault="0075577E" w:rsidP="0075577E">
      <w:pPr>
        <w:rPr>
          <w:rFonts w:ascii="Calibri" w:eastAsia="Calibri" w:hAnsi="Calibri" w:cs="Calibri"/>
          <w:bCs/>
          <w:i/>
          <w:iCs/>
          <w:sz w:val="22"/>
          <w:szCs w:val="22"/>
        </w:rPr>
      </w:pPr>
    </w:p>
    <w:p w14:paraId="54077F18" w14:textId="77777777" w:rsidR="0075577E" w:rsidRPr="001F399D" w:rsidRDefault="0075577E" w:rsidP="0075577E">
      <w:pPr>
        <w:rPr>
          <w:rFonts w:ascii="Calibri" w:eastAsia="Calibri" w:hAnsi="Calibri" w:cs="Calibri"/>
          <w:bCs/>
          <w:i/>
          <w:iCs/>
          <w:sz w:val="22"/>
          <w:szCs w:val="22"/>
        </w:rPr>
      </w:pPr>
      <w:r w:rsidRPr="001F399D">
        <w:rPr>
          <w:rFonts w:ascii="Calibri" w:eastAsia="Calibri" w:hAnsi="Calibri" w:cs="Calibri"/>
          <w:bCs/>
          <w:i/>
          <w:iCs/>
          <w:sz w:val="22"/>
          <w:szCs w:val="22"/>
        </w:rPr>
        <w:t xml:space="preserve">Di seguito la corrispondenza dei settori </w:t>
      </w:r>
      <w:r>
        <w:rPr>
          <w:rFonts w:ascii="Calibri" w:eastAsia="Calibri" w:hAnsi="Calibri" w:cs="Calibri"/>
          <w:bCs/>
          <w:i/>
          <w:iCs/>
          <w:sz w:val="22"/>
          <w:szCs w:val="22"/>
        </w:rPr>
        <w:t xml:space="preserve">indicati nelle tabelle </w:t>
      </w:r>
      <w:r w:rsidRPr="001F399D">
        <w:rPr>
          <w:rFonts w:ascii="Calibri" w:eastAsia="Calibri" w:hAnsi="Calibri" w:cs="Calibri"/>
          <w:bCs/>
          <w:i/>
          <w:iCs/>
          <w:sz w:val="22"/>
          <w:szCs w:val="22"/>
        </w:rPr>
        <w:t>con il</w:t>
      </w:r>
      <w:r>
        <w:rPr>
          <w:rFonts w:ascii="Calibri" w:eastAsia="Calibri" w:hAnsi="Calibri" w:cs="Calibri"/>
          <w:bCs/>
          <w:i/>
          <w:iCs/>
          <w:sz w:val="22"/>
          <w:szCs w:val="22"/>
        </w:rPr>
        <w:t xml:space="preserve"> rispettivo</w:t>
      </w:r>
      <w:r w:rsidRPr="001F399D">
        <w:rPr>
          <w:rFonts w:ascii="Calibri" w:eastAsia="Calibri" w:hAnsi="Calibri" w:cs="Calibri"/>
          <w:bCs/>
          <w:i/>
          <w:iCs/>
          <w:sz w:val="22"/>
          <w:szCs w:val="22"/>
        </w:rPr>
        <w:t xml:space="preserve"> codice Ateco 2007</w:t>
      </w:r>
      <w:r>
        <w:rPr>
          <w:rFonts w:ascii="Calibri" w:eastAsia="Calibri" w:hAnsi="Calibri" w:cs="Calibri"/>
          <w:bCs/>
          <w:i/>
          <w:iCs/>
          <w:sz w:val="22"/>
          <w:szCs w:val="22"/>
        </w:rPr>
        <w:t>:</w:t>
      </w:r>
    </w:p>
    <w:tbl>
      <w:tblPr>
        <w:tblW w:w="9569" w:type="dxa"/>
        <w:tblInd w:w="70" w:type="dxa"/>
        <w:tblCellMar>
          <w:left w:w="70" w:type="dxa"/>
          <w:right w:w="70" w:type="dxa"/>
        </w:tblCellMar>
        <w:tblLook w:val="04A0" w:firstRow="1" w:lastRow="0" w:firstColumn="1" w:lastColumn="0" w:noHBand="0" w:noVBand="1"/>
      </w:tblPr>
      <w:tblGrid>
        <w:gridCol w:w="4041"/>
        <w:gridCol w:w="5528"/>
      </w:tblGrid>
      <w:tr w:rsidR="0075577E" w:rsidRPr="00E55A43" w14:paraId="2673A7EB" w14:textId="77777777" w:rsidTr="000069C3">
        <w:trPr>
          <w:trHeight w:val="283"/>
        </w:trPr>
        <w:tc>
          <w:tcPr>
            <w:tcW w:w="4041" w:type="dxa"/>
            <w:tcBorders>
              <w:top w:val="single" w:sz="4" w:space="0" w:color="auto"/>
              <w:left w:val="nil"/>
              <w:bottom w:val="single" w:sz="4" w:space="0" w:color="auto"/>
              <w:right w:val="nil"/>
            </w:tcBorders>
            <w:noWrap/>
            <w:vAlign w:val="center"/>
            <w:hideMark/>
          </w:tcPr>
          <w:p w14:paraId="3EA39509" w14:textId="77777777" w:rsidR="0075577E" w:rsidRPr="00E55A43" w:rsidRDefault="0075577E" w:rsidP="0041728D">
            <w:pPr>
              <w:rPr>
                <w:rFonts w:ascii="Calibri" w:hAnsi="Calibri" w:cs="Calibri"/>
                <w:b/>
                <w:bCs/>
                <w:color w:val="000000"/>
                <w:sz w:val="18"/>
                <w:szCs w:val="18"/>
              </w:rPr>
            </w:pPr>
            <w:r w:rsidRPr="00E55A43">
              <w:rPr>
                <w:rFonts w:ascii="Calibri" w:hAnsi="Calibri" w:cs="Calibri"/>
                <w:b/>
                <w:bCs/>
                <w:color w:val="000000"/>
                <w:sz w:val="18"/>
                <w:szCs w:val="18"/>
              </w:rPr>
              <w:t>Settore</w:t>
            </w:r>
          </w:p>
        </w:tc>
        <w:tc>
          <w:tcPr>
            <w:tcW w:w="5528" w:type="dxa"/>
            <w:tcBorders>
              <w:top w:val="single" w:sz="4" w:space="0" w:color="auto"/>
              <w:left w:val="nil"/>
              <w:bottom w:val="single" w:sz="4" w:space="0" w:color="auto"/>
              <w:right w:val="nil"/>
            </w:tcBorders>
            <w:noWrap/>
            <w:vAlign w:val="center"/>
            <w:hideMark/>
          </w:tcPr>
          <w:p w14:paraId="24994187" w14:textId="77777777" w:rsidR="0075577E" w:rsidRPr="00E55A43" w:rsidRDefault="0075577E" w:rsidP="0041728D">
            <w:pPr>
              <w:rPr>
                <w:rFonts w:ascii="Calibri" w:hAnsi="Calibri" w:cs="Calibri"/>
                <w:b/>
                <w:bCs/>
                <w:color w:val="000000"/>
                <w:sz w:val="18"/>
                <w:szCs w:val="18"/>
              </w:rPr>
            </w:pPr>
            <w:r w:rsidRPr="00E55A43">
              <w:rPr>
                <w:rFonts w:ascii="Calibri" w:hAnsi="Calibri" w:cs="Calibri"/>
                <w:b/>
                <w:bCs/>
                <w:color w:val="000000"/>
                <w:sz w:val="18"/>
                <w:szCs w:val="18"/>
              </w:rPr>
              <w:t>Ateco 2007</w:t>
            </w:r>
          </w:p>
        </w:tc>
      </w:tr>
      <w:tr w:rsidR="0075577E" w:rsidRPr="00E55A43" w14:paraId="78089A0B" w14:textId="77777777" w:rsidTr="000069C3">
        <w:trPr>
          <w:trHeight w:val="283"/>
        </w:trPr>
        <w:tc>
          <w:tcPr>
            <w:tcW w:w="4041" w:type="dxa"/>
            <w:tcBorders>
              <w:top w:val="single" w:sz="4" w:space="0" w:color="auto"/>
              <w:left w:val="nil"/>
              <w:bottom w:val="single" w:sz="4" w:space="0" w:color="808080"/>
              <w:right w:val="nil"/>
            </w:tcBorders>
            <w:noWrap/>
            <w:vAlign w:val="center"/>
            <w:hideMark/>
          </w:tcPr>
          <w:p w14:paraId="3DFDADF9" w14:textId="7023B906" w:rsidR="0075577E" w:rsidRPr="00E55A43" w:rsidRDefault="000069C3" w:rsidP="0041728D">
            <w:pPr>
              <w:rPr>
                <w:rFonts w:ascii="Calibri" w:hAnsi="Calibri" w:cs="Calibri"/>
                <w:color w:val="000000"/>
                <w:sz w:val="18"/>
                <w:szCs w:val="18"/>
              </w:rPr>
            </w:pPr>
            <w:r w:rsidRPr="000069C3">
              <w:rPr>
                <w:rFonts w:ascii="Calibri" w:hAnsi="Calibri" w:cs="Calibri"/>
                <w:color w:val="000000"/>
                <w:sz w:val="18"/>
                <w:szCs w:val="18"/>
              </w:rPr>
              <w:t>Materiali lapidei grezzi</w:t>
            </w:r>
          </w:p>
        </w:tc>
        <w:tc>
          <w:tcPr>
            <w:tcW w:w="5528" w:type="dxa"/>
            <w:tcBorders>
              <w:top w:val="single" w:sz="4" w:space="0" w:color="auto"/>
              <w:left w:val="nil"/>
              <w:bottom w:val="single" w:sz="4" w:space="0" w:color="808080"/>
              <w:right w:val="nil"/>
            </w:tcBorders>
            <w:noWrap/>
            <w:vAlign w:val="center"/>
            <w:hideMark/>
          </w:tcPr>
          <w:p w14:paraId="48080DDC"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BB081-Pietra, sabbia e argilla</w:t>
            </w:r>
          </w:p>
        </w:tc>
      </w:tr>
      <w:tr w:rsidR="0075577E" w:rsidRPr="00E55A43" w14:paraId="7E4EF296"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7D0A9220" w14:textId="46AAA150"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Oli</w:t>
            </w:r>
            <w:r w:rsidR="000069C3">
              <w:rPr>
                <w:rFonts w:ascii="Calibri" w:hAnsi="Calibri" w:cs="Calibri"/>
                <w:color w:val="000000"/>
                <w:sz w:val="18"/>
                <w:szCs w:val="18"/>
              </w:rPr>
              <w:t>o</w:t>
            </w:r>
          </w:p>
        </w:tc>
        <w:tc>
          <w:tcPr>
            <w:tcW w:w="5528" w:type="dxa"/>
            <w:tcBorders>
              <w:top w:val="single" w:sz="4" w:space="0" w:color="808080"/>
              <w:left w:val="nil"/>
              <w:bottom w:val="single" w:sz="4" w:space="0" w:color="808080"/>
              <w:right w:val="nil"/>
            </w:tcBorders>
            <w:noWrap/>
            <w:vAlign w:val="center"/>
            <w:hideMark/>
          </w:tcPr>
          <w:p w14:paraId="1994D8D4"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CA104-Oli e grassi vegetali e animali</w:t>
            </w:r>
          </w:p>
        </w:tc>
      </w:tr>
      <w:tr w:rsidR="0075577E" w:rsidRPr="00E55A43" w14:paraId="75D2E37A"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35BD5FD3"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Bevande</w:t>
            </w:r>
          </w:p>
        </w:tc>
        <w:tc>
          <w:tcPr>
            <w:tcW w:w="5528" w:type="dxa"/>
            <w:tcBorders>
              <w:top w:val="single" w:sz="4" w:space="0" w:color="808080"/>
              <w:left w:val="nil"/>
              <w:bottom w:val="single" w:sz="4" w:space="0" w:color="808080"/>
              <w:right w:val="nil"/>
            </w:tcBorders>
            <w:noWrap/>
            <w:vAlign w:val="center"/>
            <w:hideMark/>
          </w:tcPr>
          <w:p w14:paraId="3D11FAE4"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CA110-Bevande</w:t>
            </w:r>
          </w:p>
        </w:tc>
      </w:tr>
      <w:tr w:rsidR="0075577E" w:rsidRPr="00E55A43" w14:paraId="01EE777D"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366DB9AE"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Articoli di abbigliamento</w:t>
            </w:r>
          </w:p>
        </w:tc>
        <w:tc>
          <w:tcPr>
            <w:tcW w:w="5528" w:type="dxa"/>
            <w:tcBorders>
              <w:top w:val="single" w:sz="4" w:space="0" w:color="808080"/>
              <w:left w:val="nil"/>
              <w:bottom w:val="single" w:sz="4" w:space="0" w:color="808080"/>
              <w:right w:val="nil"/>
            </w:tcBorders>
            <w:noWrap/>
            <w:vAlign w:val="center"/>
            <w:hideMark/>
          </w:tcPr>
          <w:p w14:paraId="2A791384"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CB141-Articoli di abbigliamento, escluso l'abbigliamento in pelliccia</w:t>
            </w:r>
          </w:p>
        </w:tc>
      </w:tr>
      <w:tr w:rsidR="0075577E" w:rsidRPr="00E55A43" w14:paraId="042937BC"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346AA34B"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Pelli-cuoio</w:t>
            </w:r>
          </w:p>
        </w:tc>
        <w:tc>
          <w:tcPr>
            <w:tcW w:w="5528" w:type="dxa"/>
            <w:tcBorders>
              <w:top w:val="single" w:sz="4" w:space="0" w:color="808080"/>
              <w:left w:val="nil"/>
              <w:bottom w:val="single" w:sz="4" w:space="0" w:color="808080"/>
              <w:right w:val="nil"/>
            </w:tcBorders>
            <w:noWrap/>
            <w:vAlign w:val="center"/>
            <w:hideMark/>
          </w:tcPr>
          <w:p w14:paraId="7A074684"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CB151-Cuoio conciato e lavorato; articoli da viaggio, borse, pelletteria e selleria; pellicce preparate e tinte</w:t>
            </w:r>
          </w:p>
        </w:tc>
      </w:tr>
      <w:tr w:rsidR="0075577E" w:rsidRPr="00E55A43" w14:paraId="65851EA3"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3C4BCB7D"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Calzature</w:t>
            </w:r>
          </w:p>
        </w:tc>
        <w:tc>
          <w:tcPr>
            <w:tcW w:w="5528" w:type="dxa"/>
            <w:tcBorders>
              <w:top w:val="single" w:sz="4" w:space="0" w:color="808080"/>
              <w:left w:val="nil"/>
              <w:bottom w:val="single" w:sz="4" w:space="0" w:color="808080"/>
              <w:right w:val="nil"/>
            </w:tcBorders>
            <w:noWrap/>
            <w:vAlign w:val="center"/>
            <w:hideMark/>
          </w:tcPr>
          <w:p w14:paraId="42CA49FC"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CB152-Calzature</w:t>
            </w:r>
          </w:p>
        </w:tc>
      </w:tr>
      <w:tr w:rsidR="0075577E" w:rsidRPr="00E55A43" w14:paraId="2B559566"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3EF5481A"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Pasta-carta, carta e cartone</w:t>
            </w:r>
          </w:p>
        </w:tc>
        <w:tc>
          <w:tcPr>
            <w:tcW w:w="5528" w:type="dxa"/>
            <w:tcBorders>
              <w:top w:val="single" w:sz="4" w:space="0" w:color="808080"/>
              <w:left w:val="nil"/>
              <w:bottom w:val="single" w:sz="4" w:space="0" w:color="808080"/>
              <w:right w:val="nil"/>
            </w:tcBorders>
            <w:noWrap/>
            <w:vAlign w:val="center"/>
            <w:hideMark/>
          </w:tcPr>
          <w:p w14:paraId="62DBF512"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CC171-Pasta-carta, carta e cartone</w:t>
            </w:r>
          </w:p>
        </w:tc>
      </w:tr>
      <w:tr w:rsidR="0075577E" w:rsidRPr="00E55A43" w14:paraId="79254C30"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0D512613"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Articoli di carta e di cartone</w:t>
            </w:r>
          </w:p>
        </w:tc>
        <w:tc>
          <w:tcPr>
            <w:tcW w:w="5528" w:type="dxa"/>
            <w:tcBorders>
              <w:top w:val="single" w:sz="4" w:space="0" w:color="808080"/>
              <w:left w:val="nil"/>
              <w:bottom w:val="single" w:sz="4" w:space="0" w:color="808080"/>
              <w:right w:val="nil"/>
            </w:tcBorders>
            <w:noWrap/>
            <w:vAlign w:val="center"/>
            <w:hideMark/>
          </w:tcPr>
          <w:p w14:paraId="7D2E6D55"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CC172-Articoli di carta e di cartone</w:t>
            </w:r>
          </w:p>
        </w:tc>
      </w:tr>
      <w:tr w:rsidR="0075577E" w:rsidRPr="00E55A43" w14:paraId="09674103"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26E8C673"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 xml:space="preserve">Chimica di base, </w:t>
            </w:r>
            <w:proofErr w:type="spellStart"/>
            <w:proofErr w:type="gramStart"/>
            <w:r w:rsidRPr="00E55A43">
              <w:rPr>
                <w:rFonts w:ascii="Calibri" w:hAnsi="Calibri" w:cs="Calibri"/>
                <w:color w:val="000000"/>
                <w:sz w:val="18"/>
                <w:szCs w:val="18"/>
              </w:rPr>
              <w:t>fertil.ti</w:t>
            </w:r>
            <w:proofErr w:type="spellEnd"/>
            <w:proofErr w:type="gramEnd"/>
            <w:r w:rsidRPr="00E55A43">
              <w:rPr>
                <w:rFonts w:ascii="Calibri" w:hAnsi="Calibri" w:cs="Calibri"/>
                <w:color w:val="000000"/>
                <w:sz w:val="18"/>
                <w:szCs w:val="18"/>
              </w:rPr>
              <w:t>, plastica e gomma</w:t>
            </w:r>
          </w:p>
        </w:tc>
        <w:tc>
          <w:tcPr>
            <w:tcW w:w="5528" w:type="dxa"/>
            <w:tcBorders>
              <w:top w:val="single" w:sz="4" w:space="0" w:color="808080"/>
              <w:left w:val="nil"/>
              <w:bottom w:val="single" w:sz="4" w:space="0" w:color="808080"/>
              <w:right w:val="nil"/>
            </w:tcBorders>
            <w:noWrap/>
            <w:vAlign w:val="center"/>
            <w:hideMark/>
          </w:tcPr>
          <w:p w14:paraId="4B11EABD"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CE201-Prodotti chimici di base, fertilizzanti e composti azotati, materie plastiche e gomma sintetica in forme primarie</w:t>
            </w:r>
          </w:p>
        </w:tc>
      </w:tr>
      <w:tr w:rsidR="0075577E" w:rsidRPr="00E55A43" w14:paraId="23A6862F"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5935B63A"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Altri prodotti chimici</w:t>
            </w:r>
          </w:p>
        </w:tc>
        <w:tc>
          <w:tcPr>
            <w:tcW w:w="5528" w:type="dxa"/>
            <w:tcBorders>
              <w:top w:val="single" w:sz="4" w:space="0" w:color="808080"/>
              <w:left w:val="nil"/>
              <w:bottom w:val="single" w:sz="4" w:space="0" w:color="808080"/>
              <w:right w:val="nil"/>
            </w:tcBorders>
            <w:noWrap/>
            <w:vAlign w:val="center"/>
            <w:hideMark/>
          </w:tcPr>
          <w:p w14:paraId="7C9CBA5D"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CE205-Altri prodotti chimici</w:t>
            </w:r>
          </w:p>
        </w:tc>
      </w:tr>
      <w:tr w:rsidR="0075577E" w:rsidRPr="00E55A43" w14:paraId="447A62CA"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4676916A"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Medicinali e preparati farmaceutici</w:t>
            </w:r>
          </w:p>
        </w:tc>
        <w:tc>
          <w:tcPr>
            <w:tcW w:w="5528" w:type="dxa"/>
            <w:tcBorders>
              <w:top w:val="single" w:sz="4" w:space="0" w:color="808080"/>
              <w:left w:val="nil"/>
              <w:bottom w:val="single" w:sz="4" w:space="0" w:color="808080"/>
              <w:right w:val="nil"/>
            </w:tcBorders>
            <w:noWrap/>
            <w:vAlign w:val="center"/>
            <w:hideMark/>
          </w:tcPr>
          <w:p w14:paraId="4DB56F44"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CF212-Medicinali e preparati farmaceutici</w:t>
            </w:r>
          </w:p>
        </w:tc>
      </w:tr>
      <w:tr w:rsidR="0075577E" w:rsidRPr="00E55A43" w14:paraId="4A149582"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262CA61E"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Articoli in materie plastiche</w:t>
            </w:r>
          </w:p>
        </w:tc>
        <w:tc>
          <w:tcPr>
            <w:tcW w:w="5528" w:type="dxa"/>
            <w:tcBorders>
              <w:top w:val="single" w:sz="4" w:space="0" w:color="808080"/>
              <w:left w:val="nil"/>
              <w:bottom w:val="single" w:sz="4" w:space="0" w:color="808080"/>
              <w:right w:val="nil"/>
            </w:tcBorders>
            <w:noWrap/>
            <w:vAlign w:val="center"/>
            <w:hideMark/>
          </w:tcPr>
          <w:p w14:paraId="19ED925C"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CG222-Articoli in materie plastiche</w:t>
            </w:r>
          </w:p>
        </w:tc>
      </w:tr>
      <w:tr w:rsidR="0075577E" w:rsidRPr="00E55A43" w14:paraId="4CAAA5A2"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12B87E03"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Pietre tagliate, modellate e finite</w:t>
            </w:r>
          </w:p>
        </w:tc>
        <w:tc>
          <w:tcPr>
            <w:tcW w:w="5528" w:type="dxa"/>
            <w:tcBorders>
              <w:top w:val="single" w:sz="4" w:space="0" w:color="808080"/>
              <w:left w:val="nil"/>
              <w:bottom w:val="single" w:sz="4" w:space="0" w:color="808080"/>
              <w:right w:val="nil"/>
            </w:tcBorders>
            <w:noWrap/>
            <w:vAlign w:val="center"/>
            <w:hideMark/>
          </w:tcPr>
          <w:p w14:paraId="4AC6EE24"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CG237-Pietre tagliate, modellate e finite</w:t>
            </w:r>
          </w:p>
        </w:tc>
      </w:tr>
      <w:tr w:rsidR="0075577E" w:rsidRPr="00E55A43" w14:paraId="33BB72D4"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49A1076D"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Tubi, condotti, profilati cavi e relativi accessori</w:t>
            </w:r>
          </w:p>
        </w:tc>
        <w:tc>
          <w:tcPr>
            <w:tcW w:w="5528" w:type="dxa"/>
            <w:tcBorders>
              <w:top w:val="single" w:sz="4" w:space="0" w:color="808080"/>
              <w:left w:val="nil"/>
              <w:bottom w:val="single" w:sz="4" w:space="0" w:color="808080"/>
              <w:right w:val="nil"/>
            </w:tcBorders>
            <w:noWrap/>
            <w:vAlign w:val="center"/>
            <w:hideMark/>
          </w:tcPr>
          <w:p w14:paraId="41A6B6B1"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CH242-Tubi, condotti, profilati cavi e relativi accessori in acciaio (esclusi quelli in acciaio colato)</w:t>
            </w:r>
          </w:p>
        </w:tc>
      </w:tr>
      <w:tr w:rsidR="0075577E" w:rsidRPr="00E55A43" w14:paraId="090B83B0"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3930F047"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Metalli di base preziosi e altri metalli non ferrosi</w:t>
            </w:r>
          </w:p>
        </w:tc>
        <w:tc>
          <w:tcPr>
            <w:tcW w:w="5528" w:type="dxa"/>
            <w:tcBorders>
              <w:top w:val="single" w:sz="4" w:space="0" w:color="808080"/>
              <w:left w:val="nil"/>
              <w:bottom w:val="single" w:sz="4" w:space="0" w:color="808080"/>
              <w:right w:val="nil"/>
            </w:tcBorders>
            <w:noWrap/>
            <w:vAlign w:val="center"/>
            <w:hideMark/>
          </w:tcPr>
          <w:p w14:paraId="257EB5A7"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CH244-Metalli di base preziosi e altri metalli non ferrosi; combustibili nucleari</w:t>
            </w:r>
          </w:p>
        </w:tc>
      </w:tr>
      <w:tr w:rsidR="0075577E" w:rsidRPr="00E55A43" w14:paraId="2F164271"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19C7BD5F"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Utensili e oggetti di ferramenta</w:t>
            </w:r>
          </w:p>
        </w:tc>
        <w:tc>
          <w:tcPr>
            <w:tcW w:w="5528" w:type="dxa"/>
            <w:tcBorders>
              <w:top w:val="single" w:sz="4" w:space="0" w:color="808080"/>
              <w:left w:val="nil"/>
              <w:bottom w:val="single" w:sz="4" w:space="0" w:color="808080"/>
              <w:right w:val="nil"/>
            </w:tcBorders>
            <w:noWrap/>
            <w:vAlign w:val="center"/>
            <w:hideMark/>
          </w:tcPr>
          <w:p w14:paraId="1EB8B576"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CH257-Articoli di coltelleria, utensili e oggetti di ferramenta</w:t>
            </w:r>
          </w:p>
        </w:tc>
      </w:tr>
      <w:tr w:rsidR="0075577E" w:rsidRPr="00E55A43" w14:paraId="2776B078"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03FFA2F9"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 xml:space="preserve">Strumenti di </w:t>
            </w:r>
            <w:proofErr w:type="spellStart"/>
            <w:r w:rsidRPr="00E55A43">
              <w:rPr>
                <w:rFonts w:ascii="Calibri" w:hAnsi="Calibri" w:cs="Calibri"/>
                <w:color w:val="000000"/>
                <w:sz w:val="18"/>
                <w:szCs w:val="18"/>
              </w:rPr>
              <w:t>misuraz</w:t>
            </w:r>
            <w:proofErr w:type="spellEnd"/>
            <w:r w:rsidRPr="00E55A43">
              <w:rPr>
                <w:rFonts w:ascii="Calibri" w:hAnsi="Calibri" w:cs="Calibri"/>
                <w:color w:val="000000"/>
                <w:sz w:val="18"/>
                <w:szCs w:val="18"/>
              </w:rPr>
              <w:t xml:space="preserve">., prova e </w:t>
            </w:r>
            <w:proofErr w:type="spellStart"/>
            <w:r w:rsidRPr="00E55A43">
              <w:rPr>
                <w:rFonts w:ascii="Calibri" w:hAnsi="Calibri" w:cs="Calibri"/>
                <w:color w:val="000000"/>
                <w:sz w:val="18"/>
                <w:szCs w:val="18"/>
              </w:rPr>
              <w:t>navigaz</w:t>
            </w:r>
            <w:proofErr w:type="spellEnd"/>
            <w:r w:rsidRPr="00E55A43">
              <w:rPr>
                <w:rFonts w:ascii="Calibri" w:hAnsi="Calibri" w:cs="Calibri"/>
                <w:color w:val="000000"/>
                <w:sz w:val="18"/>
                <w:szCs w:val="18"/>
              </w:rPr>
              <w:t>.</w:t>
            </w:r>
          </w:p>
        </w:tc>
        <w:tc>
          <w:tcPr>
            <w:tcW w:w="5528" w:type="dxa"/>
            <w:tcBorders>
              <w:top w:val="single" w:sz="4" w:space="0" w:color="808080"/>
              <w:left w:val="nil"/>
              <w:bottom w:val="single" w:sz="4" w:space="0" w:color="808080"/>
              <w:right w:val="nil"/>
            </w:tcBorders>
            <w:noWrap/>
            <w:vAlign w:val="center"/>
            <w:hideMark/>
          </w:tcPr>
          <w:p w14:paraId="011BED99"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CI265-Strumenti e apparecchi di misurazione, prova e navigazione; orologi</w:t>
            </w:r>
          </w:p>
        </w:tc>
      </w:tr>
      <w:tr w:rsidR="0075577E" w:rsidRPr="00E55A43" w14:paraId="46C8B816"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0F5CB3AE"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Motori, generatori e trasformatori elettrici</w:t>
            </w:r>
          </w:p>
        </w:tc>
        <w:tc>
          <w:tcPr>
            <w:tcW w:w="5528" w:type="dxa"/>
            <w:tcBorders>
              <w:top w:val="single" w:sz="4" w:space="0" w:color="808080"/>
              <w:left w:val="nil"/>
              <w:bottom w:val="single" w:sz="4" w:space="0" w:color="808080"/>
              <w:right w:val="nil"/>
            </w:tcBorders>
            <w:noWrap/>
            <w:vAlign w:val="center"/>
            <w:hideMark/>
          </w:tcPr>
          <w:p w14:paraId="7265CF25"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CJ271-Motori, generatori e trasformatori elettrici; apparecchiature per la distribuzione e il controllo dell'elettricità</w:t>
            </w:r>
          </w:p>
        </w:tc>
      </w:tr>
      <w:tr w:rsidR="0075577E" w:rsidRPr="00E55A43" w14:paraId="4196A807"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1D4B0CF8"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 xml:space="preserve">Apparecchiature di cablaggio </w:t>
            </w:r>
          </w:p>
        </w:tc>
        <w:tc>
          <w:tcPr>
            <w:tcW w:w="5528" w:type="dxa"/>
            <w:tcBorders>
              <w:top w:val="single" w:sz="4" w:space="0" w:color="808080"/>
              <w:left w:val="nil"/>
              <w:bottom w:val="single" w:sz="4" w:space="0" w:color="808080"/>
              <w:right w:val="nil"/>
            </w:tcBorders>
            <w:noWrap/>
            <w:vAlign w:val="center"/>
            <w:hideMark/>
          </w:tcPr>
          <w:p w14:paraId="633D4BED"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 xml:space="preserve">CJ273-Apparecchiature di cablaggio </w:t>
            </w:r>
          </w:p>
        </w:tc>
      </w:tr>
      <w:tr w:rsidR="0075577E" w:rsidRPr="00E55A43" w14:paraId="4AA82A4C"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4BB8E1B8"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Macchine di impiego generale</w:t>
            </w:r>
          </w:p>
        </w:tc>
        <w:tc>
          <w:tcPr>
            <w:tcW w:w="5528" w:type="dxa"/>
            <w:tcBorders>
              <w:top w:val="single" w:sz="4" w:space="0" w:color="808080"/>
              <w:left w:val="nil"/>
              <w:bottom w:val="single" w:sz="4" w:space="0" w:color="808080"/>
              <w:right w:val="nil"/>
            </w:tcBorders>
            <w:noWrap/>
            <w:vAlign w:val="center"/>
            <w:hideMark/>
          </w:tcPr>
          <w:p w14:paraId="0EB82D22"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CK281-Macchine di impiego generale</w:t>
            </w:r>
          </w:p>
        </w:tc>
      </w:tr>
      <w:tr w:rsidR="0075577E" w:rsidRPr="00E55A43" w14:paraId="63BA728A"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306B813F"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Altre macchine di impiego generale</w:t>
            </w:r>
          </w:p>
        </w:tc>
        <w:tc>
          <w:tcPr>
            <w:tcW w:w="5528" w:type="dxa"/>
            <w:tcBorders>
              <w:top w:val="single" w:sz="4" w:space="0" w:color="808080"/>
              <w:left w:val="nil"/>
              <w:bottom w:val="single" w:sz="4" w:space="0" w:color="808080"/>
              <w:right w:val="nil"/>
            </w:tcBorders>
            <w:noWrap/>
            <w:vAlign w:val="center"/>
            <w:hideMark/>
          </w:tcPr>
          <w:p w14:paraId="274A2D59"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CK282-Altre macchine di impiego generale</w:t>
            </w:r>
          </w:p>
        </w:tc>
      </w:tr>
      <w:tr w:rsidR="0075577E" w:rsidRPr="00E55A43" w14:paraId="3F39AC3A"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02C915B7"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 xml:space="preserve">Macchine per formatura </w:t>
            </w:r>
            <w:proofErr w:type="spellStart"/>
            <w:r w:rsidRPr="00E55A43">
              <w:rPr>
                <w:rFonts w:ascii="Calibri" w:hAnsi="Calibri" w:cs="Calibri"/>
                <w:color w:val="000000"/>
                <w:sz w:val="18"/>
                <w:szCs w:val="18"/>
              </w:rPr>
              <w:t>met</w:t>
            </w:r>
            <w:proofErr w:type="spellEnd"/>
            <w:r w:rsidRPr="00E55A43">
              <w:rPr>
                <w:rFonts w:ascii="Calibri" w:hAnsi="Calibri" w:cs="Calibri"/>
                <w:color w:val="000000"/>
                <w:sz w:val="18"/>
                <w:szCs w:val="18"/>
              </w:rPr>
              <w:t xml:space="preserve">. e altre </w:t>
            </w:r>
            <w:proofErr w:type="spellStart"/>
            <w:r w:rsidRPr="00E55A43">
              <w:rPr>
                <w:rFonts w:ascii="Calibri" w:hAnsi="Calibri" w:cs="Calibri"/>
                <w:color w:val="000000"/>
                <w:sz w:val="18"/>
                <w:szCs w:val="18"/>
              </w:rPr>
              <w:t>macch</w:t>
            </w:r>
            <w:proofErr w:type="spellEnd"/>
            <w:r w:rsidRPr="00E55A43">
              <w:rPr>
                <w:rFonts w:ascii="Calibri" w:hAnsi="Calibri" w:cs="Calibri"/>
                <w:color w:val="000000"/>
                <w:sz w:val="18"/>
                <w:szCs w:val="18"/>
              </w:rPr>
              <w:t>. utensili</w:t>
            </w:r>
          </w:p>
        </w:tc>
        <w:tc>
          <w:tcPr>
            <w:tcW w:w="5528" w:type="dxa"/>
            <w:tcBorders>
              <w:top w:val="single" w:sz="4" w:space="0" w:color="808080"/>
              <w:left w:val="nil"/>
              <w:bottom w:val="single" w:sz="4" w:space="0" w:color="808080"/>
              <w:right w:val="nil"/>
            </w:tcBorders>
            <w:noWrap/>
            <w:vAlign w:val="center"/>
            <w:hideMark/>
          </w:tcPr>
          <w:p w14:paraId="7752D170"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CK284-Macchine per la formatura dei metalli e altre macchine utensili</w:t>
            </w:r>
          </w:p>
        </w:tc>
      </w:tr>
      <w:tr w:rsidR="0075577E" w:rsidRPr="00E55A43" w14:paraId="4696E538"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22910543"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Altre macchine per impieghi speciali</w:t>
            </w:r>
          </w:p>
        </w:tc>
        <w:tc>
          <w:tcPr>
            <w:tcW w:w="5528" w:type="dxa"/>
            <w:tcBorders>
              <w:top w:val="single" w:sz="4" w:space="0" w:color="808080"/>
              <w:left w:val="nil"/>
              <w:bottom w:val="single" w:sz="4" w:space="0" w:color="808080"/>
              <w:right w:val="nil"/>
            </w:tcBorders>
            <w:noWrap/>
            <w:vAlign w:val="center"/>
            <w:hideMark/>
          </w:tcPr>
          <w:p w14:paraId="3083AD2A"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CK289-Altre macchine per impieghi speciali</w:t>
            </w:r>
          </w:p>
        </w:tc>
      </w:tr>
      <w:tr w:rsidR="0075577E" w:rsidRPr="00E55A43" w14:paraId="0146B6C6"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25E481B1"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Navi e imbarcazioni</w:t>
            </w:r>
          </w:p>
        </w:tc>
        <w:tc>
          <w:tcPr>
            <w:tcW w:w="5528" w:type="dxa"/>
            <w:tcBorders>
              <w:top w:val="single" w:sz="4" w:space="0" w:color="808080"/>
              <w:left w:val="nil"/>
              <w:bottom w:val="single" w:sz="4" w:space="0" w:color="808080"/>
              <w:right w:val="nil"/>
            </w:tcBorders>
            <w:noWrap/>
            <w:vAlign w:val="center"/>
            <w:hideMark/>
          </w:tcPr>
          <w:p w14:paraId="4A502FCD"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CL301-Navi e imbarcazioni</w:t>
            </w:r>
          </w:p>
        </w:tc>
      </w:tr>
      <w:tr w:rsidR="0075577E" w:rsidRPr="00E55A43" w14:paraId="0F1A00E9" w14:textId="77777777" w:rsidTr="000069C3">
        <w:trPr>
          <w:trHeight w:val="283"/>
        </w:trPr>
        <w:tc>
          <w:tcPr>
            <w:tcW w:w="4041" w:type="dxa"/>
            <w:tcBorders>
              <w:top w:val="single" w:sz="4" w:space="0" w:color="808080"/>
              <w:left w:val="nil"/>
              <w:bottom w:val="single" w:sz="4" w:space="0" w:color="808080"/>
              <w:right w:val="nil"/>
            </w:tcBorders>
            <w:noWrap/>
            <w:vAlign w:val="center"/>
            <w:hideMark/>
          </w:tcPr>
          <w:p w14:paraId="10DE819B"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Cicli e motocicli</w:t>
            </w:r>
          </w:p>
        </w:tc>
        <w:tc>
          <w:tcPr>
            <w:tcW w:w="5528" w:type="dxa"/>
            <w:tcBorders>
              <w:top w:val="single" w:sz="4" w:space="0" w:color="808080"/>
              <w:left w:val="nil"/>
              <w:bottom w:val="single" w:sz="4" w:space="0" w:color="808080"/>
              <w:right w:val="nil"/>
            </w:tcBorders>
            <w:noWrap/>
            <w:vAlign w:val="center"/>
            <w:hideMark/>
          </w:tcPr>
          <w:p w14:paraId="431EC936"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CL309-Mezzi di trasporto n.c.a.</w:t>
            </w:r>
          </w:p>
        </w:tc>
      </w:tr>
      <w:tr w:rsidR="0075577E" w:rsidRPr="00E55A43" w14:paraId="4BE25D31" w14:textId="77777777" w:rsidTr="000069C3">
        <w:trPr>
          <w:trHeight w:val="283"/>
        </w:trPr>
        <w:tc>
          <w:tcPr>
            <w:tcW w:w="4041" w:type="dxa"/>
            <w:tcBorders>
              <w:top w:val="single" w:sz="4" w:space="0" w:color="808080"/>
              <w:left w:val="nil"/>
              <w:bottom w:val="single" w:sz="4" w:space="0" w:color="auto"/>
              <w:right w:val="nil"/>
            </w:tcBorders>
            <w:noWrap/>
            <w:vAlign w:val="center"/>
            <w:hideMark/>
          </w:tcPr>
          <w:p w14:paraId="73A1B62B"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Mobili</w:t>
            </w:r>
          </w:p>
        </w:tc>
        <w:tc>
          <w:tcPr>
            <w:tcW w:w="5528" w:type="dxa"/>
            <w:tcBorders>
              <w:top w:val="single" w:sz="4" w:space="0" w:color="808080"/>
              <w:left w:val="nil"/>
              <w:bottom w:val="single" w:sz="4" w:space="0" w:color="auto"/>
              <w:right w:val="nil"/>
            </w:tcBorders>
            <w:noWrap/>
            <w:vAlign w:val="center"/>
            <w:hideMark/>
          </w:tcPr>
          <w:p w14:paraId="1DD6936C" w14:textId="77777777" w:rsidR="0075577E" w:rsidRPr="00E55A43" w:rsidRDefault="0075577E" w:rsidP="0041728D">
            <w:pPr>
              <w:rPr>
                <w:rFonts w:ascii="Calibri" w:hAnsi="Calibri" w:cs="Calibri"/>
                <w:color w:val="000000"/>
                <w:sz w:val="18"/>
                <w:szCs w:val="18"/>
              </w:rPr>
            </w:pPr>
            <w:r w:rsidRPr="00E55A43">
              <w:rPr>
                <w:rFonts w:ascii="Calibri" w:hAnsi="Calibri" w:cs="Calibri"/>
                <w:color w:val="000000"/>
                <w:sz w:val="18"/>
                <w:szCs w:val="18"/>
              </w:rPr>
              <w:t>CM310-Mobili</w:t>
            </w:r>
          </w:p>
        </w:tc>
      </w:tr>
    </w:tbl>
    <w:p w14:paraId="461DFB2A" w14:textId="32CDAB17" w:rsidR="00D15285" w:rsidRDefault="00D15285" w:rsidP="00DC334E">
      <w:pPr>
        <w:rPr>
          <w:rFonts w:ascii="Calibri" w:hAnsi="Calibri" w:cs="Calibri"/>
          <w:b/>
          <w:bCs/>
        </w:rPr>
      </w:pPr>
    </w:p>
    <w:sectPr w:rsidR="00D15285" w:rsidSect="00A611F0">
      <w:headerReference w:type="default" r:id="rId12"/>
      <w:footerReference w:type="default" r:id="rId13"/>
      <w:pgSz w:w="11906" w:h="16838"/>
      <w:pgMar w:top="1134" w:right="1559" w:bottom="709" w:left="1559" w:header="720" w:footer="2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4568F" w14:textId="77777777" w:rsidR="00400144" w:rsidRDefault="00400144">
      <w:r>
        <w:separator/>
      </w:r>
    </w:p>
  </w:endnote>
  <w:endnote w:type="continuationSeparator" w:id="0">
    <w:p w14:paraId="082DE5AE" w14:textId="77777777" w:rsidR="00400144" w:rsidRDefault="00400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It">
    <w:altName w:val="Cambria"/>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edra Sans Std Demi">
    <w:altName w:val="Cambria"/>
    <w:panose1 w:val="00000000000000000000"/>
    <w:charset w:val="00"/>
    <w:family w:val="swiss"/>
    <w:notTrueType/>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0FEB1" w14:textId="77777777" w:rsidR="00A44C14" w:rsidRPr="00A44C14" w:rsidRDefault="00A44C14">
    <w:pPr>
      <w:pStyle w:val="Pidipagina"/>
      <w:jc w:val="center"/>
      <w:rPr>
        <w:rFonts w:ascii="Calibri" w:hAnsi="Calibri" w:cs="Calibri"/>
      </w:rPr>
    </w:pPr>
    <w:r w:rsidRPr="00A44C14">
      <w:rPr>
        <w:rFonts w:ascii="Calibri" w:hAnsi="Calibri" w:cs="Calibri"/>
      </w:rPr>
      <w:fldChar w:fldCharType="begin"/>
    </w:r>
    <w:r w:rsidRPr="00A44C14">
      <w:rPr>
        <w:rFonts w:ascii="Calibri" w:hAnsi="Calibri" w:cs="Calibri"/>
      </w:rPr>
      <w:instrText>PAGE   \* MERGEFORMAT</w:instrText>
    </w:r>
    <w:r w:rsidRPr="00A44C14">
      <w:rPr>
        <w:rFonts w:ascii="Calibri" w:hAnsi="Calibri" w:cs="Calibri"/>
      </w:rPr>
      <w:fldChar w:fldCharType="separate"/>
    </w:r>
    <w:r w:rsidRPr="00A44C14">
      <w:rPr>
        <w:rFonts w:ascii="Calibri" w:hAnsi="Calibri" w:cs="Calibri"/>
        <w:lang w:val="it-IT"/>
      </w:rPr>
      <w:t>2</w:t>
    </w:r>
    <w:r w:rsidRPr="00A44C14">
      <w:rPr>
        <w:rFonts w:ascii="Calibri" w:hAnsi="Calibri" w:cs="Calibri"/>
      </w:rPr>
      <w:fldChar w:fldCharType="end"/>
    </w:r>
  </w:p>
  <w:p w14:paraId="4A57BA4C" w14:textId="77777777" w:rsidR="00BE2189" w:rsidRDefault="00BE2189" w:rsidP="007911E2">
    <w:pPr>
      <w:pStyle w:val="Pidipagina"/>
      <w:tabs>
        <w:tab w:val="left" w:pos="3660"/>
      </w:tabs>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60BF6" w14:textId="77777777" w:rsidR="00400144" w:rsidRDefault="00400144">
      <w:r>
        <w:separator/>
      </w:r>
    </w:p>
  </w:footnote>
  <w:footnote w:type="continuationSeparator" w:id="0">
    <w:p w14:paraId="4484D89F" w14:textId="77777777" w:rsidR="00400144" w:rsidRDefault="00400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AC39E" w14:textId="77777777" w:rsidR="00BE2189" w:rsidRPr="000233D6" w:rsidRDefault="00BE2189" w:rsidP="000233D6">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50.25pt;height:50.25pt" o:bullet="t">
        <v:imagedata r:id="rId1" o:title="ico_uc_email"/>
      </v:shape>
    </w:pict>
  </w:numPicBullet>
  <w:abstractNum w:abstractNumId="0" w15:restartNumberingAfterBreak="0">
    <w:nsid w:val="FFFFFF1D"/>
    <w:multiLevelType w:val="multilevel"/>
    <w:tmpl w:val="682E2F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 w15:restartNumberingAfterBreak="0">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004788"/>
    <w:multiLevelType w:val="hybridMultilevel"/>
    <w:tmpl w:val="E0BC44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6" w15:restartNumberingAfterBreak="0">
    <w:nsid w:val="35C922AF"/>
    <w:multiLevelType w:val="hybridMultilevel"/>
    <w:tmpl w:val="41827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6572EDC"/>
    <w:multiLevelType w:val="hybridMultilevel"/>
    <w:tmpl w:val="F48A1554"/>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10" w15:restartNumberingAfterBreak="0">
    <w:nsid w:val="7059564E"/>
    <w:multiLevelType w:val="hybridMultilevel"/>
    <w:tmpl w:val="579A20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5516FD1"/>
    <w:multiLevelType w:val="multilevel"/>
    <w:tmpl w:val="B91E3F5E"/>
    <w:lvl w:ilvl="0">
      <w:start w:val="1"/>
      <w:numFmt w:val="decimal"/>
      <w:lvlText w:val="%1."/>
      <w:lvlJc w:val="left"/>
      <w:pPr>
        <w:tabs>
          <w:tab w:val="num" w:pos="360"/>
        </w:tabs>
        <w:ind w:left="360" w:hanging="360"/>
      </w:pPr>
    </w:lvl>
    <w:lvl w:ilvl="1">
      <w:start w:val="1"/>
      <w:numFmt w:val="decimal"/>
      <w:pStyle w:val="S2"/>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185054569">
    <w:abstractNumId w:val="11"/>
  </w:num>
  <w:num w:numId="2" w16cid:durableId="995642691">
    <w:abstractNumId w:val="9"/>
  </w:num>
  <w:num w:numId="3" w16cid:durableId="1216090197">
    <w:abstractNumId w:val="3"/>
  </w:num>
  <w:num w:numId="4" w16cid:durableId="915868365">
    <w:abstractNumId w:val="5"/>
  </w:num>
  <w:num w:numId="5" w16cid:durableId="2053770570">
    <w:abstractNumId w:val="2"/>
  </w:num>
  <w:num w:numId="6" w16cid:durableId="299380357">
    <w:abstractNumId w:val="7"/>
  </w:num>
  <w:num w:numId="7" w16cid:durableId="1297032483">
    <w:abstractNumId w:val="8"/>
  </w:num>
  <w:num w:numId="8" w16cid:durableId="1517310558">
    <w:abstractNumId w:val="0"/>
  </w:num>
  <w:num w:numId="9" w16cid:durableId="847329692">
    <w:abstractNumId w:val="1"/>
  </w:num>
  <w:num w:numId="10" w16cid:durableId="1168246991">
    <w:abstractNumId w:val="4"/>
  </w:num>
  <w:num w:numId="11" w16cid:durableId="218440418">
    <w:abstractNumId w:val="6"/>
  </w:num>
  <w:num w:numId="12" w16cid:durableId="2036612586">
    <w:abstractNumId w:val="10"/>
  </w:num>
  <w:num w:numId="13" w16cid:durableId="19843127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713562">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82D"/>
    <w:rsid w:val="00000074"/>
    <w:rsid w:val="00000B36"/>
    <w:rsid w:val="00000E00"/>
    <w:rsid w:val="00001CC5"/>
    <w:rsid w:val="000025E9"/>
    <w:rsid w:val="00002CC9"/>
    <w:rsid w:val="00004B40"/>
    <w:rsid w:val="00006954"/>
    <w:rsid w:val="000069C3"/>
    <w:rsid w:val="00006B0C"/>
    <w:rsid w:val="00007B8A"/>
    <w:rsid w:val="00011214"/>
    <w:rsid w:val="00012ABF"/>
    <w:rsid w:val="00013496"/>
    <w:rsid w:val="00013E6F"/>
    <w:rsid w:val="00014811"/>
    <w:rsid w:val="00014B72"/>
    <w:rsid w:val="00014C02"/>
    <w:rsid w:val="00016694"/>
    <w:rsid w:val="0001683A"/>
    <w:rsid w:val="00016A21"/>
    <w:rsid w:val="000176E8"/>
    <w:rsid w:val="00017893"/>
    <w:rsid w:val="00021962"/>
    <w:rsid w:val="00021A40"/>
    <w:rsid w:val="00021B73"/>
    <w:rsid w:val="0002268B"/>
    <w:rsid w:val="000233D6"/>
    <w:rsid w:val="00023509"/>
    <w:rsid w:val="000238DD"/>
    <w:rsid w:val="00023F72"/>
    <w:rsid w:val="00024D76"/>
    <w:rsid w:val="00027A0B"/>
    <w:rsid w:val="00027B98"/>
    <w:rsid w:val="00027F2E"/>
    <w:rsid w:val="0003207F"/>
    <w:rsid w:val="000343D9"/>
    <w:rsid w:val="00036072"/>
    <w:rsid w:val="00036AF3"/>
    <w:rsid w:val="000377CA"/>
    <w:rsid w:val="00037DE8"/>
    <w:rsid w:val="00040A7D"/>
    <w:rsid w:val="00041E7E"/>
    <w:rsid w:val="00041F9E"/>
    <w:rsid w:val="00043006"/>
    <w:rsid w:val="00045AD9"/>
    <w:rsid w:val="00045EE6"/>
    <w:rsid w:val="00050D02"/>
    <w:rsid w:val="00050F2D"/>
    <w:rsid w:val="0005150C"/>
    <w:rsid w:val="00051AAE"/>
    <w:rsid w:val="00052417"/>
    <w:rsid w:val="000533F9"/>
    <w:rsid w:val="00054023"/>
    <w:rsid w:val="00055A77"/>
    <w:rsid w:val="000568F9"/>
    <w:rsid w:val="00060624"/>
    <w:rsid w:val="0006253B"/>
    <w:rsid w:val="00063168"/>
    <w:rsid w:val="00063BAD"/>
    <w:rsid w:val="0006442F"/>
    <w:rsid w:val="000648A7"/>
    <w:rsid w:val="000651E1"/>
    <w:rsid w:val="00065AA6"/>
    <w:rsid w:val="00065EAB"/>
    <w:rsid w:val="00065F15"/>
    <w:rsid w:val="00066058"/>
    <w:rsid w:val="00066AA9"/>
    <w:rsid w:val="00067060"/>
    <w:rsid w:val="00067A03"/>
    <w:rsid w:val="00067B41"/>
    <w:rsid w:val="000723DC"/>
    <w:rsid w:val="00072D79"/>
    <w:rsid w:val="000732A6"/>
    <w:rsid w:val="0007375F"/>
    <w:rsid w:val="00081250"/>
    <w:rsid w:val="0008130A"/>
    <w:rsid w:val="00082141"/>
    <w:rsid w:val="000826C5"/>
    <w:rsid w:val="00082DC9"/>
    <w:rsid w:val="000835B7"/>
    <w:rsid w:val="00085828"/>
    <w:rsid w:val="00087BE7"/>
    <w:rsid w:val="0009179D"/>
    <w:rsid w:val="000919D2"/>
    <w:rsid w:val="00091C5E"/>
    <w:rsid w:val="000925C3"/>
    <w:rsid w:val="000926FF"/>
    <w:rsid w:val="00092B8C"/>
    <w:rsid w:val="00094113"/>
    <w:rsid w:val="000941F3"/>
    <w:rsid w:val="000942A8"/>
    <w:rsid w:val="0009548C"/>
    <w:rsid w:val="00095A48"/>
    <w:rsid w:val="00095AD8"/>
    <w:rsid w:val="0009645E"/>
    <w:rsid w:val="0009669A"/>
    <w:rsid w:val="00097005"/>
    <w:rsid w:val="000A0BD0"/>
    <w:rsid w:val="000A0D17"/>
    <w:rsid w:val="000A0E48"/>
    <w:rsid w:val="000A2A45"/>
    <w:rsid w:val="000A3B9F"/>
    <w:rsid w:val="000A4705"/>
    <w:rsid w:val="000A5432"/>
    <w:rsid w:val="000A5585"/>
    <w:rsid w:val="000A5B2F"/>
    <w:rsid w:val="000A5C7E"/>
    <w:rsid w:val="000A71E9"/>
    <w:rsid w:val="000B0DF7"/>
    <w:rsid w:val="000B1798"/>
    <w:rsid w:val="000B1AB4"/>
    <w:rsid w:val="000B1BB6"/>
    <w:rsid w:val="000B2CF8"/>
    <w:rsid w:val="000B2D19"/>
    <w:rsid w:val="000B5328"/>
    <w:rsid w:val="000B6639"/>
    <w:rsid w:val="000B6B0F"/>
    <w:rsid w:val="000B6C06"/>
    <w:rsid w:val="000B6FE5"/>
    <w:rsid w:val="000C0AE2"/>
    <w:rsid w:val="000C1ABB"/>
    <w:rsid w:val="000C32FE"/>
    <w:rsid w:val="000C37B4"/>
    <w:rsid w:val="000C3EE4"/>
    <w:rsid w:val="000C48B9"/>
    <w:rsid w:val="000C4DF0"/>
    <w:rsid w:val="000C5726"/>
    <w:rsid w:val="000C6F82"/>
    <w:rsid w:val="000C7F11"/>
    <w:rsid w:val="000D13A5"/>
    <w:rsid w:val="000D307B"/>
    <w:rsid w:val="000D45FD"/>
    <w:rsid w:val="000D60E8"/>
    <w:rsid w:val="000D70BD"/>
    <w:rsid w:val="000E0B9E"/>
    <w:rsid w:val="000E48CB"/>
    <w:rsid w:val="000E4A76"/>
    <w:rsid w:val="000E5BF7"/>
    <w:rsid w:val="000E5C04"/>
    <w:rsid w:val="000E5F8A"/>
    <w:rsid w:val="000E669F"/>
    <w:rsid w:val="000E696F"/>
    <w:rsid w:val="000E6C38"/>
    <w:rsid w:val="000E6FE3"/>
    <w:rsid w:val="000F1033"/>
    <w:rsid w:val="000F23DE"/>
    <w:rsid w:val="000F3544"/>
    <w:rsid w:val="000F45ED"/>
    <w:rsid w:val="000F593D"/>
    <w:rsid w:val="00102927"/>
    <w:rsid w:val="00107130"/>
    <w:rsid w:val="00107A20"/>
    <w:rsid w:val="00110040"/>
    <w:rsid w:val="00111D10"/>
    <w:rsid w:val="0011211C"/>
    <w:rsid w:val="001121E2"/>
    <w:rsid w:val="00112DB3"/>
    <w:rsid w:val="001145E2"/>
    <w:rsid w:val="00114CC3"/>
    <w:rsid w:val="00114CF4"/>
    <w:rsid w:val="0011545C"/>
    <w:rsid w:val="001225CC"/>
    <w:rsid w:val="00123790"/>
    <w:rsid w:val="001242EA"/>
    <w:rsid w:val="00125040"/>
    <w:rsid w:val="00126174"/>
    <w:rsid w:val="00127652"/>
    <w:rsid w:val="001311B0"/>
    <w:rsid w:val="001323BF"/>
    <w:rsid w:val="00132C42"/>
    <w:rsid w:val="00133B81"/>
    <w:rsid w:val="00134114"/>
    <w:rsid w:val="001356B5"/>
    <w:rsid w:val="00136F68"/>
    <w:rsid w:val="00137499"/>
    <w:rsid w:val="00137B1D"/>
    <w:rsid w:val="0014309F"/>
    <w:rsid w:val="001433FB"/>
    <w:rsid w:val="0014430D"/>
    <w:rsid w:val="00144FCC"/>
    <w:rsid w:val="00145446"/>
    <w:rsid w:val="00145483"/>
    <w:rsid w:val="00146794"/>
    <w:rsid w:val="001475E7"/>
    <w:rsid w:val="00150998"/>
    <w:rsid w:val="00151B11"/>
    <w:rsid w:val="00151EC5"/>
    <w:rsid w:val="001541CE"/>
    <w:rsid w:val="0015505D"/>
    <w:rsid w:val="00162BBF"/>
    <w:rsid w:val="00164E68"/>
    <w:rsid w:val="00166471"/>
    <w:rsid w:val="00172A83"/>
    <w:rsid w:val="0017413A"/>
    <w:rsid w:val="00175053"/>
    <w:rsid w:val="001763C7"/>
    <w:rsid w:val="001769AC"/>
    <w:rsid w:val="00177BB6"/>
    <w:rsid w:val="00177E24"/>
    <w:rsid w:val="0018026F"/>
    <w:rsid w:val="00183266"/>
    <w:rsid w:val="00183DE7"/>
    <w:rsid w:val="00183E00"/>
    <w:rsid w:val="00184887"/>
    <w:rsid w:val="0018545D"/>
    <w:rsid w:val="001858F2"/>
    <w:rsid w:val="00186F50"/>
    <w:rsid w:val="00187091"/>
    <w:rsid w:val="001873E2"/>
    <w:rsid w:val="00190042"/>
    <w:rsid w:val="00190A09"/>
    <w:rsid w:val="0019162E"/>
    <w:rsid w:val="00191795"/>
    <w:rsid w:val="0019482E"/>
    <w:rsid w:val="0019541C"/>
    <w:rsid w:val="001955AD"/>
    <w:rsid w:val="001956D1"/>
    <w:rsid w:val="001956FC"/>
    <w:rsid w:val="00195837"/>
    <w:rsid w:val="00196DCB"/>
    <w:rsid w:val="001A0197"/>
    <w:rsid w:val="001A091C"/>
    <w:rsid w:val="001A471F"/>
    <w:rsid w:val="001A56C6"/>
    <w:rsid w:val="001A7796"/>
    <w:rsid w:val="001B14D1"/>
    <w:rsid w:val="001B1545"/>
    <w:rsid w:val="001B15E1"/>
    <w:rsid w:val="001B284C"/>
    <w:rsid w:val="001B2A42"/>
    <w:rsid w:val="001B737C"/>
    <w:rsid w:val="001B76D7"/>
    <w:rsid w:val="001C2176"/>
    <w:rsid w:val="001C2FD9"/>
    <w:rsid w:val="001C3965"/>
    <w:rsid w:val="001C53DC"/>
    <w:rsid w:val="001C68F2"/>
    <w:rsid w:val="001C6A56"/>
    <w:rsid w:val="001C6DA2"/>
    <w:rsid w:val="001C714B"/>
    <w:rsid w:val="001C7D0C"/>
    <w:rsid w:val="001D2972"/>
    <w:rsid w:val="001D37D8"/>
    <w:rsid w:val="001D467C"/>
    <w:rsid w:val="001E1671"/>
    <w:rsid w:val="001E19A4"/>
    <w:rsid w:val="001E27FE"/>
    <w:rsid w:val="001E3F65"/>
    <w:rsid w:val="001E42F8"/>
    <w:rsid w:val="001E4325"/>
    <w:rsid w:val="001E4EF0"/>
    <w:rsid w:val="001E4F1B"/>
    <w:rsid w:val="001E5A97"/>
    <w:rsid w:val="001E7BB8"/>
    <w:rsid w:val="001F094F"/>
    <w:rsid w:val="001F114D"/>
    <w:rsid w:val="001F4377"/>
    <w:rsid w:val="001F4790"/>
    <w:rsid w:val="001F4B6B"/>
    <w:rsid w:val="001F6F71"/>
    <w:rsid w:val="001F711F"/>
    <w:rsid w:val="001F781D"/>
    <w:rsid w:val="001F7E66"/>
    <w:rsid w:val="002008BC"/>
    <w:rsid w:val="0020455E"/>
    <w:rsid w:val="00204BE3"/>
    <w:rsid w:val="00205964"/>
    <w:rsid w:val="00206E5A"/>
    <w:rsid w:val="002070C3"/>
    <w:rsid w:val="0021014E"/>
    <w:rsid w:val="00212797"/>
    <w:rsid w:val="002135D3"/>
    <w:rsid w:val="00214323"/>
    <w:rsid w:val="0021450C"/>
    <w:rsid w:val="00214893"/>
    <w:rsid w:val="0021540C"/>
    <w:rsid w:val="002166D9"/>
    <w:rsid w:val="00217A4F"/>
    <w:rsid w:val="002203EB"/>
    <w:rsid w:val="00220698"/>
    <w:rsid w:val="00220904"/>
    <w:rsid w:val="00220BB7"/>
    <w:rsid w:val="00221099"/>
    <w:rsid w:val="00221E42"/>
    <w:rsid w:val="0022413E"/>
    <w:rsid w:val="0022419F"/>
    <w:rsid w:val="002260C5"/>
    <w:rsid w:val="00226136"/>
    <w:rsid w:val="0022674E"/>
    <w:rsid w:val="00226B11"/>
    <w:rsid w:val="00230FFE"/>
    <w:rsid w:val="00232088"/>
    <w:rsid w:val="00233976"/>
    <w:rsid w:val="00234CF0"/>
    <w:rsid w:val="00234EEA"/>
    <w:rsid w:val="00234F3A"/>
    <w:rsid w:val="002355BF"/>
    <w:rsid w:val="00235B3D"/>
    <w:rsid w:val="0023676A"/>
    <w:rsid w:val="00236998"/>
    <w:rsid w:val="002378C6"/>
    <w:rsid w:val="002441C5"/>
    <w:rsid w:val="00244C55"/>
    <w:rsid w:val="00244CB4"/>
    <w:rsid w:val="00247053"/>
    <w:rsid w:val="002508FE"/>
    <w:rsid w:val="002518CC"/>
    <w:rsid w:val="002524FB"/>
    <w:rsid w:val="00252F88"/>
    <w:rsid w:val="0025394A"/>
    <w:rsid w:val="00254ED8"/>
    <w:rsid w:val="002551D2"/>
    <w:rsid w:val="002554DB"/>
    <w:rsid w:val="00255F86"/>
    <w:rsid w:val="00256636"/>
    <w:rsid w:val="00256658"/>
    <w:rsid w:val="00256B3A"/>
    <w:rsid w:val="002609D1"/>
    <w:rsid w:val="002611D9"/>
    <w:rsid w:val="00261987"/>
    <w:rsid w:val="002623F3"/>
    <w:rsid w:val="002628F5"/>
    <w:rsid w:val="00262A87"/>
    <w:rsid w:val="002645CE"/>
    <w:rsid w:val="00264942"/>
    <w:rsid w:val="002652E9"/>
    <w:rsid w:val="002666D4"/>
    <w:rsid w:val="0026745C"/>
    <w:rsid w:val="002706E8"/>
    <w:rsid w:val="00270BCF"/>
    <w:rsid w:val="00271BBD"/>
    <w:rsid w:val="00271EE4"/>
    <w:rsid w:val="00272319"/>
    <w:rsid w:val="00272EC1"/>
    <w:rsid w:val="002747B2"/>
    <w:rsid w:val="0027490E"/>
    <w:rsid w:val="00274C44"/>
    <w:rsid w:val="00274C5D"/>
    <w:rsid w:val="002753C3"/>
    <w:rsid w:val="00275A09"/>
    <w:rsid w:val="0027717A"/>
    <w:rsid w:val="002814E2"/>
    <w:rsid w:val="002815BC"/>
    <w:rsid w:val="00281AA5"/>
    <w:rsid w:val="00283941"/>
    <w:rsid w:val="00283E30"/>
    <w:rsid w:val="0028431B"/>
    <w:rsid w:val="00284AB7"/>
    <w:rsid w:val="00286404"/>
    <w:rsid w:val="00286A84"/>
    <w:rsid w:val="002934B8"/>
    <w:rsid w:val="002954E6"/>
    <w:rsid w:val="00295D4F"/>
    <w:rsid w:val="0029632D"/>
    <w:rsid w:val="00296BF9"/>
    <w:rsid w:val="00296E4D"/>
    <w:rsid w:val="002974AE"/>
    <w:rsid w:val="002A0881"/>
    <w:rsid w:val="002A2FE8"/>
    <w:rsid w:val="002A3587"/>
    <w:rsid w:val="002A3868"/>
    <w:rsid w:val="002A5372"/>
    <w:rsid w:val="002A5A0B"/>
    <w:rsid w:val="002A5A19"/>
    <w:rsid w:val="002A6156"/>
    <w:rsid w:val="002A6739"/>
    <w:rsid w:val="002B101F"/>
    <w:rsid w:val="002B1971"/>
    <w:rsid w:val="002B3905"/>
    <w:rsid w:val="002B39F2"/>
    <w:rsid w:val="002B4E13"/>
    <w:rsid w:val="002B506B"/>
    <w:rsid w:val="002B545D"/>
    <w:rsid w:val="002B5E47"/>
    <w:rsid w:val="002B70B8"/>
    <w:rsid w:val="002C00CF"/>
    <w:rsid w:val="002C08F6"/>
    <w:rsid w:val="002C2807"/>
    <w:rsid w:val="002C2A7E"/>
    <w:rsid w:val="002C317F"/>
    <w:rsid w:val="002C3180"/>
    <w:rsid w:val="002C37EF"/>
    <w:rsid w:val="002C3BBC"/>
    <w:rsid w:val="002C53FA"/>
    <w:rsid w:val="002C6CCE"/>
    <w:rsid w:val="002D1A8E"/>
    <w:rsid w:val="002D2504"/>
    <w:rsid w:val="002D3648"/>
    <w:rsid w:val="002D3F32"/>
    <w:rsid w:val="002D4224"/>
    <w:rsid w:val="002D441A"/>
    <w:rsid w:val="002D4712"/>
    <w:rsid w:val="002D5384"/>
    <w:rsid w:val="002D5FFC"/>
    <w:rsid w:val="002D679A"/>
    <w:rsid w:val="002D6885"/>
    <w:rsid w:val="002D78D2"/>
    <w:rsid w:val="002E267E"/>
    <w:rsid w:val="002E2FA4"/>
    <w:rsid w:val="002E3C21"/>
    <w:rsid w:val="002E40C6"/>
    <w:rsid w:val="002E5AEE"/>
    <w:rsid w:val="002E5EC6"/>
    <w:rsid w:val="002E7744"/>
    <w:rsid w:val="002E7943"/>
    <w:rsid w:val="002E7BA9"/>
    <w:rsid w:val="002F0586"/>
    <w:rsid w:val="002F0DE4"/>
    <w:rsid w:val="002F3D89"/>
    <w:rsid w:val="002F41B8"/>
    <w:rsid w:val="002F426C"/>
    <w:rsid w:val="002F44BC"/>
    <w:rsid w:val="002F55D0"/>
    <w:rsid w:val="002F56D6"/>
    <w:rsid w:val="002F6513"/>
    <w:rsid w:val="002F6644"/>
    <w:rsid w:val="002F66E2"/>
    <w:rsid w:val="003043B0"/>
    <w:rsid w:val="00306962"/>
    <w:rsid w:val="00306D99"/>
    <w:rsid w:val="00307D37"/>
    <w:rsid w:val="003105A7"/>
    <w:rsid w:val="00310F7B"/>
    <w:rsid w:val="0031198A"/>
    <w:rsid w:val="00313CD2"/>
    <w:rsid w:val="003156F3"/>
    <w:rsid w:val="0031621B"/>
    <w:rsid w:val="00316C1C"/>
    <w:rsid w:val="00317621"/>
    <w:rsid w:val="00320F2D"/>
    <w:rsid w:val="003226A3"/>
    <w:rsid w:val="00323695"/>
    <w:rsid w:val="00323A55"/>
    <w:rsid w:val="00323C9A"/>
    <w:rsid w:val="00324A82"/>
    <w:rsid w:val="00325D64"/>
    <w:rsid w:val="003264BA"/>
    <w:rsid w:val="00326CFB"/>
    <w:rsid w:val="00327D96"/>
    <w:rsid w:val="00327DED"/>
    <w:rsid w:val="00330250"/>
    <w:rsid w:val="00331069"/>
    <w:rsid w:val="0033354B"/>
    <w:rsid w:val="003341BC"/>
    <w:rsid w:val="003354DB"/>
    <w:rsid w:val="00341B6D"/>
    <w:rsid w:val="00341C54"/>
    <w:rsid w:val="003420E4"/>
    <w:rsid w:val="0034238F"/>
    <w:rsid w:val="00342A1A"/>
    <w:rsid w:val="003436D5"/>
    <w:rsid w:val="00343926"/>
    <w:rsid w:val="00344622"/>
    <w:rsid w:val="00347361"/>
    <w:rsid w:val="00347621"/>
    <w:rsid w:val="003476D7"/>
    <w:rsid w:val="00351966"/>
    <w:rsid w:val="00351D3C"/>
    <w:rsid w:val="003537BF"/>
    <w:rsid w:val="00355CE8"/>
    <w:rsid w:val="00356180"/>
    <w:rsid w:val="00356580"/>
    <w:rsid w:val="00361292"/>
    <w:rsid w:val="00361CBA"/>
    <w:rsid w:val="00362073"/>
    <w:rsid w:val="00365A36"/>
    <w:rsid w:val="0036663A"/>
    <w:rsid w:val="0037162F"/>
    <w:rsid w:val="00371DC7"/>
    <w:rsid w:val="00372C44"/>
    <w:rsid w:val="003732DA"/>
    <w:rsid w:val="00373D68"/>
    <w:rsid w:val="00374C15"/>
    <w:rsid w:val="00376312"/>
    <w:rsid w:val="00376FB0"/>
    <w:rsid w:val="003773A6"/>
    <w:rsid w:val="003802E3"/>
    <w:rsid w:val="00381A56"/>
    <w:rsid w:val="0038325F"/>
    <w:rsid w:val="00383763"/>
    <w:rsid w:val="00383ED9"/>
    <w:rsid w:val="00384BAA"/>
    <w:rsid w:val="00385863"/>
    <w:rsid w:val="00385F59"/>
    <w:rsid w:val="003860DC"/>
    <w:rsid w:val="003864F8"/>
    <w:rsid w:val="0039046B"/>
    <w:rsid w:val="00390585"/>
    <w:rsid w:val="0039138D"/>
    <w:rsid w:val="00391D84"/>
    <w:rsid w:val="003921DA"/>
    <w:rsid w:val="0039240A"/>
    <w:rsid w:val="00393ABF"/>
    <w:rsid w:val="00393CED"/>
    <w:rsid w:val="00393D03"/>
    <w:rsid w:val="00394AE8"/>
    <w:rsid w:val="003959D9"/>
    <w:rsid w:val="00396016"/>
    <w:rsid w:val="00396B47"/>
    <w:rsid w:val="003974A3"/>
    <w:rsid w:val="003974C0"/>
    <w:rsid w:val="00397E47"/>
    <w:rsid w:val="00397FA8"/>
    <w:rsid w:val="003A0C44"/>
    <w:rsid w:val="003A108A"/>
    <w:rsid w:val="003A137C"/>
    <w:rsid w:val="003A1A83"/>
    <w:rsid w:val="003A25E9"/>
    <w:rsid w:val="003A3477"/>
    <w:rsid w:val="003A38FE"/>
    <w:rsid w:val="003A4421"/>
    <w:rsid w:val="003A46C4"/>
    <w:rsid w:val="003A4EA1"/>
    <w:rsid w:val="003A53D1"/>
    <w:rsid w:val="003A639B"/>
    <w:rsid w:val="003A767A"/>
    <w:rsid w:val="003B0092"/>
    <w:rsid w:val="003B00CC"/>
    <w:rsid w:val="003B192E"/>
    <w:rsid w:val="003B1B60"/>
    <w:rsid w:val="003B1FB3"/>
    <w:rsid w:val="003B2C75"/>
    <w:rsid w:val="003B491F"/>
    <w:rsid w:val="003B495A"/>
    <w:rsid w:val="003B5391"/>
    <w:rsid w:val="003B5E60"/>
    <w:rsid w:val="003B7ABD"/>
    <w:rsid w:val="003C03E1"/>
    <w:rsid w:val="003C0529"/>
    <w:rsid w:val="003C1860"/>
    <w:rsid w:val="003C1BCA"/>
    <w:rsid w:val="003C24D9"/>
    <w:rsid w:val="003C2D87"/>
    <w:rsid w:val="003C30E4"/>
    <w:rsid w:val="003C33D5"/>
    <w:rsid w:val="003C4177"/>
    <w:rsid w:val="003C5D42"/>
    <w:rsid w:val="003C6DCB"/>
    <w:rsid w:val="003C7C52"/>
    <w:rsid w:val="003D0A6B"/>
    <w:rsid w:val="003D0CFA"/>
    <w:rsid w:val="003D0F8B"/>
    <w:rsid w:val="003D1B6D"/>
    <w:rsid w:val="003D3902"/>
    <w:rsid w:val="003D491E"/>
    <w:rsid w:val="003D4EE1"/>
    <w:rsid w:val="003D55ED"/>
    <w:rsid w:val="003D5A73"/>
    <w:rsid w:val="003E0886"/>
    <w:rsid w:val="003E08A9"/>
    <w:rsid w:val="003E1E33"/>
    <w:rsid w:val="003E2C7C"/>
    <w:rsid w:val="003E3C2E"/>
    <w:rsid w:val="003E5B67"/>
    <w:rsid w:val="003E5D60"/>
    <w:rsid w:val="003E6DED"/>
    <w:rsid w:val="003E7512"/>
    <w:rsid w:val="003E755A"/>
    <w:rsid w:val="003E75AD"/>
    <w:rsid w:val="003E7B9B"/>
    <w:rsid w:val="003E7C96"/>
    <w:rsid w:val="003F170F"/>
    <w:rsid w:val="003F211A"/>
    <w:rsid w:val="003F2BC2"/>
    <w:rsid w:val="003F34F9"/>
    <w:rsid w:val="003F3C66"/>
    <w:rsid w:val="003F570E"/>
    <w:rsid w:val="003F6D5B"/>
    <w:rsid w:val="003F7C62"/>
    <w:rsid w:val="00400144"/>
    <w:rsid w:val="00400B2F"/>
    <w:rsid w:val="00400F92"/>
    <w:rsid w:val="0040118F"/>
    <w:rsid w:val="004038E8"/>
    <w:rsid w:val="00404A3C"/>
    <w:rsid w:val="00405882"/>
    <w:rsid w:val="00405C9B"/>
    <w:rsid w:val="00406FB2"/>
    <w:rsid w:val="004076A5"/>
    <w:rsid w:val="004119FC"/>
    <w:rsid w:val="00411D88"/>
    <w:rsid w:val="0041321F"/>
    <w:rsid w:val="004139EB"/>
    <w:rsid w:val="00414D16"/>
    <w:rsid w:val="00416B25"/>
    <w:rsid w:val="0041728D"/>
    <w:rsid w:val="00417A42"/>
    <w:rsid w:val="00417E8A"/>
    <w:rsid w:val="0042096D"/>
    <w:rsid w:val="00420C2E"/>
    <w:rsid w:val="004211A5"/>
    <w:rsid w:val="00421946"/>
    <w:rsid w:val="00422803"/>
    <w:rsid w:val="00422D26"/>
    <w:rsid w:val="00422F2B"/>
    <w:rsid w:val="004235F9"/>
    <w:rsid w:val="00424EB4"/>
    <w:rsid w:val="00425AFA"/>
    <w:rsid w:val="00425BDA"/>
    <w:rsid w:val="00425D86"/>
    <w:rsid w:val="0042605F"/>
    <w:rsid w:val="004312CB"/>
    <w:rsid w:val="00431C90"/>
    <w:rsid w:val="004321CB"/>
    <w:rsid w:val="0043325F"/>
    <w:rsid w:val="004332DC"/>
    <w:rsid w:val="0043471E"/>
    <w:rsid w:val="00434948"/>
    <w:rsid w:val="004354DB"/>
    <w:rsid w:val="0043569A"/>
    <w:rsid w:val="0043621F"/>
    <w:rsid w:val="004367BB"/>
    <w:rsid w:val="00437AB5"/>
    <w:rsid w:val="0044190E"/>
    <w:rsid w:val="004421C8"/>
    <w:rsid w:val="004422B3"/>
    <w:rsid w:val="0044468A"/>
    <w:rsid w:val="004447C7"/>
    <w:rsid w:val="00444946"/>
    <w:rsid w:val="00444D35"/>
    <w:rsid w:val="00445395"/>
    <w:rsid w:val="00446BAB"/>
    <w:rsid w:val="00450027"/>
    <w:rsid w:val="0045027D"/>
    <w:rsid w:val="00451F64"/>
    <w:rsid w:val="00452F66"/>
    <w:rsid w:val="004540A5"/>
    <w:rsid w:val="00454CAB"/>
    <w:rsid w:val="00455534"/>
    <w:rsid w:val="0045607C"/>
    <w:rsid w:val="00456BD5"/>
    <w:rsid w:val="004570FB"/>
    <w:rsid w:val="0045780E"/>
    <w:rsid w:val="004605A9"/>
    <w:rsid w:val="004607C8"/>
    <w:rsid w:val="0046087C"/>
    <w:rsid w:val="00461C12"/>
    <w:rsid w:val="00461F3A"/>
    <w:rsid w:val="00462D27"/>
    <w:rsid w:val="00463A2D"/>
    <w:rsid w:val="00463D89"/>
    <w:rsid w:val="004648D5"/>
    <w:rsid w:val="004652FB"/>
    <w:rsid w:val="00465476"/>
    <w:rsid w:val="00465936"/>
    <w:rsid w:val="0046745A"/>
    <w:rsid w:val="004704C6"/>
    <w:rsid w:val="004709F4"/>
    <w:rsid w:val="00470BAE"/>
    <w:rsid w:val="0047303D"/>
    <w:rsid w:val="004759F5"/>
    <w:rsid w:val="00475EDB"/>
    <w:rsid w:val="0047683D"/>
    <w:rsid w:val="00477CA3"/>
    <w:rsid w:val="00480485"/>
    <w:rsid w:val="00481B18"/>
    <w:rsid w:val="00481F32"/>
    <w:rsid w:val="004820A0"/>
    <w:rsid w:val="004828AF"/>
    <w:rsid w:val="00482B48"/>
    <w:rsid w:val="00482CCC"/>
    <w:rsid w:val="00482DD4"/>
    <w:rsid w:val="004830C4"/>
    <w:rsid w:val="004840FD"/>
    <w:rsid w:val="00484227"/>
    <w:rsid w:val="004854A4"/>
    <w:rsid w:val="00485DBE"/>
    <w:rsid w:val="00486A92"/>
    <w:rsid w:val="00486AD3"/>
    <w:rsid w:val="00487492"/>
    <w:rsid w:val="004907B0"/>
    <w:rsid w:val="00492727"/>
    <w:rsid w:val="00492871"/>
    <w:rsid w:val="00492BE2"/>
    <w:rsid w:val="0049351C"/>
    <w:rsid w:val="00494885"/>
    <w:rsid w:val="00494B27"/>
    <w:rsid w:val="0049611C"/>
    <w:rsid w:val="0049622F"/>
    <w:rsid w:val="00496D6F"/>
    <w:rsid w:val="004A0DE8"/>
    <w:rsid w:val="004A0EA9"/>
    <w:rsid w:val="004A1A89"/>
    <w:rsid w:val="004A29A6"/>
    <w:rsid w:val="004A3DDA"/>
    <w:rsid w:val="004A4FA2"/>
    <w:rsid w:val="004A6784"/>
    <w:rsid w:val="004A678B"/>
    <w:rsid w:val="004A6AA7"/>
    <w:rsid w:val="004B1497"/>
    <w:rsid w:val="004B1EB8"/>
    <w:rsid w:val="004B30E3"/>
    <w:rsid w:val="004B4CB7"/>
    <w:rsid w:val="004B78C1"/>
    <w:rsid w:val="004B79D7"/>
    <w:rsid w:val="004B7CB7"/>
    <w:rsid w:val="004C0923"/>
    <w:rsid w:val="004C0BC6"/>
    <w:rsid w:val="004C0F51"/>
    <w:rsid w:val="004C11AA"/>
    <w:rsid w:val="004C18DE"/>
    <w:rsid w:val="004C235D"/>
    <w:rsid w:val="004C31F1"/>
    <w:rsid w:val="004C36D2"/>
    <w:rsid w:val="004C39A8"/>
    <w:rsid w:val="004C6047"/>
    <w:rsid w:val="004C698C"/>
    <w:rsid w:val="004C708B"/>
    <w:rsid w:val="004C76C7"/>
    <w:rsid w:val="004C7D62"/>
    <w:rsid w:val="004D00EE"/>
    <w:rsid w:val="004D045F"/>
    <w:rsid w:val="004D05AF"/>
    <w:rsid w:val="004D28CF"/>
    <w:rsid w:val="004D3273"/>
    <w:rsid w:val="004D3BD1"/>
    <w:rsid w:val="004D3DBF"/>
    <w:rsid w:val="004D3E10"/>
    <w:rsid w:val="004D4A3D"/>
    <w:rsid w:val="004D4B7B"/>
    <w:rsid w:val="004D6BDD"/>
    <w:rsid w:val="004D7806"/>
    <w:rsid w:val="004D7B9C"/>
    <w:rsid w:val="004D7C63"/>
    <w:rsid w:val="004E04BE"/>
    <w:rsid w:val="004E2591"/>
    <w:rsid w:val="004E29F2"/>
    <w:rsid w:val="004E2AB8"/>
    <w:rsid w:val="004E380A"/>
    <w:rsid w:val="004E39B4"/>
    <w:rsid w:val="004E4446"/>
    <w:rsid w:val="004E6BE3"/>
    <w:rsid w:val="004E7359"/>
    <w:rsid w:val="004E791A"/>
    <w:rsid w:val="004E7B49"/>
    <w:rsid w:val="004F0CB6"/>
    <w:rsid w:val="004F3E07"/>
    <w:rsid w:val="004F4EA3"/>
    <w:rsid w:val="004F6E74"/>
    <w:rsid w:val="004F7811"/>
    <w:rsid w:val="005006A6"/>
    <w:rsid w:val="00501D03"/>
    <w:rsid w:val="0050479E"/>
    <w:rsid w:val="0050537D"/>
    <w:rsid w:val="0050633F"/>
    <w:rsid w:val="00506D7D"/>
    <w:rsid w:val="00506FA7"/>
    <w:rsid w:val="00507180"/>
    <w:rsid w:val="00507424"/>
    <w:rsid w:val="005106FE"/>
    <w:rsid w:val="00511BAA"/>
    <w:rsid w:val="00511F8D"/>
    <w:rsid w:val="00514386"/>
    <w:rsid w:val="00516183"/>
    <w:rsid w:val="00516350"/>
    <w:rsid w:val="00516567"/>
    <w:rsid w:val="00517DCD"/>
    <w:rsid w:val="0052434F"/>
    <w:rsid w:val="00524A4A"/>
    <w:rsid w:val="005256F8"/>
    <w:rsid w:val="005266AF"/>
    <w:rsid w:val="00526B59"/>
    <w:rsid w:val="00526C27"/>
    <w:rsid w:val="00527441"/>
    <w:rsid w:val="00527C18"/>
    <w:rsid w:val="00531074"/>
    <w:rsid w:val="005326E7"/>
    <w:rsid w:val="005333AE"/>
    <w:rsid w:val="005342A4"/>
    <w:rsid w:val="005346D7"/>
    <w:rsid w:val="00536EBA"/>
    <w:rsid w:val="00537133"/>
    <w:rsid w:val="005378F9"/>
    <w:rsid w:val="0054016E"/>
    <w:rsid w:val="0054111B"/>
    <w:rsid w:val="005414AB"/>
    <w:rsid w:val="005419C1"/>
    <w:rsid w:val="005432D1"/>
    <w:rsid w:val="00544EC5"/>
    <w:rsid w:val="00546342"/>
    <w:rsid w:val="00546AF2"/>
    <w:rsid w:val="00551918"/>
    <w:rsid w:val="005519BB"/>
    <w:rsid w:val="00551F57"/>
    <w:rsid w:val="0055214D"/>
    <w:rsid w:val="00553C1C"/>
    <w:rsid w:val="0055433F"/>
    <w:rsid w:val="0055469A"/>
    <w:rsid w:val="00554A1D"/>
    <w:rsid w:val="00555C17"/>
    <w:rsid w:val="00555D79"/>
    <w:rsid w:val="005564C2"/>
    <w:rsid w:val="0055699C"/>
    <w:rsid w:val="00557305"/>
    <w:rsid w:val="005579F0"/>
    <w:rsid w:val="00561FAA"/>
    <w:rsid w:val="00561FB2"/>
    <w:rsid w:val="00562205"/>
    <w:rsid w:val="00562AFA"/>
    <w:rsid w:val="00563B49"/>
    <w:rsid w:val="005640DF"/>
    <w:rsid w:val="00564A38"/>
    <w:rsid w:val="00564A8D"/>
    <w:rsid w:val="00565AE0"/>
    <w:rsid w:val="00567151"/>
    <w:rsid w:val="00570886"/>
    <w:rsid w:val="005715E8"/>
    <w:rsid w:val="00571DFA"/>
    <w:rsid w:val="00573C22"/>
    <w:rsid w:val="005742FC"/>
    <w:rsid w:val="00576419"/>
    <w:rsid w:val="005765D3"/>
    <w:rsid w:val="005771B6"/>
    <w:rsid w:val="00577C2E"/>
    <w:rsid w:val="00577EA1"/>
    <w:rsid w:val="00581D6C"/>
    <w:rsid w:val="005824DE"/>
    <w:rsid w:val="00582A90"/>
    <w:rsid w:val="005830A3"/>
    <w:rsid w:val="00583864"/>
    <w:rsid w:val="00584024"/>
    <w:rsid w:val="005843D9"/>
    <w:rsid w:val="005849D3"/>
    <w:rsid w:val="00585C47"/>
    <w:rsid w:val="005867B5"/>
    <w:rsid w:val="00590ECA"/>
    <w:rsid w:val="00591AC8"/>
    <w:rsid w:val="00592124"/>
    <w:rsid w:val="00595654"/>
    <w:rsid w:val="00595771"/>
    <w:rsid w:val="00597E82"/>
    <w:rsid w:val="005A050F"/>
    <w:rsid w:val="005A1213"/>
    <w:rsid w:val="005A1663"/>
    <w:rsid w:val="005A374A"/>
    <w:rsid w:val="005A3766"/>
    <w:rsid w:val="005A3AFF"/>
    <w:rsid w:val="005A5153"/>
    <w:rsid w:val="005A51C5"/>
    <w:rsid w:val="005A58B4"/>
    <w:rsid w:val="005A6345"/>
    <w:rsid w:val="005A6585"/>
    <w:rsid w:val="005A6F9B"/>
    <w:rsid w:val="005A70FE"/>
    <w:rsid w:val="005B0039"/>
    <w:rsid w:val="005B0105"/>
    <w:rsid w:val="005B0632"/>
    <w:rsid w:val="005B2A0B"/>
    <w:rsid w:val="005B2C78"/>
    <w:rsid w:val="005B4F80"/>
    <w:rsid w:val="005B5C91"/>
    <w:rsid w:val="005B5CA9"/>
    <w:rsid w:val="005B675F"/>
    <w:rsid w:val="005B7D56"/>
    <w:rsid w:val="005C0E30"/>
    <w:rsid w:val="005C1109"/>
    <w:rsid w:val="005C15D4"/>
    <w:rsid w:val="005C224F"/>
    <w:rsid w:val="005C52CB"/>
    <w:rsid w:val="005C568D"/>
    <w:rsid w:val="005C778E"/>
    <w:rsid w:val="005D1019"/>
    <w:rsid w:val="005D1034"/>
    <w:rsid w:val="005D15C6"/>
    <w:rsid w:val="005D2841"/>
    <w:rsid w:val="005D3071"/>
    <w:rsid w:val="005D39C5"/>
    <w:rsid w:val="005D4019"/>
    <w:rsid w:val="005D50B9"/>
    <w:rsid w:val="005D562C"/>
    <w:rsid w:val="005D5698"/>
    <w:rsid w:val="005D68E6"/>
    <w:rsid w:val="005D6A95"/>
    <w:rsid w:val="005D7E24"/>
    <w:rsid w:val="005E097B"/>
    <w:rsid w:val="005E23DB"/>
    <w:rsid w:val="005E3696"/>
    <w:rsid w:val="005E446F"/>
    <w:rsid w:val="005E5CF9"/>
    <w:rsid w:val="005E6593"/>
    <w:rsid w:val="005E6C90"/>
    <w:rsid w:val="005E7410"/>
    <w:rsid w:val="005E7A2B"/>
    <w:rsid w:val="005E7CD1"/>
    <w:rsid w:val="005F157F"/>
    <w:rsid w:val="005F2574"/>
    <w:rsid w:val="005F35C4"/>
    <w:rsid w:val="005F42AC"/>
    <w:rsid w:val="005F4389"/>
    <w:rsid w:val="005F4608"/>
    <w:rsid w:val="005F48AA"/>
    <w:rsid w:val="005F50A7"/>
    <w:rsid w:val="005F52BD"/>
    <w:rsid w:val="005F5321"/>
    <w:rsid w:val="005F53A0"/>
    <w:rsid w:val="005F6A2C"/>
    <w:rsid w:val="00600AF6"/>
    <w:rsid w:val="006017A6"/>
    <w:rsid w:val="00602E43"/>
    <w:rsid w:val="006050A4"/>
    <w:rsid w:val="00605688"/>
    <w:rsid w:val="00605B6E"/>
    <w:rsid w:val="0061017E"/>
    <w:rsid w:val="006126AD"/>
    <w:rsid w:val="00613DF5"/>
    <w:rsid w:val="00613F21"/>
    <w:rsid w:val="006143AB"/>
    <w:rsid w:val="00615331"/>
    <w:rsid w:val="00615402"/>
    <w:rsid w:val="00616D2C"/>
    <w:rsid w:val="00616E4E"/>
    <w:rsid w:val="006171EC"/>
    <w:rsid w:val="006219BD"/>
    <w:rsid w:val="00621CFA"/>
    <w:rsid w:val="00624098"/>
    <w:rsid w:val="00624FD7"/>
    <w:rsid w:val="006251FF"/>
    <w:rsid w:val="00626DB6"/>
    <w:rsid w:val="006301D3"/>
    <w:rsid w:val="006309DB"/>
    <w:rsid w:val="006316DE"/>
    <w:rsid w:val="00631DDF"/>
    <w:rsid w:val="00631F3C"/>
    <w:rsid w:val="00634DA8"/>
    <w:rsid w:val="00635EA4"/>
    <w:rsid w:val="00636288"/>
    <w:rsid w:val="006364D9"/>
    <w:rsid w:val="00636A75"/>
    <w:rsid w:val="00636A80"/>
    <w:rsid w:val="00637169"/>
    <w:rsid w:val="00641579"/>
    <w:rsid w:val="00642070"/>
    <w:rsid w:val="00642084"/>
    <w:rsid w:val="00643F3C"/>
    <w:rsid w:val="006453F1"/>
    <w:rsid w:val="006472E3"/>
    <w:rsid w:val="00650CC3"/>
    <w:rsid w:val="00651E35"/>
    <w:rsid w:val="006524F7"/>
    <w:rsid w:val="00653CDB"/>
    <w:rsid w:val="00653F6F"/>
    <w:rsid w:val="006544F7"/>
    <w:rsid w:val="0065561A"/>
    <w:rsid w:val="00656A92"/>
    <w:rsid w:val="00660AF4"/>
    <w:rsid w:val="00661771"/>
    <w:rsid w:val="00661FC9"/>
    <w:rsid w:val="00662052"/>
    <w:rsid w:val="006647ED"/>
    <w:rsid w:val="00664F1A"/>
    <w:rsid w:val="00666586"/>
    <w:rsid w:val="00666FAD"/>
    <w:rsid w:val="00670F7F"/>
    <w:rsid w:val="00672563"/>
    <w:rsid w:val="00673245"/>
    <w:rsid w:val="00674B00"/>
    <w:rsid w:val="00675312"/>
    <w:rsid w:val="006755C4"/>
    <w:rsid w:val="006757DC"/>
    <w:rsid w:val="00675AFF"/>
    <w:rsid w:val="00676021"/>
    <w:rsid w:val="0068032B"/>
    <w:rsid w:val="006815D6"/>
    <w:rsid w:val="0068224F"/>
    <w:rsid w:val="00682B5B"/>
    <w:rsid w:val="006832E7"/>
    <w:rsid w:val="006832EF"/>
    <w:rsid w:val="006853E7"/>
    <w:rsid w:val="006862F4"/>
    <w:rsid w:val="0068664C"/>
    <w:rsid w:val="00690156"/>
    <w:rsid w:val="00694594"/>
    <w:rsid w:val="00695557"/>
    <w:rsid w:val="00696F2F"/>
    <w:rsid w:val="00697E11"/>
    <w:rsid w:val="006A0F69"/>
    <w:rsid w:val="006A1848"/>
    <w:rsid w:val="006A2099"/>
    <w:rsid w:val="006A2EF8"/>
    <w:rsid w:val="006A2F87"/>
    <w:rsid w:val="006A355E"/>
    <w:rsid w:val="006A35D4"/>
    <w:rsid w:val="006A38A0"/>
    <w:rsid w:val="006A4507"/>
    <w:rsid w:val="006A4754"/>
    <w:rsid w:val="006A7D9D"/>
    <w:rsid w:val="006A7F26"/>
    <w:rsid w:val="006B012D"/>
    <w:rsid w:val="006B0188"/>
    <w:rsid w:val="006B1215"/>
    <w:rsid w:val="006B1796"/>
    <w:rsid w:val="006B1D10"/>
    <w:rsid w:val="006B3A9C"/>
    <w:rsid w:val="006B442E"/>
    <w:rsid w:val="006B5152"/>
    <w:rsid w:val="006B5594"/>
    <w:rsid w:val="006B5725"/>
    <w:rsid w:val="006B5A6A"/>
    <w:rsid w:val="006C183B"/>
    <w:rsid w:val="006C379F"/>
    <w:rsid w:val="006C3D08"/>
    <w:rsid w:val="006C409E"/>
    <w:rsid w:val="006C469B"/>
    <w:rsid w:val="006C5163"/>
    <w:rsid w:val="006C5457"/>
    <w:rsid w:val="006C5714"/>
    <w:rsid w:val="006C5CF6"/>
    <w:rsid w:val="006C5F1B"/>
    <w:rsid w:val="006C6AAB"/>
    <w:rsid w:val="006D03D9"/>
    <w:rsid w:val="006D0713"/>
    <w:rsid w:val="006D1DDB"/>
    <w:rsid w:val="006D23A5"/>
    <w:rsid w:val="006D23C5"/>
    <w:rsid w:val="006D3554"/>
    <w:rsid w:val="006D3946"/>
    <w:rsid w:val="006D3999"/>
    <w:rsid w:val="006D4FAC"/>
    <w:rsid w:val="006D6190"/>
    <w:rsid w:val="006D6947"/>
    <w:rsid w:val="006D7820"/>
    <w:rsid w:val="006D7B7B"/>
    <w:rsid w:val="006E051F"/>
    <w:rsid w:val="006E0C1B"/>
    <w:rsid w:val="006E2970"/>
    <w:rsid w:val="006E2F52"/>
    <w:rsid w:val="006E450C"/>
    <w:rsid w:val="006E4790"/>
    <w:rsid w:val="006E56FF"/>
    <w:rsid w:val="006E5A01"/>
    <w:rsid w:val="006E630F"/>
    <w:rsid w:val="006E7881"/>
    <w:rsid w:val="006F1A9C"/>
    <w:rsid w:val="006F34C2"/>
    <w:rsid w:val="006F4565"/>
    <w:rsid w:val="006F4596"/>
    <w:rsid w:val="006F6293"/>
    <w:rsid w:val="006F6DC1"/>
    <w:rsid w:val="00700C16"/>
    <w:rsid w:val="00701D3A"/>
    <w:rsid w:val="007026AE"/>
    <w:rsid w:val="00703D43"/>
    <w:rsid w:val="00703EDD"/>
    <w:rsid w:val="0070505A"/>
    <w:rsid w:val="00705C6D"/>
    <w:rsid w:val="00706168"/>
    <w:rsid w:val="00706725"/>
    <w:rsid w:val="007074AE"/>
    <w:rsid w:val="00707F77"/>
    <w:rsid w:val="00711833"/>
    <w:rsid w:val="00711D87"/>
    <w:rsid w:val="00713942"/>
    <w:rsid w:val="0071421A"/>
    <w:rsid w:val="00715C87"/>
    <w:rsid w:val="007165C2"/>
    <w:rsid w:val="007176AD"/>
    <w:rsid w:val="00720C73"/>
    <w:rsid w:val="00720F06"/>
    <w:rsid w:val="007210BC"/>
    <w:rsid w:val="00721BC1"/>
    <w:rsid w:val="00722587"/>
    <w:rsid w:val="007228AB"/>
    <w:rsid w:val="007239CA"/>
    <w:rsid w:val="00724CA9"/>
    <w:rsid w:val="0072507D"/>
    <w:rsid w:val="0072551B"/>
    <w:rsid w:val="00725B55"/>
    <w:rsid w:val="00725F91"/>
    <w:rsid w:val="00730050"/>
    <w:rsid w:val="00730292"/>
    <w:rsid w:val="00731685"/>
    <w:rsid w:val="00731CCD"/>
    <w:rsid w:val="00734D07"/>
    <w:rsid w:val="0073519E"/>
    <w:rsid w:val="0073577D"/>
    <w:rsid w:val="00737580"/>
    <w:rsid w:val="007418B5"/>
    <w:rsid w:val="00741EEA"/>
    <w:rsid w:val="007422E7"/>
    <w:rsid w:val="00742F76"/>
    <w:rsid w:val="0074398E"/>
    <w:rsid w:val="007445AB"/>
    <w:rsid w:val="00745DB6"/>
    <w:rsid w:val="00747208"/>
    <w:rsid w:val="007500F8"/>
    <w:rsid w:val="00750547"/>
    <w:rsid w:val="00750722"/>
    <w:rsid w:val="007518FE"/>
    <w:rsid w:val="00753B21"/>
    <w:rsid w:val="0075449E"/>
    <w:rsid w:val="007545FF"/>
    <w:rsid w:val="0075577E"/>
    <w:rsid w:val="007559F8"/>
    <w:rsid w:val="00756032"/>
    <w:rsid w:val="0075640D"/>
    <w:rsid w:val="007615D9"/>
    <w:rsid w:val="00763418"/>
    <w:rsid w:val="007636B6"/>
    <w:rsid w:val="00764929"/>
    <w:rsid w:val="00765446"/>
    <w:rsid w:val="0076589C"/>
    <w:rsid w:val="00767C5A"/>
    <w:rsid w:val="0077050B"/>
    <w:rsid w:val="0077133E"/>
    <w:rsid w:val="00771CAD"/>
    <w:rsid w:val="00771F68"/>
    <w:rsid w:val="00773172"/>
    <w:rsid w:val="007731B9"/>
    <w:rsid w:val="0077341E"/>
    <w:rsid w:val="0077462E"/>
    <w:rsid w:val="00774904"/>
    <w:rsid w:val="00775DEF"/>
    <w:rsid w:val="00782455"/>
    <w:rsid w:val="00782BC6"/>
    <w:rsid w:val="00783487"/>
    <w:rsid w:val="007843D1"/>
    <w:rsid w:val="00784B95"/>
    <w:rsid w:val="00786B98"/>
    <w:rsid w:val="00786FCE"/>
    <w:rsid w:val="007911E2"/>
    <w:rsid w:val="00792D9E"/>
    <w:rsid w:val="00792E7D"/>
    <w:rsid w:val="00793A0A"/>
    <w:rsid w:val="00796C94"/>
    <w:rsid w:val="007A1009"/>
    <w:rsid w:val="007A1FD6"/>
    <w:rsid w:val="007A20BB"/>
    <w:rsid w:val="007A43BB"/>
    <w:rsid w:val="007A5F78"/>
    <w:rsid w:val="007B065C"/>
    <w:rsid w:val="007B3772"/>
    <w:rsid w:val="007B4B6D"/>
    <w:rsid w:val="007B5198"/>
    <w:rsid w:val="007B5C0C"/>
    <w:rsid w:val="007B5C39"/>
    <w:rsid w:val="007B5C80"/>
    <w:rsid w:val="007B6132"/>
    <w:rsid w:val="007B7E7D"/>
    <w:rsid w:val="007C0239"/>
    <w:rsid w:val="007C0665"/>
    <w:rsid w:val="007C0BD4"/>
    <w:rsid w:val="007C0D4B"/>
    <w:rsid w:val="007C1666"/>
    <w:rsid w:val="007C205B"/>
    <w:rsid w:val="007C2F67"/>
    <w:rsid w:val="007C3A01"/>
    <w:rsid w:val="007C45AA"/>
    <w:rsid w:val="007C4BFE"/>
    <w:rsid w:val="007C5B30"/>
    <w:rsid w:val="007C60CE"/>
    <w:rsid w:val="007C62BE"/>
    <w:rsid w:val="007C6476"/>
    <w:rsid w:val="007C6525"/>
    <w:rsid w:val="007C6C8E"/>
    <w:rsid w:val="007C7FAB"/>
    <w:rsid w:val="007D107A"/>
    <w:rsid w:val="007D2149"/>
    <w:rsid w:val="007D2CA3"/>
    <w:rsid w:val="007D3265"/>
    <w:rsid w:val="007D3848"/>
    <w:rsid w:val="007D56DE"/>
    <w:rsid w:val="007D58E8"/>
    <w:rsid w:val="007D69C9"/>
    <w:rsid w:val="007D7D6B"/>
    <w:rsid w:val="007E3DF3"/>
    <w:rsid w:val="007E4DA7"/>
    <w:rsid w:val="007E6007"/>
    <w:rsid w:val="007E640A"/>
    <w:rsid w:val="007E6D50"/>
    <w:rsid w:val="007E6FDA"/>
    <w:rsid w:val="007E72A1"/>
    <w:rsid w:val="007E7A37"/>
    <w:rsid w:val="007E7C28"/>
    <w:rsid w:val="007E7CB9"/>
    <w:rsid w:val="007F0331"/>
    <w:rsid w:val="007F062A"/>
    <w:rsid w:val="007F2171"/>
    <w:rsid w:val="007F21A9"/>
    <w:rsid w:val="007F2FB8"/>
    <w:rsid w:val="007F382B"/>
    <w:rsid w:val="007F3AD5"/>
    <w:rsid w:val="007F3D34"/>
    <w:rsid w:val="007F5B39"/>
    <w:rsid w:val="007F75B6"/>
    <w:rsid w:val="00800194"/>
    <w:rsid w:val="00803FA3"/>
    <w:rsid w:val="00804009"/>
    <w:rsid w:val="0080501E"/>
    <w:rsid w:val="00806F76"/>
    <w:rsid w:val="00807E98"/>
    <w:rsid w:val="008104E6"/>
    <w:rsid w:val="00810D63"/>
    <w:rsid w:val="0081151B"/>
    <w:rsid w:val="00811DEB"/>
    <w:rsid w:val="00811E48"/>
    <w:rsid w:val="00813174"/>
    <w:rsid w:val="00813D3E"/>
    <w:rsid w:val="00814747"/>
    <w:rsid w:val="0081565F"/>
    <w:rsid w:val="0081679F"/>
    <w:rsid w:val="008169AC"/>
    <w:rsid w:val="00816DDA"/>
    <w:rsid w:val="00817AE7"/>
    <w:rsid w:val="00817EA1"/>
    <w:rsid w:val="00820652"/>
    <w:rsid w:val="0082261E"/>
    <w:rsid w:val="008232D5"/>
    <w:rsid w:val="00823440"/>
    <w:rsid w:val="008238F5"/>
    <w:rsid w:val="00823C86"/>
    <w:rsid w:val="00824397"/>
    <w:rsid w:val="00824539"/>
    <w:rsid w:val="008247B0"/>
    <w:rsid w:val="00824EA5"/>
    <w:rsid w:val="00830D48"/>
    <w:rsid w:val="00830EF6"/>
    <w:rsid w:val="00831F84"/>
    <w:rsid w:val="00832BF1"/>
    <w:rsid w:val="008346B6"/>
    <w:rsid w:val="00834CAB"/>
    <w:rsid w:val="00835636"/>
    <w:rsid w:val="008358D9"/>
    <w:rsid w:val="008361F4"/>
    <w:rsid w:val="00837BA0"/>
    <w:rsid w:val="0084071A"/>
    <w:rsid w:val="0084095D"/>
    <w:rsid w:val="00840E0E"/>
    <w:rsid w:val="0084171E"/>
    <w:rsid w:val="00842C02"/>
    <w:rsid w:val="008436D8"/>
    <w:rsid w:val="0084493B"/>
    <w:rsid w:val="00844BD6"/>
    <w:rsid w:val="0084554B"/>
    <w:rsid w:val="00847C69"/>
    <w:rsid w:val="00850EF3"/>
    <w:rsid w:val="00851CC9"/>
    <w:rsid w:val="00853424"/>
    <w:rsid w:val="0085547D"/>
    <w:rsid w:val="0086235A"/>
    <w:rsid w:val="008642CB"/>
    <w:rsid w:val="00864761"/>
    <w:rsid w:val="00864FFA"/>
    <w:rsid w:val="008652B6"/>
    <w:rsid w:val="008663E6"/>
    <w:rsid w:val="0086688A"/>
    <w:rsid w:val="00866EC7"/>
    <w:rsid w:val="008674DD"/>
    <w:rsid w:val="008676E1"/>
    <w:rsid w:val="008676E3"/>
    <w:rsid w:val="00870F9B"/>
    <w:rsid w:val="00871FA8"/>
    <w:rsid w:val="00873464"/>
    <w:rsid w:val="00875049"/>
    <w:rsid w:val="0087687B"/>
    <w:rsid w:val="00876B7F"/>
    <w:rsid w:val="00880037"/>
    <w:rsid w:val="00885C37"/>
    <w:rsid w:val="00887380"/>
    <w:rsid w:val="008875C0"/>
    <w:rsid w:val="00887D4F"/>
    <w:rsid w:val="00890360"/>
    <w:rsid w:val="008919B8"/>
    <w:rsid w:val="00891B35"/>
    <w:rsid w:val="008927CF"/>
    <w:rsid w:val="00894396"/>
    <w:rsid w:val="008958E8"/>
    <w:rsid w:val="008A1C1E"/>
    <w:rsid w:val="008A2B2B"/>
    <w:rsid w:val="008A3242"/>
    <w:rsid w:val="008A331A"/>
    <w:rsid w:val="008A387D"/>
    <w:rsid w:val="008A5ADC"/>
    <w:rsid w:val="008A5B02"/>
    <w:rsid w:val="008A7456"/>
    <w:rsid w:val="008A7635"/>
    <w:rsid w:val="008B021E"/>
    <w:rsid w:val="008B167D"/>
    <w:rsid w:val="008B5A0B"/>
    <w:rsid w:val="008B5CAC"/>
    <w:rsid w:val="008B7E93"/>
    <w:rsid w:val="008C16D9"/>
    <w:rsid w:val="008C24B1"/>
    <w:rsid w:val="008C2640"/>
    <w:rsid w:val="008C2FAD"/>
    <w:rsid w:val="008C3B67"/>
    <w:rsid w:val="008C5430"/>
    <w:rsid w:val="008C5D96"/>
    <w:rsid w:val="008C709A"/>
    <w:rsid w:val="008C77DA"/>
    <w:rsid w:val="008C7BA4"/>
    <w:rsid w:val="008C7BF8"/>
    <w:rsid w:val="008D0080"/>
    <w:rsid w:val="008D06D0"/>
    <w:rsid w:val="008D14B5"/>
    <w:rsid w:val="008D29BF"/>
    <w:rsid w:val="008D3100"/>
    <w:rsid w:val="008D430F"/>
    <w:rsid w:val="008D4BCE"/>
    <w:rsid w:val="008D5117"/>
    <w:rsid w:val="008D5176"/>
    <w:rsid w:val="008D60EB"/>
    <w:rsid w:val="008D7A22"/>
    <w:rsid w:val="008E0361"/>
    <w:rsid w:val="008E1866"/>
    <w:rsid w:val="008E1961"/>
    <w:rsid w:val="008E1F3B"/>
    <w:rsid w:val="008E3917"/>
    <w:rsid w:val="008E40D2"/>
    <w:rsid w:val="008E441F"/>
    <w:rsid w:val="008E6930"/>
    <w:rsid w:val="008E6CCF"/>
    <w:rsid w:val="008E7325"/>
    <w:rsid w:val="008E75C6"/>
    <w:rsid w:val="008F0952"/>
    <w:rsid w:val="008F3DA3"/>
    <w:rsid w:val="008F6152"/>
    <w:rsid w:val="008F6D0B"/>
    <w:rsid w:val="008F6E7D"/>
    <w:rsid w:val="008F745E"/>
    <w:rsid w:val="008F7DCC"/>
    <w:rsid w:val="0090006C"/>
    <w:rsid w:val="0090037D"/>
    <w:rsid w:val="009028D4"/>
    <w:rsid w:val="00902C95"/>
    <w:rsid w:val="00902E2F"/>
    <w:rsid w:val="009034FD"/>
    <w:rsid w:val="0090431B"/>
    <w:rsid w:val="0090459D"/>
    <w:rsid w:val="009045C8"/>
    <w:rsid w:val="00904A9E"/>
    <w:rsid w:val="00905481"/>
    <w:rsid w:val="00905575"/>
    <w:rsid w:val="0090655C"/>
    <w:rsid w:val="009078F7"/>
    <w:rsid w:val="00907A62"/>
    <w:rsid w:val="009100D9"/>
    <w:rsid w:val="00910C6A"/>
    <w:rsid w:val="00910DD4"/>
    <w:rsid w:val="00911734"/>
    <w:rsid w:val="009128B5"/>
    <w:rsid w:val="009128E4"/>
    <w:rsid w:val="00913717"/>
    <w:rsid w:val="009147D7"/>
    <w:rsid w:val="00914C7E"/>
    <w:rsid w:val="009157C3"/>
    <w:rsid w:val="009161C5"/>
    <w:rsid w:val="009164CB"/>
    <w:rsid w:val="00916F59"/>
    <w:rsid w:val="00917588"/>
    <w:rsid w:val="00921345"/>
    <w:rsid w:val="00921F96"/>
    <w:rsid w:val="00922686"/>
    <w:rsid w:val="00922ACD"/>
    <w:rsid w:val="00922D1D"/>
    <w:rsid w:val="00923126"/>
    <w:rsid w:val="009232E8"/>
    <w:rsid w:val="00923C43"/>
    <w:rsid w:val="009248D7"/>
    <w:rsid w:val="009256CE"/>
    <w:rsid w:val="00927E99"/>
    <w:rsid w:val="00930628"/>
    <w:rsid w:val="009342AA"/>
    <w:rsid w:val="00934CDC"/>
    <w:rsid w:val="009363DB"/>
    <w:rsid w:val="00936C46"/>
    <w:rsid w:val="00936E13"/>
    <w:rsid w:val="00937FDD"/>
    <w:rsid w:val="009402DE"/>
    <w:rsid w:val="0094203B"/>
    <w:rsid w:val="00942459"/>
    <w:rsid w:val="0094580C"/>
    <w:rsid w:val="00945D5A"/>
    <w:rsid w:val="00945D85"/>
    <w:rsid w:val="009472C4"/>
    <w:rsid w:val="00950F6D"/>
    <w:rsid w:val="00953018"/>
    <w:rsid w:val="00954AD4"/>
    <w:rsid w:val="00955C6B"/>
    <w:rsid w:val="00955FAF"/>
    <w:rsid w:val="00957F8C"/>
    <w:rsid w:val="00960DF3"/>
    <w:rsid w:val="009620DF"/>
    <w:rsid w:val="009629BB"/>
    <w:rsid w:val="009647E3"/>
    <w:rsid w:val="00964832"/>
    <w:rsid w:val="009651B9"/>
    <w:rsid w:val="009657A2"/>
    <w:rsid w:val="009668A1"/>
    <w:rsid w:val="00967825"/>
    <w:rsid w:val="00967D4D"/>
    <w:rsid w:val="00967DF2"/>
    <w:rsid w:val="0097186E"/>
    <w:rsid w:val="00973235"/>
    <w:rsid w:val="00974B08"/>
    <w:rsid w:val="00974B42"/>
    <w:rsid w:val="009751F8"/>
    <w:rsid w:val="00975CFB"/>
    <w:rsid w:val="00975D64"/>
    <w:rsid w:val="00976431"/>
    <w:rsid w:val="009768EC"/>
    <w:rsid w:val="009770E9"/>
    <w:rsid w:val="0097786A"/>
    <w:rsid w:val="00977AD0"/>
    <w:rsid w:val="009806ED"/>
    <w:rsid w:val="009815DF"/>
    <w:rsid w:val="00981711"/>
    <w:rsid w:val="00982806"/>
    <w:rsid w:val="00982DE1"/>
    <w:rsid w:val="00982F76"/>
    <w:rsid w:val="0098352F"/>
    <w:rsid w:val="00984195"/>
    <w:rsid w:val="009863C4"/>
    <w:rsid w:val="00987136"/>
    <w:rsid w:val="00987F66"/>
    <w:rsid w:val="00990279"/>
    <w:rsid w:val="00990ABA"/>
    <w:rsid w:val="00990B14"/>
    <w:rsid w:val="00990FF4"/>
    <w:rsid w:val="00991118"/>
    <w:rsid w:val="00992491"/>
    <w:rsid w:val="0099269F"/>
    <w:rsid w:val="009926ED"/>
    <w:rsid w:val="00993238"/>
    <w:rsid w:val="00993B6F"/>
    <w:rsid w:val="00993C20"/>
    <w:rsid w:val="009951A4"/>
    <w:rsid w:val="00995951"/>
    <w:rsid w:val="009963B8"/>
    <w:rsid w:val="00996526"/>
    <w:rsid w:val="00996636"/>
    <w:rsid w:val="00996FEA"/>
    <w:rsid w:val="009A084B"/>
    <w:rsid w:val="009A0D7D"/>
    <w:rsid w:val="009A2002"/>
    <w:rsid w:val="009A2AD5"/>
    <w:rsid w:val="009A5929"/>
    <w:rsid w:val="009A7018"/>
    <w:rsid w:val="009B041A"/>
    <w:rsid w:val="009B0B0E"/>
    <w:rsid w:val="009B0FEA"/>
    <w:rsid w:val="009B3A11"/>
    <w:rsid w:val="009B5526"/>
    <w:rsid w:val="009B5F0F"/>
    <w:rsid w:val="009C0039"/>
    <w:rsid w:val="009C0B47"/>
    <w:rsid w:val="009C237C"/>
    <w:rsid w:val="009C32D8"/>
    <w:rsid w:val="009C3C0E"/>
    <w:rsid w:val="009C44E9"/>
    <w:rsid w:val="009C48A4"/>
    <w:rsid w:val="009C50D3"/>
    <w:rsid w:val="009C56B9"/>
    <w:rsid w:val="009C5CFD"/>
    <w:rsid w:val="009C6153"/>
    <w:rsid w:val="009D001D"/>
    <w:rsid w:val="009D305C"/>
    <w:rsid w:val="009D4A44"/>
    <w:rsid w:val="009D5373"/>
    <w:rsid w:val="009D54BC"/>
    <w:rsid w:val="009D62EB"/>
    <w:rsid w:val="009D6394"/>
    <w:rsid w:val="009D69BE"/>
    <w:rsid w:val="009D7FB2"/>
    <w:rsid w:val="009E1343"/>
    <w:rsid w:val="009E1AA8"/>
    <w:rsid w:val="009E371D"/>
    <w:rsid w:val="009E703B"/>
    <w:rsid w:val="009F08E6"/>
    <w:rsid w:val="009F0E51"/>
    <w:rsid w:val="009F1A7E"/>
    <w:rsid w:val="009F204E"/>
    <w:rsid w:val="009F2F49"/>
    <w:rsid w:val="009F3407"/>
    <w:rsid w:val="009F4ED6"/>
    <w:rsid w:val="009F55CA"/>
    <w:rsid w:val="009F5E67"/>
    <w:rsid w:val="009F6F81"/>
    <w:rsid w:val="009F745F"/>
    <w:rsid w:val="009F771B"/>
    <w:rsid w:val="009F794A"/>
    <w:rsid w:val="00A014BF"/>
    <w:rsid w:val="00A016E9"/>
    <w:rsid w:val="00A0286F"/>
    <w:rsid w:val="00A05CF8"/>
    <w:rsid w:val="00A062A7"/>
    <w:rsid w:val="00A062AE"/>
    <w:rsid w:val="00A0782A"/>
    <w:rsid w:val="00A1110E"/>
    <w:rsid w:val="00A1134A"/>
    <w:rsid w:val="00A11480"/>
    <w:rsid w:val="00A13138"/>
    <w:rsid w:val="00A13FEB"/>
    <w:rsid w:val="00A14F92"/>
    <w:rsid w:val="00A1673F"/>
    <w:rsid w:val="00A17712"/>
    <w:rsid w:val="00A20539"/>
    <w:rsid w:val="00A20637"/>
    <w:rsid w:val="00A21315"/>
    <w:rsid w:val="00A22DC2"/>
    <w:rsid w:val="00A244D6"/>
    <w:rsid w:val="00A25E91"/>
    <w:rsid w:val="00A26628"/>
    <w:rsid w:val="00A2723D"/>
    <w:rsid w:val="00A30126"/>
    <w:rsid w:val="00A31BE8"/>
    <w:rsid w:val="00A3241F"/>
    <w:rsid w:val="00A350BB"/>
    <w:rsid w:val="00A35AEF"/>
    <w:rsid w:val="00A406A1"/>
    <w:rsid w:val="00A4102A"/>
    <w:rsid w:val="00A41EE3"/>
    <w:rsid w:val="00A41FA8"/>
    <w:rsid w:val="00A423F4"/>
    <w:rsid w:val="00A436CD"/>
    <w:rsid w:val="00A438E6"/>
    <w:rsid w:val="00A44B5A"/>
    <w:rsid w:val="00A44C14"/>
    <w:rsid w:val="00A44D90"/>
    <w:rsid w:val="00A44FCF"/>
    <w:rsid w:val="00A4565D"/>
    <w:rsid w:val="00A50E57"/>
    <w:rsid w:val="00A51521"/>
    <w:rsid w:val="00A54552"/>
    <w:rsid w:val="00A5497C"/>
    <w:rsid w:val="00A56E79"/>
    <w:rsid w:val="00A57CA9"/>
    <w:rsid w:val="00A57F23"/>
    <w:rsid w:val="00A611F0"/>
    <w:rsid w:val="00A6349D"/>
    <w:rsid w:val="00A644B3"/>
    <w:rsid w:val="00A66426"/>
    <w:rsid w:val="00A66435"/>
    <w:rsid w:val="00A66B0E"/>
    <w:rsid w:val="00A66CDB"/>
    <w:rsid w:val="00A67302"/>
    <w:rsid w:val="00A71EE9"/>
    <w:rsid w:val="00A72667"/>
    <w:rsid w:val="00A7310C"/>
    <w:rsid w:val="00A75071"/>
    <w:rsid w:val="00A75A08"/>
    <w:rsid w:val="00A75B91"/>
    <w:rsid w:val="00A83BC5"/>
    <w:rsid w:val="00A84703"/>
    <w:rsid w:val="00A8477E"/>
    <w:rsid w:val="00A8651A"/>
    <w:rsid w:val="00A86894"/>
    <w:rsid w:val="00A86A7A"/>
    <w:rsid w:val="00A86CB8"/>
    <w:rsid w:val="00A86E9B"/>
    <w:rsid w:val="00A9018A"/>
    <w:rsid w:val="00A905CF"/>
    <w:rsid w:val="00A90B15"/>
    <w:rsid w:val="00A90D1C"/>
    <w:rsid w:val="00A916CF"/>
    <w:rsid w:val="00A94E79"/>
    <w:rsid w:val="00A94FDC"/>
    <w:rsid w:val="00A9580E"/>
    <w:rsid w:val="00A9698C"/>
    <w:rsid w:val="00A96E0D"/>
    <w:rsid w:val="00A97164"/>
    <w:rsid w:val="00A97386"/>
    <w:rsid w:val="00A9799A"/>
    <w:rsid w:val="00AA06D6"/>
    <w:rsid w:val="00AA0B02"/>
    <w:rsid w:val="00AA0EC0"/>
    <w:rsid w:val="00AA1F2B"/>
    <w:rsid w:val="00AA2766"/>
    <w:rsid w:val="00AA3361"/>
    <w:rsid w:val="00AA3918"/>
    <w:rsid w:val="00AA4A12"/>
    <w:rsid w:val="00AA5268"/>
    <w:rsid w:val="00AA5635"/>
    <w:rsid w:val="00AA598F"/>
    <w:rsid w:val="00AA66AD"/>
    <w:rsid w:val="00AB1911"/>
    <w:rsid w:val="00AB2389"/>
    <w:rsid w:val="00AB302D"/>
    <w:rsid w:val="00AB31C9"/>
    <w:rsid w:val="00AB59FA"/>
    <w:rsid w:val="00AB6CE6"/>
    <w:rsid w:val="00AB7039"/>
    <w:rsid w:val="00AB7049"/>
    <w:rsid w:val="00AC06BE"/>
    <w:rsid w:val="00AC1049"/>
    <w:rsid w:val="00AC1828"/>
    <w:rsid w:val="00AC24D7"/>
    <w:rsid w:val="00AC3566"/>
    <w:rsid w:val="00AC5294"/>
    <w:rsid w:val="00AC54E9"/>
    <w:rsid w:val="00AC7142"/>
    <w:rsid w:val="00AC7817"/>
    <w:rsid w:val="00AC7ABA"/>
    <w:rsid w:val="00AD047C"/>
    <w:rsid w:val="00AD147A"/>
    <w:rsid w:val="00AD1A41"/>
    <w:rsid w:val="00AD2594"/>
    <w:rsid w:val="00AD2643"/>
    <w:rsid w:val="00AD2AC9"/>
    <w:rsid w:val="00AD2E5F"/>
    <w:rsid w:val="00AD3A06"/>
    <w:rsid w:val="00AD3DA6"/>
    <w:rsid w:val="00AD3EAC"/>
    <w:rsid w:val="00AD5988"/>
    <w:rsid w:val="00AD611A"/>
    <w:rsid w:val="00AD6F4D"/>
    <w:rsid w:val="00AE0B94"/>
    <w:rsid w:val="00AE180A"/>
    <w:rsid w:val="00AE260C"/>
    <w:rsid w:val="00AE4B32"/>
    <w:rsid w:val="00AE4D7A"/>
    <w:rsid w:val="00AE5E3B"/>
    <w:rsid w:val="00AE73A8"/>
    <w:rsid w:val="00AE7B67"/>
    <w:rsid w:val="00AF0884"/>
    <w:rsid w:val="00AF0AE9"/>
    <w:rsid w:val="00AF3528"/>
    <w:rsid w:val="00AF4745"/>
    <w:rsid w:val="00AF4AC8"/>
    <w:rsid w:val="00AF5CB8"/>
    <w:rsid w:val="00AF6CE7"/>
    <w:rsid w:val="00AF7396"/>
    <w:rsid w:val="00AF7422"/>
    <w:rsid w:val="00B007C9"/>
    <w:rsid w:val="00B01965"/>
    <w:rsid w:val="00B02DD9"/>
    <w:rsid w:val="00B04214"/>
    <w:rsid w:val="00B04591"/>
    <w:rsid w:val="00B052C4"/>
    <w:rsid w:val="00B06674"/>
    <w:rsid w:val="00B067C5"/>
    <w:rsid w:val="00B06D9D"/>
    <w:rsid w:val="00B07E8E"/>
    <w:rsid w:val="00B07FB4"/>
    <w:rsid w:val="00B10149"/>
    <w:rsid w:val="00B10D21"/>
    <w:rsid w:val="00B11299"/>
    <w:rsid w:val="00B120B7"/>
    <w:rsid w:val="00B13459"/>
    <w:rsid w:val="00B1608A"/>
    <w:rsid w:val="00B162BE"/>
    <w:rsid w:val="00B164B3"/>
    <w:rsid w:val="00B16BC1"/>
    <w:rsid w:val="00B16D3B"/>
    <w:rsid w:val="00B1740B"/>
    <w:rsid w:val="00B202A4"/>
    <w:rsid w:val="00B20620"/>
    <w:rsid w:val="00B228D6"/>
    <w:rsid w:val="00B229DE"/>
    <w:rsid w:val="00B242B9"/>
    <w:rsid w:val="00B25830"/>
    <w:rsid w:val="00B25BCE"/>
    <w:rsid w:val="00B262AE"/>
    <w:rsid w:val="00B27423"/>
    <w:rsid w:val="00B30A39"/>
    <w:rsid w:val="00B30B0D"/>
    <w:rsid w:val="00B323DB"/>
    <w:rsid w:val="00B34294"/>
    <w:rsid w:val="00B3591F"/>
    <w:rsid w:val="00B35F0F"/>
    <w:rsid w:val="00B40167"/>
    <w:rsid w:val="00B4078C"/>
    <w:rsid w:val="00B41D0E"/>
    <w:rsid w:val="00B41F2F"/>
    <w:rsid w:val="00B42795"/>
    <w:rsid w:val="00B42957"/>
    <w:rsid w:val="00B45B54"/>
    <w:rsid w:val="00B4643F"/>
    <w:rsid w:val="00B47CF9"/>
    <w:rsid w:val="00B52ECB"/>
    <w:rsid w:val="00B533F2"/>
    <w:rsid w:val="00B54200"/>
    <w:rsid w:val="00B5421D"/>
    <w:rsid w:val="00B56313"/>
    <w:rsid w:val="00B574D9"/>
    <w:rsid w:val="00B57A07"/>
    <w:rsid w:val="00B6044A"/>
    <w:rsid w:val="00B61168"/>
    <w:rsid w:val="00B619B9"/>
    <w:rsid w:val="00B629FE"/>
    <w:rsid w:val="00B630CB"/>
    <w:rsid w:val="00B637DF"/>
    <w:rsid w:val="00B639D0"/>
    <w:rsid w:val="00B643B6"/>
    <w:rsid w:val="00B65D73"/>
    <w:rsid w:val="00B666AD"/>
    <w:rsid w:val="00B66DED"/>
    <w:rsid w:val="00B70E8C"/>
    <w:rsid w:val="00B737EB"/>
    <w:rsid w:val="00B73D81"/>
    <w:rsid w:val="00B74621"/>
    <w:rsid w:val="00B75406"/>
    <w:rsid w:val="00B80294"/>
    <w:rsid w:val="00B80A94"/>
    <w:rsid w:val="00B83D6A"/>
    <w:rsid w:val="00B8428E"/>
    <w:rsid w:val="00B844F4"/>
    <w:rsid w:val="00B85FEF"/>
    <w:rsid w:val="00B86F3C"/>
    <w:rsid w:val="00B87056"/>
    <w:rsid w:val="00B872AF"/>
    <w:rsid w:val="00B873D9"/>
    <w:rsid w:val="00B87C44"/>
    <w:rsid w:val="00B9167E"/>
    <w:rsid w:val="00B91D4F"/>
    <w:rsid w:val="00B92306"/>
    <w:rsid w:val="00B95C96"/>
    <w:rsid w:val="00BA0180"/>
    <w:rsid w:val="00BA186A"/>
    <w:rsid w:val="00BA2CBC"/>
    <w:rsid w:val="00BA33EE"/>
    <w:rsid w:val="00BA3433"/>
    <w:rsid w:val="00BA532B"/>
    <w:rsid w:val="00BA55DF"/>
    <w:rsid w:val="00BA5CDE"/>
    <w:rsid w:val="00BA6F92"/>
    <w:rsid w:val="00BB0035"/>
    <w:rsid w:val="00BB01D8"/>
    <w:rsid w:val="00BB030E"/>
    <w:rsid w:val="00BB0A4B"/>
    <w:rsid w:val="00BB3A8C"/>
    <w:rsid w:val="00BB3DDA"/>
    <w:rsid w:val="00BB478E"/>
    <w:rsid w:val="00BB480A"/>
    <w:rsid w:val="00BB4EDD"/>
    <w:rsid w:val="00BB5328"/>
    <w:rsid w:val="00BB564D"/>
    <w:rsid w:val="00BC009D"/>
    <w:rsid w:val="00BC01FC"/>
    <w:rsid w:val="00BC055E"/>
    <w:rsid w:val="00BC07C1"/>
    <w:rsid w:val="00BC2378"/>
    <w:rsid w:val="00BC2D6C"/>
    <w:rsid w:val="00BC331F"/>
    <w:rsid w:val="00BC5923"/>
    <w:rsid w:val="00BC5936"/>
    <w:rsid w:val="00BC5D0F"/>
    <w:rsid w:val="00BD1287"/>
    <w:rsid w:val="00BD35AE"/>
    <w:rsid w:val="00BD393A"/>
    <w:rsid w:val="00BD3EED"/>
    <w:rsid w:val="00BD3F1C"/>
    <w:rsid w:val="00BD3F33"/>
    <w:rsid w:val="00BD44B8"/>
    <w:rsid w:val="00BD4FA3"/>
    <w:rsid w:val="00BD573A"/>
    <w:rsid w:val="00BE0681"/>
    <w:rsid w:val="00BE20C2"/>
    <w:rsid w:val="00BE2189"/>
    <w:rsid w:val="00BE21E6"/>
    <w:rsid w:val="00BE370E"/>
    <w:rsid w:val="00BE53F8"/>
    <w:rsid w:val="00BE593E"/>
    <w:rsid w:val="00BE7ED1"/>
    <w:rsid w:val="00BF2ABA"/>
    <w:rsid w:val="00BF2E51"/>
    <w:rsid w:val="00BF4D28"/>
    <w:rsid w:val="00BF51EB"/>
    <w:rsid w:val="00BF5426"/>
    <w:rsid w:val="00BF5525"/>
    <w:rsid w:val="00BF5990"/>
    <w:rsid w:val="00BF6BE4"/>
    <w:rsid w:val="00BF7E29"/>
    <w:rsid w:val="00C0012D"/>
    <w:rsid w:val="00C001AB"/>
    <w:rsid w:val="00C0025F"/>
    <w:rsid w:val="00C01434"/>
    <w:rsid w:val="00C01857"/>
    <w:rsid w:val="00C03E6A"/>
    <w:rsid w:val="00C03E7E"/>
    <w:rsid w:val="00C048F1"/>
    <w:rsid w:val="00C05C31"/>
    <w:rsid w:val="00C05E42"/>
    <w:rsid w:val="00C06F68"/>
    <w:rsid w:val="00C07ABD"/>
    <w:rsid w:val="00C07FDF"/>
    <w:rsid w:val="00C10DAB"/>
    <w:rsid w:val="00C11401"/>
    <w:rsid w:val="00C12E8B"/>
    <w:rsid w:val="00C136A7"/>
    <w:rsid w:val="00C14A96"/>
    <w:rsid w:val="00C15805"/>
    <w:rsid w:val="00C164F2"/>
    <w:rsid w:val="00C16C90"/>
    <w:rsid w:val="00C1790B"/>
    <w:rsid w:val="00C1791F"/>
    <w:rsid w:val="00C2086E"/>
    <w:rsid w:val="00C213D5"/>
    <w:rsid w:val="00C22C06"/>
    <w:rsid w:val="00C23BD6"/>
    <w:rsid w:val="00C25512"/>
    <w:rsid w:val="00C257DF"/>
    <w:rsid w:val="00C25DF3"/>
    <w:rsid w:val="00C2649A"/>
    <w:rsid w:val="00C26B25"/>
    <w:rsid w:val="00C275F8"/>
    <w:rsid w:val="00C30F68"/>
    <w:rsid w:val="00C316F0"/>
    <w:rsid w:val="00C32D17"/>
    <w:rsid w:val="00C32E52"/>
    <w:rsid w:val="00C3404E"/>
    <w:rsid w:val="00C36A06"/>
    <w:rsid w:val="00C372C4"/>
    <w:rsid w:val="00C3734A"/>
    <w:rsid w:val="00C37616"/>
    <w:rsid w:val="00C400B8"/>
    <w:rsid w:val="00C4062A"/>
    <w:rsid w:val="00C415BC"/>
    <w:rsid w:val="00C4210F"/>
    <w:rsid w:val="00C427F4"/>
    <w:rsid w:val="00C42EE7"/>
    <w:rsid w:val="00C444CF"/>
    <w:rsid w:val="00C45C9F"/>
    <w:rsid w:val="00C4644A"/>
    <w:rsid w:val="00C46877"/>
    <w:rsid w:val="00C47764"/>
    <w:rsid w:val="00C51BCF"/>
    <w:rsid w:val="00C51D57"/>
    <w:rsid w:val="00C530F3"/>
    <w:rsid w:val="00C53E27"/>
    <w:rsid w:val="00C54575"/>
    <w:rsid w:val="00C54B3C"/>
    <w:rsid w:val="00C550D7"/>
    <w:rsid w:val="00C55A05"/>
    <w:rsid w:val="00C56422"/>
    <w:rsid w:val="00C566B4"/>
    <w:rsid w:val="00C56B3B"/>
    <w:rsid w:val="00C5771A"/>
    <w:rsid w:val="00C60589"/>
    <w:rsid w:val="00C61586"/>
    <w:rsid w:val="00C62E75"/>
    <w:rsid w:val="00C6304D"/>
    <w:rsid w:val="00C64FDD"/>
    <w:rsid w:val="00C67F9C"/>
    <w:rsid w:val="00C7067B"/>
    <w:rsid w:val="00C71147"/>
    <w:rsid w:val="00C7475E"/>
    <w:rsid w:val="00C74F80"/>
    <w:rsid w:val="00C758ED"/>
    <w:rsid w:val="00C76689"/>
    <w:rsid w:val="00C77BAA"/>
    <w:rsid w:val="00C77BCF"/>
    <w:rsid w:val="00C811DD"/>
    <w:rsid w:val="00C815E0"/>
    <w:rsid w:val="00C81CA0"/>
    <w:rsid w:val="00C81DE1"/>
    <w:rsid w:val="00C81EE4"/>
    <w:rsid w:val="00C83C71"/>
    <w:rsid w:val="00C83CA0"/>
    <w:rsid w:val="00C83F93"/>
    <w:rsid w:val="00C83FFB"/>
    <w:rsid w:val="00C858E8"/>
    <w:rsid w:val="00C85EE2"/>
    <w:rsid w:val="00C86A42"/>
    <w:rsid w:val="00C86D54"/>
    <w:rsid w:val="00C94415"/>
    <w:rsid w:val="00C94555"/>
    <w:rsid w:val="00C95300"/>
    <w:rsid w:val="00C95353"/>
    <w:rsid w:val="00C9540B"/>
    <w:rsid w:val="00C960BA"/>
    <w:rsid w:val="00CA00AB"/>
    <w:rsid w:val="00CA0641"/>
    <w:rsid w:val="00CA2910"/>
    <w:rsid w:val="00CA3B31"/>
    <w:rsid w:val="00CA570B"/>
    <w:rsid w:val="00CA59DE"/>
    <w:rsid w:val="00CA5BE3"/>
    <w:rsid w:val="00CA7164"/>
    <w:rsid w:val="00CA7779"/>
    <w:rsid w:val="00CB1E98"/>
    <w:rsid w:val="00CB2B7A"/>
    <w:rsid w:val="00CB465D"/>
    <w:rsid w:val="00CB481E"/>
    <w:rsid w:val="00CB4C85"/>
    <w:rsid w:val="00CC0035"/>
    <w:rsid w:val="00CC0655"/>
    <w:rsid w:val="00CC45BE"/>
    <w:rsid w:val="00CC578F"/>
    <w:rsid w:val="00CC60D9"/>
    <w:rsid w:val="00CD132D"/>
    <w:rsid w:val="00CD1BAE"/>
    <w:rsid w:val="00CD2E08"/>
    <w:rsid w:val="00CD49F4"/>
    <w:rsid w:val="00CD5BCD"/>
    <w:rsid w:val="00CD6162"/>
    <w:rsid w:val="00CD765B"/>
    <w:rsid w:val="00CE084C"/>
    <w:rsid w:val="00CE134B"/>
    <w:rsid w:val="00CE20AA"/>
    <w:rsid w:val="00CE2A42"/>
    <w:rsid w:val="00CE2ABF"/>
    <w:rsid w:val="00CE32FB"/>
    <w:rsid w:val="00CE556C"/>
    <w:rsid w:val="00CE67CF"/>
    <w:rsid w:val="00CF0ABB"/>
    <w:rsid w:val="00CF1906"/>
    <w:rsid w:val="00CF1C23"/>
    <w:rsid w:val="00CF262B"/>
    <w:rsid w:val="00CF2760"/>
    <w:rsid w:val="00CF30D2"/>
    <w:rsid w:val="00CF462F"/>
    <w:rsid w:val="00CF4E9C"/>
    <w:rsid w:val="00CF5DE7"/>
    <w:rsid w:val="00D0052A"/>
    <w:rsid w:val="00D00D65"/>
    <w:rsid w:val="00D024EC"/>
    <w:rsid w:val="00D0356C"/>
    <w:rsid w:val="00D03B66"/>
    <w:rsid w:val="00D03B78"/>
    <w:rsid w:val="00D043E6"/>
    <w:rsid w:val="00D06305"/>
    <w:rsid w:val="00D066B3"/>
    <w:rsid w:val="00D06A00"/>
    <w:rsid w:val="00D06DDF"/>
    <w:rsid w:val="00D07ECE"/>
    <w:rsid w:val="00D10763"/>
    <w:rsid w:val="00D10A48"/>
    <w:rsid w:val="00D11684"/>
    <w:rsid w:val="00D11BBD"/>
    <w:rsid w:val="00D11BCF"/>
    <w:rsid w:val="00D13120"/>
    <w:rsid w:val="00D13648"/>
    <w:rsid w:val="00D14BFE"/>
    <w:rsid w:val="00D14D6C"/>
    <w:rsid w:val="00D15285"/>
    <w:rsid w:val="00D160AC"/>
    <w:rsid w:val="00D1628D"/>
    <w:rsid w:val="00D16A04"/>
    <w:rsid w:val="00D20249"/>
    <w:rsid w:val="00D21833"/>
    <w:rsid w:val="00D225E6"/>
    <w:rsid w:val="00D2375D"/>
    <w:rsid w:val="00D238B0"/>
    <w:rsid w:val="00D24115"/>
    <w:rsid w:val="00D2497B"/>
    <w:rsid w:val="00D254A0"/>
    <w:rsid w:val="00D25547"/>
    <w:rsid w:val="00D26893"/>
    <w:rsid w:val="00D26B55"/>
    <w:rsid w:val="00D26D28"/>
    <w:rsid w:val="00D2737A"/>
    <w:rsid w:val="00D2770E"/>
    <w:rsid w:val="00D279DD"/>
    <w:rsid w:val="00D27F04"/>
    <w:rsid w:val="00D30094"/>
    <w:rsid w:val="00D30363"/>
    <w:rsid w:val="00D329D6"/>
    <w:rsid w:val="00D32EB2"/>
    <w:rsid w:val="00D344B6"/>
    <w:rsid w:val="00D3509A"/>
    <w:rsid w:val="00D354D9"/>
    <w:rsid w:val="00D35F68"/>
    <w:rsid w:val="00D361D6"/>
    <w:rsid w:val="00D369D1"/>
    <w:rsid w:val="00D37050"/>
    <w:rsid w:val="00D41C9A"/>
    <w:rsid w:val="00D4333F"/>
    <w:rsid w:val="00D43E57"/>
    <w:rsid w:val="00D442EC"/>
    <w:rsid w:val="00D45D0C"/>
    <w:rsid w:val="00D46188"/>
    <w:rsid w:val="00D46193"/>
    <w:rsid w:val="00D464E5"/>
    <w:rsid w:val="00D46AC0"/>
    <w:rsid w:val="00D46E29"/>
    <w:rsid w:val="00D528C0"/>
    <w:rsid w:val="00D53DFD"/>
    <w:rsid w:val="00D54505"/>
    <w:rsid w:val="00D54C31"/>
    <w:rsid w:val="00D54F83"/>
    <w:rsid w:val="00D551F3"/>
    <w:rsid w:val="00D573A2"/>
    <w:rsid w:val="00D60235"/>
    <w:rsid w:val="00D62C21"/>
    <w:rsid w:val="00D64781"/>
    <w:rsid w:val="00D65E2A"/>
    <w:rsid w:val="00D665F7"/>
    <w:rsid w:val="00D667FC"/>
    <w:rsid w:val="00D676BC"/>
    <w:rsid w:val="00D70193"/>
    <w:rsid w:val="00D708B2"/>
    <w:rsid w:val="00D70AA3"/>
    <w:rsid w:val="00D7161F"/>
    <w:rsid w:val="00D7296A"/>
    <w:rsid w:val="00D7350E"/>
    <w:rsid w:val="00D73A77"/>
    <w:rsid w:val="00D73A96"/>
    <w:rsid w:val="00D75BEB"/>
    <w:rsid w:val="00D75CB9"/>
    <w:rsid w:val="00D76AE5"/>
    <w:rsid w:val="00D77DC3"/>
    <w:rsid w:val="00D80747"/>
    <w:rsid w:val="00D828CB"/>
    <w:rsid w:val="00D84C8C"/>
    <w:rsid w:val="00D8500F"/>
    <w:rsid w:val="00D851B0"/>
    <w:rsid w:val="00D86365"/>
    <w:rsid w:val="00D87222"/>
    <w:rsid w:val="00D90492"/>
    <w:rsid w:val="00D91F2A"/>
    <w:rsid w:val="00D9214E"/>
    <w:rsid w:val="00D92534"/>
    <w:rsid w:val="00D92FA2"/>
    <w:rsid w:val="00D9316D"/>
    <w:rsid w:val="00D943D8"/>
    <w:rsid w:val="00D95477"/>
    <w:rsid w:val="00D960EE"/>
    <w:rsid w:val="00D968CB"/>
    <w:rsid w:val="00D96CD2"/>
    <w:rsid w:val="00D97E0B"/>
    <w:rsid w:val="00DA05D3"/>
    <w:rsid w:val="00DA097B"/>
    <w:rsid w:val="00DA098B"/>
    <w:rsid w:val="00DA1ABE"/>
    <w:rsid w:val="00DA215C"/>
    <w:rsid w:val="00DA2329"/>
    <w:rsid w:val="00DA3569"/>
    <w:rsid w:val="00DA4E5A"/>
    <w:rsid w:val="00DA593F"/>
    <w:rsid w:val="00DA6330"/>
    <w:rsid w:val="00DA7AC9"/>
    <w:rsid w:val="00DB02AD"/>
    <w:rsid w:val="00DB0386"/>
    <w:rsid w:val="00DB0659"/>
    <w:rsid w:val="00DB0869"/>
    <w:rsid w:val="00DB0C29"/>
    <w:rsid w:val="00DB2F60"/>
    <w:rsid w:val="00DB377E"/>
    <w:rsid w:val="00DB47EB"/>
    <w:rsid w:val="00DB48DB"/>
    <w:rsid w:val="00DB6252"/>
    <w:rsid w:val="00DB6CF7"/>
    <w:rsid w:val="00DB7D83"/>
    <w:rsid w:val="00DC0370"/>
    <w:rsid w:val="00DC1583"/>
    <w:rsid w:val="00DC1B02"/>
    <w:rsid w:val="00DC267B"/>
    <w:rsid w:val="00DC334E"/>
    <w:rsid w:val="00DC65F8"/>
    <w:rsid w:val="00DC674C"/>
    <w:rsid w:val="00DC6BDD"/>
    <w:rsid w:val="00DC6C5A"/>
    <w:rsid w:val="00DC7866"/>
    <w:rsid w:val="00DD24FE"/>
    <w:rsid w:val="00DD2E93"/>
    <w:rsid w:val="00DD33C4"/>
    <w:rsid w:val="00DD40EB"/>
    <w:rsid w:val="00DD5BB4"/>
    <w:rsid w:val="00DD5D81"/>
    <w:rsid w:val="00DD76FC"/>
    <w:rsid w:val="00DD7731"/>
    <w:rsid w:val="00DE0380"/>
    <w:rsid w:val="00DE07FC"/>
    <w:rsid w:val="00DE088C"/>
    <w:rsid w:val="00DE265E"/>
    <w:rsid w:val="00DE3A9B"/>
    <w:rsid w:val="00DE5614"/>
    <w:rsid w:val="00DE73DC"/>
    <w:rsid w:val="00DE7EFF"/>
    <w:rsid w:val="00DF15CD"/>
    <w:rsid w:val="00DF30BC"/>
    <w:rsid w:val="00DF3499"/>
    <w:rsid w:val="00DF5257"/>
    <w:rsid w:val="00DF5546"/>
    <w:rsid w:val="00DF6926"/>
    <w:rsid w:val="00DF7155"/>
    <w:rsid w:val="00E010F5"/>
    <w:rsid w:val="00E02822"/>
    <w:rsid w:val="00E029B5"/>
    <w:rsid w:val="00E02C6F"/>
    <w:rsid w:val="00E030E5"/>
    <w:rsid w:val="00E030FF"/>
    <w:rsid w:val="00E03F88"/>
    <w:rsid w:val="00E040BE"/>
    <w:rsid w:val="00E0544E"/>
    <w:rsid w:val="00E062BB"/>
    <w:rsid w:val="00E072EE"/>
    <w:rsid w:val="00E07D1D"/>
    <w:rsid w:val="00E10022"/>
    <w:rsid w:val="00E106C8"/>
    <w:rsid w:val="00E12369"/>
    <w:rsid w:val="00E12793"/>
    <w:rsid w:val="00E128C9"/>
    <w:rsid w:val="00E130C4"/>
    <w:rsid w:val="00E1324E"/>
    <w:rsid w:val="00E14138"/>
    <w:rsid w:val="00E14176"/>
    <w:rsid w:val="00E143BD"/>
    <w:rsid w:val="00E1472A"/>
    <w:rsid w:val="00E15F8C"/>
    <w:rsid w:val="00E16509"/>
    <w:rsid w:val="00E17B1C"/>
    <w:rsid w:val="00E21D40"/>
    <w:rsid w:val="00E229B9"/>
    <w:rsid w:val="00E2381C"/>
    <w:rsid w:val="00E24EFB"/>
    <w:rsid w:val="00E25E25"/>
    <w:rsid w:val="00E25EA7"/>
    <w:rsid w:val="00E26822"/>
    <w:rsid w:val="00E26894"/>
    <w:rsid w:val="00E26AE3"/>
    <w:rsid w:val="00E27D0C"/>
    <w:rsid w:val="00E300E4"/>
    <w:rsid w:val="00E33E59"/>
    <w:rsid w:val="00E340E5"/>
    <w:rsid w:val="00E35939"/>
    <w:rsid w:val="00E362E3"/>
    <w:rsid w:val="00E364BB"/>
    <w:rsid w:val="00E37D9F"/>
    <w:rsid w:val="00E37EB1"/>
    <w:rsid w:val="00E403EF"/>
    <w:rsid w:val="00E40976"/>
    <w:rsid w:val="00E40C4A"/>
    <w:rsid w:val="00E411D5"/>
    <w:rsid w:val="00E4296B"/>
    <w:rsid w:val="00E42C65"/>
    <w:rsid w:val="00E4312C"/>
    <w:rsid w:val="00E4390F"/>
    <w:rsid w:val="00E43A41"/>
    <w:rsid w:val="00E43DA2"/>
    <w:rsid w:val="00E44101"/>
    <w:rsid w:val="00E441ED"/>
    <w:rsid w:val="00E44A27"/>
    <w:rsid w:val="00E45B64"/>
    <w:rsid w:val="00E47498"/>
    <w:rsid w:val="00E50802"/>
    <w:rsid w:val="00E5142B"/>
    <w:rsid w:val="00E519EB"/>
    <w:rsid w:val="00E51CA3"/>
    <w:rsid w:val="00E525B5"/>
    <w:rsid w:val="00E53031"/>
    <w:rsid w:val="00E54739"/>
    <w:rsid w:val="00E549A6"/>
    <w:rsid w:val="00E56EA9"/>
    <w:rsid w:val="00E56F71"/>
    <w:rsid w:val="00E57758"/>
    <w:rsid w:val="00E603FE"/>
    <w:rsid w:val="00E60917"/>
    <w:rsid w:val="00E60969"/>
    <w:rsid w:val="00E61160"/>
    <w:rsid w:val="00E619C9"/>
    <w:rsid w:val="00E62944"/>
    <w:rsid w:val="00E63200"/>
    <w:rsid w:val="00E6339C"/>
    <w:rsid w:val="00E64561"/>
    <w:rsid w:val="00E65595"/>
    <w:rsid w:val="00E67A14"/>
    <w:rsid w:val="00E707AA"/>
    <w:rsid w:val="00E723F5"/>
    <w:rsid w:val="00E7251D"/>
    <w:rsid w:val="00E73EF8"/>
    <w:rsid w:val="00E75EB6"/>
    <w:rsid w:val="00E80887"/>
    <w:rsid w:val="00E8118D"/>
    <w:rsid w:val="00E81223"/>
    <w:rsid w:val="00E82834"/>
    <w:rsid w:val="00E82AB1"/>
    <w:rsid w:val="00E82C60"/>
    <w:rsid w:val="00E832B7"/>
    <w:rsid w:val="00E83A26"/>
    <w:rsid w:val="00E83ED7"/>
    <w:rsid w:val="00E83F21"/>
    <w:rsid w:val="00E83F4C"/>
    <w:rsid w:val="00E84280"/>
    <w:rsid w:val="00E86049"/>
    <w:rsid w:val="00E866DB"/>
    <w:rsid w:val="00E86B83"/>
    <w:rsid w:val="00E86BC3"/>
    <w:rsid w:val="00E8716A"/>
    <w:rsid w:val="00E9066A"/>
    <w:rsid w:val="00E906A9"/>
    <w:rsid w:val="00E90A8B"/>
    <w:rsid w:val="00E92EB7"/>
    <w:rsid w:val="00E964D4"/>
    <w:rsid w:val="00EA077E"/>
    <w:rsid w:val="00EA08D3"/>
    <w:rsid w:val="00EA12CF"/>
    <w:rsid w:val="00EA21A9"/>
    <w:rsid w:val="00EA322D"/>
    <w:rsid w:val="00EA3523"/>
    <w:rsid w:val="00EA5FD9"/>
    <w:rsid w:val="00EA72A4"/>
    <w:rsid w:val="00EA786F"/>
    <w:rsid w:val="00EA7C92"/>
    <w:rsid w:val="00EB1938"/>
    <w:rsid w:val="00EB2B64"/>
    <w:rsid w:val="00EB36A7"/>
    <w:rsid w:val="00EB3EC2"/>
    <w:rsid w:val="00EB53F8"/>
    <w:rsid w:val="00EB557B"/>
    <w:rsid w:val="00EB5CC1"/>
    <w:rsid w:val="00EB6322"/>
    <w:rsid w:val="00EB781A"/>
    <w:rsid w:val="00EB7ACF"/>
    <w:rsid w:val="00EC0BDB"/>
    <w:rsid w:val="00EC3B58"/>
    <w:rsid w:val="00EC4239"/>
    <w:rsid w:val="00EC4B31"/>
    <w:rsid w:val="00EC6009"/>
    <w:rsid w:val="00EC6B9A"/>
    <w:rsid w:val="00ED1B63"/>
    <w:rsid w:val="00ED2398"/>
    <w:rsid w:val="00ED2DBB"/>
    <w:rsid w:val="00ED37CF"/>
    <w:rsid w:val="00ED3B4B"/>
    <w:rsid w:val="00ED3CBF"/>
    <w:rsid w:val="00ED4AF4"/>
    <w:rsid w:val="00ED4FCB"/>
    <w:rsid w:val="00ED5C03"/>
    <w:rsid w:val="00ED5DD2"/>
    <w:rsid w:val="00ED6CAB"/>
    <w:rsid w:val="00ED6E9E"/>
    <w:rsid w:val="00ED777D"/>
    <w:rsid w:val="00EE001E"/>
    <w:rsid w:val="00EE1BE2"/>
    <w:rsid w:val="00EE223B"/>
    <w:rsid w:val="00EE3BAD"/>
    <w:rsid w:val="00EE3DF8"/>
    <w:rsid w:val="00EE4A5A"/>
    <w:rsid w:val="00EE50B5"/>
    <w:rsid w:val="00EE57A2"/>
    <w:rsid w:val="00EE582D"/>
    <w:rsid w:val="00EE6DD2"/>
    <w:rsid w:val="00EF2110"/>
    <w:rsid w:val="00EF2F11"/>
    <w:rsid w:val="00EF466D"/>
    <w:rsid w:val="00EF4707"/>
    <w:rsid w:val="00EF4F36"/>
    <w:rsid w:val="00EF6B0D"/>
    <w:rsid w:val="00F00216"/>
    <w:rsid w:val="00F0091A"/>
    <w:rsid w:val="00F013BE"/>
    <w:rsid w:val="00F0178A"/>
    <w:rsid w:val="00F01B86"/>
    <w:rsid w:val="00F02A5A"/>
    <w:rsid w:val="00F035F2"/>
    <w:rsid w:val="00F05CE9"/>
    <w:rsid w:val="00F06E2F"/>
    <w:rsid w:val="00F073C7"/>
    <w:rsid w:val="00F07A5F"/>
    <w:rsid w:val="00F10615"/>
    <w:rsid w:val="00F10882"/>
    <w:rsid w:val="00F12432"/>
    <w:rsid w:val="00F1397D"/>
    <w:rsid w:val="00F13B83"/>
    <w:rsid w:val="00F14483"/>
    <w:rsid w:val="00F1472D"/>
    <w:rsid w:val="00F176AC"/>
    <w:rsid w:val="00F213D0"/>
    <w:rsid w:val="00F247C5"/>
    <w:rsid w:val="00F251FF"/>
    <w:rsid w:val="00F27DE9"/>
    <w:rsid w:val="00F30240"/>
    <w:rsid w:val="00F3198D"/>
    <w:rsid w:val="00F31A66"/>
    <w:rsid w:val="00F31AB6"/>
    <w:rsid w:val="00F31EC0"/>
    <w:rsid w:val="00F3231C"/>
    <w:rsid w:val="00F3474F"/>
    <w:rsid w:val="00F34DB8"/>
    <w:rsid w:val="00F35406"/>
    <w:rsid w:val="00F35C59"/>
    <w:rsid w:val="00F360D1"/>
    <w:rsid w:val="00F367FA"/>
    <w:rsid w:val="00F40CC7"/>
    <w:rsid w:val="00F46700"/>
    <w:rsid w:val="00F47D39"/>
    <w:rsid w:val="00F50F20"/>
    <w:rsid w:val="00F51B37"/>
    <w:rsid w:val="00F5380A"/>
    <w:rsid w:val="00F54689"/>
    <w:rsid w:val="00F572BA"/>
    <w:rsid w:val="00F60312"/>
    <w:rsid w:val="00F6087D"/>
    <w:rsid w:val="00F61C42"/>
    <w:rsid w:val="00F61DA0"/>
    <w:rsid w:val="00F6368B"/>
    <w:rsid w:val="00F63710"/>
    <w:rsid w:val="00F6379F"/>
    <w:rsid w:val="00F63FB1"/>
    <w:rsid w:val="00F64E76"/>
    <w:rsid w:val="00F64F67"/>
    <w:rsid w:val="00F66D5D"/>
    <w:rsid w:val="00F67365"/>
    <w:rsid w:val="00F70736"/>
    <w:rsid w:val="00F708C2"/>
    <w:rsid w:val="00F71EE8"/>
    <w:rsid w:val="00F72618"/>
    <w:rsid w:val="00F72AB2"/>
    <w:rsid w:val="00F72DE4"/>
    <w:rsid w:val="00F7305A"/>
    <w:rsid w:val="00F744C3"/>
    <w:rsid w:val="00F758B2"/>
    <w:rsid w:val="00F76CF7"/>
    <w:rsid w:val="00F77242"/>
    <w:rsid w:val="00F775C3"/>
    <w:rsid w:val="00F7784A"/>
    <w:rsid w:val="00F817B6"/>
    <w:rsid w:val="00F82B83"/>
    <w:rsid w:val="00F8301B"/>
    <w:rsid w:val="00F83A05"/>
    <w:rsid w:val="00F85FA7"/>
    <w:rsid w:val="00F86045"/>
    <w:rsid w:val="00F86A28"/>
    <w:rsid w:val="00F86C7B"/>
    <w:rsid w:val="00F90A62"/>
    <w:rsid w:val="00F9139E"/>
    <w:rsid w:val="00F92485"/>
    <w:rsid w:val="00F92A5C"/>
    <w:rsid w:val="00F93456"/>
    <w:rsid w:val="00F94231"/>
    <w:rsid w:val="00F947A2"/>
    <w:rsid w:val="00F94C17"/>
    <w:rsid w:val="00F964B1"/>
    <w:rsid w:val="00F976B8"/>
    <w:rsid w:val="00F97971"/>
    <w:rsid w:val="00FA0F58"/>
    <w:rsid w:val="00FA3358"/>
    <w:rsid w:val="00FA3883"/>
    <w:rsid w:val="00FA4FB4"/>
    <w:rsid w:val="00FA6385"/>
    <w:rsid w:val="00FA6967"/>
    <w:rsid w:val="00FA69C6"/>
    <w:rsid w:val="00FB0574"/>
    <w:rsid w:val="00FB10E8"/>
    <w:rsid w:val="00FB1605"/>
    <w:rsid w:val="00FB1D03"/>
    <w:rsid w:val="00FB266F"/>
    <w:rsid w:val="00FB3795"/>
    <w:rsid w:val="00FB4245"/>
    <w:rsid w:val="00FB4443"/>
    <w:rsid w:val="00FB44F5"/>
    <w:rsid w:val="00FB588C"/>
    <w:rsid w:val="00FB5F61"/>
    <w:rsid w:val="00FB669A"/>
    <w:rsid w:val="00FB69A8"/>
    <w:rsid w:val="00FB6C79"/>
    <w:rsid w:val="00FC0082"/>
    <w:rsid w:val="00FC047B"/>
    <w:rsid w:val="00FC1022"/>
    <w:rsid w:val="00FC1836"/>
    <w:rsid w:val="00FC3828"/>
    <w:rsid w:val="00FC58BC"/>
    <w:rsid w:val="00FC724B"/>
    <w:rsid w:val="00FC7B3D"/>
    <w:rsid w:val="00FD02E9"/>
    <w:rsid w:val="00FD138A"/>
    <w:rsid w:val="00FD16F0"/>
    <w:rsid w:val="00FD2134"/>
    <w:rsid w:val="00FD266F"/>
    <w:rsid w:val="00FD2B87"/>
    <w:rsid w:val="00FD30FA"/>
    <w:rsid w:val="00FD42AC"/>
    <w:rsid w:val="00FD4410"/>
    <w:rsid w:val="00FD4699"/>
    <w:rsid w:val="00FD4DF2"/>
    <w:rsid w:val="00FD755B"/>
    <w:rsid w:val="00FE16B5"/>
    <w:rsid w:val="00FE279A"/>
    <w:rsid w:val="00FE284D"/>
    <w:rsid w:val="00FE3205"/>
    <w:rsid w:val="00FE38EF"/>
    <w:rsid w:val="00FE3E82"/>
    <w:rsid w:val="00FE3EF8"/>
    <w:rsid w:val="00FE4954"/>
    <w:rsid w:val="00FE4CC0"/>
    <w:rsid w:val="00FE66FB"/>
    <w:rsid w:val="00FE6F1B"/>
    <w:rsid w:val="00FF0A8F"/>
    <w:rsid w:val="00FF10ED"/>
    <w:rsid w:val="00FF1A4D"/>
    <w:rsid w:val="00FF2D04"/>
    <w:rsid w:val="00FF39F4"/>
    <w:rsid w:val="00FF4513"/>
    <w:rsid w:val="00FF4AB1"/>
    <w:rsid w:val="00FF4C06"/>
    <w:rsid w:val="00FF77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33DBC6C"/>
  <w15:chartTrackingRefBased/>
  <w15:docId w15:val="{D4AC332F-52EB-4E42-BEA6-784CCD34E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qFormat="1"/>
    <w:lsdException w:name="toc 4" w:semiHidden="1" w:unhideWhenUsed="1" w:qFormat="1"/>
    <w:lsdException w:name="toc 5" w:semiHidden="1" w:uiPriority="39" w:unhideWhenUsed="1"/>
    <w:lsdException w:name="toc 6" w:semiHidden="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4CB7"/>
    <w:rPr>
      <w:sz w:val="24"/>
      <w:szCs w:val="24"/>
    </w:rPr>
  </w:style>
  <w:style w:type="paragraph" w:styleId="Titolo1">
    <w:name w:val="heading 1"/>
    <w:aliases w:val="Titolo capitolo"/>
    <w:basedOn w:val="Normale"/>
    <w:next w:val="Normale"/>
    <w:link w:val="Titolo1Carattere"/>
    <w:qFormat/>
    <w:pPr>
      <w:keepNext/>
      <w:jc w:val="center"/>
      <w:outlineLvl w:val="0"/>
    </w:pPr>
    <w:rPr>
      <w:b/>
      <w:lang w:val="x-none" w:eastAsia="x-none"/>
    </w:rPr>
  </w:style>
  <w:style w:type="paragraph" w:styleId="Titolo2">
    <w:name w:val="heading 2"/>
    <w:basedOn w:val="Normale"/>
    <w:next w:val="Normale"/>
    <w:link w:val="Titolo2Carattere"/>
    <w:qFormat/>
    <w:pPr>
      <w:keepNext/>
      <w:outlineLvl w:val="1"/>
    </w:pPr>
    <w:rPr>
      <w:b/>
      <w:lang w:val="x-none" w:eastAsia="x-none"/>
    </w:rPr>
  </w:style>
  <w:style w:type="paragraph" w:styleId="Titolo3">
    <w:name w:val="heading 3"/>
    <w:basedOn w:val="Normale"/>
    <w:next w:val="Normale"/>
    <w:link w:val="Titolo3Carattere"/>
    <w:qFormat/>
    <w:pPr>
      <w:keepNext/>
      <w:outlineLvl w:val="2"/>
    </w:pPr>
    <w:rPr>
      <w:b/>
      <w:sz w:val="22"/>
      <w:lang w:val="x-none" w:eastAsia="x-none"/>
    </w:rPr>
  </w:style>
  <w:style w:type="paragraph" w:styleId="Titolo4">
    <w:name w:val="heading 4"/>
    <w:basedOn w:val="Normale"/>
    <w:next w:val="Normale"/>
    <w:link w:val="Titolo4Carattere"/>
    <w:qFormat/>
    <w:pPr>
      <w:keepNext/>
      <w:outlineLvl w:val="3"/>
    </w:pPr>
    <w:rPr>
      <w:rFonts w:ascii="Verdana" w:hAnsi="Verdana"/>
      <w:b/>
      <w:sz w:val="20"/>
      <w:lang w:val="x-none" w:eastAsia="x-none"/>
    </w:rPr>
  </w:style>
  <w:style w:type="paragraph" w:styleId="Titolo5">
    <w:name w:val="heading 5"/>
    <w:basedOn w:val="Normale"/>
    <w:next w:val="Normale"/>
    <w:link w:val="Titolo5Carattere"/>
    <w:qFormat/>
    <w:pPr>
      <w:keepNext/>
      <w:jc w:val="center"/>
      <w:outlineLvl w:val="4"/>
    </w:pPr>
    <w:rPr>
      <w:sz w:val="28"/>
      <w:lang w:val="x-none" w:eastAsia="x-none"/>
    </w:rPr>
  </w:style>
  <w:style w:type="paragraph" w:styleId="Titolo6">
    <w:name w:val="heading 6"/>
    <w:basedOn w:val="Normale"/>
    <w:next w:val="Normale"/>
    <w:link w:val="Titolo6Carattere"/>
    <w:qFormat/>
    <w:pPr>
      <w:keepNext/>
      <w:outlineLvl w:val="5"/>
    </w:pPr>
    <w:rPr>
      <w:rFonts w:ascii="Arial" w:hAnsi="Arial"/>
      <w:b/>
      <w:snapToGrid w:val="0"/>
      <w:color w:val="000000"/>
      <w:sz w:val="18"/>
      <w:lang w:val="x-none" w:eastAsia="x-none"/>
    </w:rPr>
  </w:style>
  <w:style w:type="paragraph" w:styleId="Titolo7">
    <w:name w:val="heading 7"/>
    <w:basedOn w:val="Normale"/>
    <w:next w:val="Normale"/>
    <w:link w:val="Titolo7Carattere"/>
    <w:uiPriority w:val="99"/>
    <w:qFormat/>
    <w:pPr>
      <w:keepNext/>
      <w:outlineLvl w:val="6"/>
    </w:pPr>
    <w:rPr>
      <w:rFonts w:ascii="Arial" w:hAnsi="Arial"/>
      <w:b/>
      <w:sz w:val="18"/>
      <w:lang w:val="x-none" w:eastAsia="x-none"/>
    </w:rPr>
  </w:style>
  <w:style w:type="paragraph" w:styleId="Titolo8">
    <w:name w:val="heading 8"/>
    <w:basedOn w:val="Normale"/>
    <w:next w:val="Normale"/>
    <w:link w:val="Titolo8Carattere"/>
    <w:uiPriority w:val="99"/>
    <w:qFormat/>
    <w:pPr>
      <w:keepNext/>
      <w:ind w:right="-1"/>
      <w:jc w:val="center"/>
      <w:outlineLvl w:val="7"/>
    </w:pPr>
    <w:rPr>
      <w:rFonts w:ascii="MyriadPro-It" w:hAnsi="MyriadPro-It"/>
      <w:snapToGrid w:val="0"/>
      <w:sz w:val="36"/>
      <w:lang w:val="x-none" w:eastAsia="x-none"/>
    </w:rPr>
  </w:style>
  <w:style w:type="paragraph" w:styleId="Titolo9">
    <w:name w:val="heading 9"/>
    <w:basedOn w:val="Normale"/>
    <w:next w:val="Normale"/>
    <w:link w:val="Titolo9Carattere"/>
    <w:uiPriority w:val="99"/>
    <w:qFormat/>
    <w:pPr>
      <w:keepNext/>
      <w:ind w:right="-1"/>
      <w:jc w:val="center"/>
      <w:outlineLvl w:val="8"/>
    </w:pPr>
    <w:rPr>
      <w:rFonts w:ascii="Arial" w:hAnsi="Arial"/>
      <w:b/>
      <w:snapToGrid w:val="0"/>
      <w:sz w:val="32"/>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link w:val="CorpotestoCarattere"/>
    <w:semiHidden/>
    <w:qFormat/>
    <w:rPr>
      <w:sz w:val="28"/>
      <w:lang w:val="x-none" w:eastAsia="x-none"/>
    </w:rPr>
  </w:style>
  <w:style w:type="paragraph" w:styleId="Corpodeltesto2">
    <w:name w:val="Body Text 2"/>
    <w:basedOn w:val="Normale"/>
    <w:link w:val="Corpodeltesto2Carattere"/>
    <w:uiPriority w:val="99"/>
    <w:semiHidden/>
    <w:qFormat/>
    <w:rPr>
      <w:sz w:val="26"/>
      <w:lang w:val="x-none" w:eastAsia="x-none"/>
    </w:rPr>
  </w:style>
  <w:style w:type="paragraph" w:styleId="Titolo">
    <w:name w:val="Title"/>
    <w:basedOn w:val="Normale"/>
    <w:link w:val="TitoloCarattere"/>
    <w:uiPriority w:val="99"/>
    <w:qFormat/>
    <w:pPr>
      <w:jc w:val="center"/>
    </w:pPr>
    <w:rPr>
      <w:i/>
      <w:sz w:val="26"/>
      <w:lang w:val="x-none" w:eastAsia="x-none"/>
    </w:rPr>
  </w:style>
  <w:style w:type="paragraph" w:styleId="Sottotitolo">
    <w:name w:val="Subtitle"/>
    <w:basedOn w:val="Normale"/>
    <w:link w:val="SottotitoloCarattere"/>
    <w:uiPriority w:val="99"/>
    <w:qFormat/>
    <w:pPr>
      <w:jc w:val="center"/>
    </w:pPr>
    <w:rPr>
      <w:b/>
      <w:sz w:val="32"/>
      <w:lang w:val="x-none" w:eastAsia="x-none"/>
    </w:rPr>
  </w:style>
  <w:style w:type="character" w:styleId="Collegamentoipertestuale">
    <w:name w:val="Hyperlink"/>
    <w:uiPriority w:val="99"/>
    <w:rPr>
      <w:color w:val="0000FF"/>
      <w:u w:val="single"/>
    </w:rPr>
  </w:style>
  <w:style w:type="paragraph" w:styleId="Mappadocumento">
    <w:name w:val="Document Map"/>
    <w:basedOn w:val="Normale"/>
    <w:link w:val="MappadocumentoCarattere"/>
    <w:uiPriority w:val="99"/>
    <w:semiHidden/>
    <w:qFormat/>
    <w:pPr>
      <w:shd w:val="clear" w:color="auto" w:fill="000080"/>
    </w:pPr>
    <w:rPr>
      <w:rFonts w:ascii="Tahoma" w:hAnsi="Tahoma"/>
      <w:lang w:val="x-none" w:eastAsia="x-none"/>
    </w:rPr>
  </w:style>
  <w:style w:type="paragraph" w:styleId="Intestazione">
    <w:name w:val="header"/>
    <w:basedOn w:val="Normale"/>
    <w:link w:val="IntestazioneCarattere"/>
    <w:uiPriority w:val="99"/>
    <w:qFormat/>
    <w:pPr>
      <w:tabs>
        <w:tab w:val="center" w:pos="4819"/>
        <w:tab w:val="right" w:pos="9638"/>
      </w:tabs>
    </w:pPr>
    <w:rPr>
      <w:lang w:val="x-none" w:eastAsia="x-none"/>
    </w:rPr>
  </w:style>
  <w:style w:type="paragraph" w:styleId="Pidipagina">
    <w:name w:val="footer"/>
    <w:basedOn w:val="Normale"/>
    <w:link w:val="PidipaginaCarattere"/>
    <w:uiPriority w:val="99"/>
    <w:qFormat/>
    <w:pPr>
      <w:tabs>
        <w:tab w:val="center" w:pos="4819"/>
        <w:tab w:val="right" w:pos="9638"/>
      </w:tabs>
    </w:pPr>
    <w:rPr>
      <w:lang w:val="x-none" w:eastAsia="x-none"/>
    </w:rPr>
  </w:style>
  <w:style w:type="paragraph" w:styleId="Corpodeltesto3">
    <w:name w:val="Body Text 3"/>
    <w:basedOn w:val="Normale"/>
    <w:link w:val="Corpodeltesto3Carattere"/>
    <w:uiPriority w:val="99"/>
    <w:qFormat/>
    <w:rPr>
      <w:i/>
      <w:lang w:val="x-none" w:eastAsia="x-none"/>
    </w:rPr>
  </w:style>
  <w:style w:type="paragraph" w:customStyle="1" w:styleId="S2">
    <w:name w:val="S2"/>
    <w:basedOn w:val="Normale"/>
    <w:autoRedefine/>
    <w:uiPriority w:val="99"/>
    <w:qFormat/>
    <w:pPr>
      <w:numPr>
        <w:ilvl w:val="1"/>
        <w:numId w:val="1"/>
      </w:numPr>
      <w:outlineLvl w:val="0"/>
    </w:pPr>
    <w:rPr>
      <w:rFonts w:ascii="Tempus Sans ITC" w:hAnsi="Tempus Sans ITC"/>
      <w:b/>
      <w:sz w:val="26"/>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qFormat/>
    <w:rPr>
      <w:sz w:val="20"/>
    </w:rPr>
  </w:style>
  <w:style w:type="character" w:styleId="Rimandonotaapidipagina">
    <w:name w:val="footnote reference"/>
    <w:uiPriority w:val="99"/>
    <w:semiHidden/>
    <w:rPr>
      <w:vertAlign w:val="superscript"/>
    </w:rPr>
  </w:style>
  <w:style w:type="paragraph" w:styleId="Testodelblocco">
    <w:name w:val="Block Text"/>
    <w:basedOn w:val="Normale"/>
    <w:uiPriority w:val="99"/>
    <w:semiHidden/>
    <w:qFormat/>
    <w:pPr>
      <w:ind w:left="-284" w:right="-285"/>
      <w:jc w:val="center"/>
    </w:pPr>
    <w:rPr>
      <w:rFonts w:ascii="Verdana" w:hAnsi="Verdana"/>
      <w:b/>
      <w:sz w:val="32"/>
    </w:rPr>
  </w:style>
  <w:style w:type="paragraph" w:customStyle="1" w:styleId="Tabella">
    <w:name w:val="Tabella"/>
    <w:basedOn w:val="Titolo2"/>
    <w:uiPriority w:val="99"/>
    <w:qFormat/>
    <w:pPr>
      <w:spacing w:before="120" w:after="60"/>
    </w:pPr>
    <w:rPr>
      <w:b w:val="0"/>
      <w:i/>
    </w:rPr>
  </w:style>
  <w:style w:type="paragraph" w:customStyle="1" w:styleId="xl41">
    <w:name w:val="xl41"/>
    <w:basedOn w:val="Normale"/>
    <w:uiPriority w:val="99"/>
    <w:qFormat/>
    <w:pPr>
      <w:spacing w:before="100" w:after="100"/>
    </w:pPr>
    <w:rPr>
      <w:rFonts w:eastAsia="Arial Unicode MS"/>
    </w:rPr>
  </w:style>
  <w:style w:type="paragraph" w:styleId="Didascalia">
    <w:name w:val="caption"/>
    <w:basedOn w:val="Normale"/>
    <w:next w:val="Normale"/>
    <w:uiPriority w:val="99"/>
    <w:qFormat/>
    <w:pPr>
      <w:spacing w:after="240"/>
    </w:pPr>
    <w:rPr>
      <w:i/>
      <w:sz w:val="20"/>
    </w:rPr>
  </w:style>
  <w:style w:type="paragraph" w:customStyle="1" w:styleId="Fonte">
    <w:name w:val="Fonte"/>
    <w:basedOn w:val="Didascalia"/>
    <w:uiPriority w:val="99"/>
    <w:qFormat/>
    <w:pPr>
      <w:spacing w:after="0"/>
    </w:pPr>
    <w:rPr>
      <w:i w:val="0"/>
      <w:sz w:val="18"/>
    </w:rPr>
  </w:style>
  <w:style w:type="paragraph" w:customStyle="1" w:styleId="Stile1">
    <w:name w:val="Stile1"/>
    <w:basedOn w:val="Normale"/>
    <w:uiPriority w:val="99"/>
    <w:qFormat/>
    <w:pPr>
      <w:spacing w:after="240"/>
    </w:pPr>
    <w:rPr>
      <w:rFonts w:ascii="Courier New" w:hAnsi="Courier New"/>
      <w:sz w:val="20"/>
    </w:rPr>
  </w:style>
  <w:style w:type="paragraph" w:styleId="Sommario4">
    <w:name w:val="toc 4"/>
    <w:basedOn w:val="Normale"/>
    <w:next w:val="Normale"/>
    <w:autoRedefine/>
    <w:uiPriority w:val="99"/>
    <w:semiHidden/>
    <w:qFormat/>
    <w:pPr>
      <w:spacing w:after="240"/>
      <w:ind w:left="720"/>
    </w:pPr>
  </w:style>
  <w:style w:type="paragraph" w:styleId="Sommario6">
    <w:name w:val="toc 6"/>
    <w:basedOn w:val="Normale"/>
    <w:next w:val="Normale"/>
    <w:autoRedefine/>
    <w:uiPriority w:val="99"/>
    <w:semiHidden/>
    <w:qFormat/>
    <w:pPr>
      <w:spacing w:after="240"/>
      <w:ind w:left="1200"/>
    </w:pPr>
  </w:style>
  <w:style w:type="paragraph" w:styleId="Sommario3">
    <w:name w:val="toc 3"/>
    <w:basedOn w:val="Normale"/>
    <w:next w:val="Normale"/>
    <w:autoRedefine/>
    <w:uiPriority w:val="99"/>
    <w:semiHidden/>
    <w:qFormat/>
    <w:pPr>
      <w:spacing w:after="240"/>
      <w:ind w:left="480"/>
    </w:pPr>
  </w:style>
  <w:style w:type="paragraph" w:customStyle="1" w:styleId="StileStileStileTitolo114pt12pt">
    <w:name w:val="Stile Stile Stile Titolo 1 + + 14 pt + 12 pt"/>
    <w:basedOn w:val="Normale"/>
    <w:autoRedefine/>
    <w:uiPriority w:val="99"/>
    <w:qFormat/>
    <w:rsid w:val="00B844F4"/>
    <w:pPr>
      <w:keepNext/>
      <w:spacing w:line="360" w:lineRule="auto"/>
      <w:ind w:firstLine="708"/>
      <w:outlineLvl w:val="0"/>
    </w:pPr>
    <w:rPr>
      <w:rFonts w:ascii="Tahoma" w:hAnsi="Tahoma"/>
      <w:sz w:val="28"/>
    </w:rPr>
  </w:style>
  <w:style w:type="character" w:customStyle="1" w:styleId="RientrocorpodeltestoCarattere">
    <w:name w:val="Rientro corpo del testo Carattere"/>
    <w:link w:val="Rientrocorpodeltesto"/>
    <w:uiPriority w:val="99"/>
    <w:semiHidden/>
    <w:rsid w:val="00B844F4"/>
    <w:rPr>
      <w:sz w:val="24"/>
      <w:szCs w:val="24"/>
    </w:rPr>
  </w:style>
  <w:style w:type="paragraph" w:styleId="Rientrocorpodeltesto">
    <w:name w:val="Body Text Indent"/>
    <w:basedOn w:val="Normale"/>
    <w:link w:val="RientrocorpodeltestoCarattere"/>
    <w:uiPriority w:val="99"/>
    <w:semiHidden/>
    <w:qFormat/>
    <w:rsid w:val="00B844F4"/>
    <w:pPr>
      <w:ind w:left="708"/>
    </w:pPr>
    <w:rPr>
      <w:lang w:val="x-none" w:eastAsia="x-none"/>
    </w:rPr>
  </w:style>
  <w:style w:type="character" w:customStyle="1" w:styleId="Rientrocorpodeltesto2Carattere">
    <w:name w:val="Rientro corpo del testo 2 Carattere"/>
    <w:link w:val="Rientrocorpodeltesto2"/>
    <w:uiPriority w:val="99"/>
    <w:semiHidden/>
    <w:rsid w:val="00B844F4"/>
    <w:rPr>
      <w:rFonts w:ascii="Tahoma" w:hAnsi="Tahoma"/>
      <w:b/>
      <w:sz w:val="32"/>
      <w:szCs w:val="24"/>
    </w:rPr>
  </w:style>
  <w:style w:type="paragraph" w:styleId="Rientrocorpodeltesto2">
    <w:name w:val="Body Text Indent 2"/>
    <w:basedOn w:val="Normale"/>
    <w:link w:val="Rientrocorpodeltesto2Carattere"/>
    <w:uiPriority w:val="99"/>
    <w:semiHidden/>
    <w:qFormat/>
    <w:rsid w:val="00B844F4"/>
    <w:pPr>
      <w:widowControl w:val="0"/>
      <w:spacing w:line="360" w:lineRule="auto"/>
      <w:ind w:left="-840"/>
    </w:pPr>
    <w:rPr>
      <w:rFonts w:ascii="Tahoma" w:hAnsi="Tahoma"/>
      <w:b/>
      <w:sz w:val="32"/>
      <w:lang w:val="x-none" w:eastAsia="x-none"/>
    </w:rPr>
  </w:style>
  <w:style w:type="character" w:customStyle="1" w:styleId="Rientrocorpodeltesto3Carattere">
    <w:name w:val="Rientro corpo del testo 3 Carattere"/>
    <w:link w:val="Rientrocorpodeltesto3"/>
    <w:uiPriority w:val="99"/>
    <w:semiHidden/>
    <w:rsid w:val="00B844F4"/>
    <w:rPr>
      <w:rFonts w:ascii="Tahoma" w:hAnsi="Tahoma"/>
      <w:sz w:val="28"/>
      <w:szCs w:val="24"/>
    </w:rPr>
  </w:style>
  <w:style w:type="paragraph" w:styleId="Rientrocorpodeltesto3">
    <w:name w:val="Body Text Indent 3"/>
    <w:basedOn w:val="Normale"/>
    <w:link w:val="Rientrocorpodeltesto3Carattere"/>
    <w:uiPriority w:val="99"/>
    <w:semiHidden/>
    <w:qFormat/>
    <w:rsid w:val="00B844F4"/>
    <w:pPr>
      <w:ind w:left="708"/>
    </w:pPr>
    <w:rPr>
      <w:rFonts w:ascii="Tahoma" w:hAnsi="Tahoma"/>
      <w:sz w:val="28"/>
      <w:lang w:val="x-none" w:eastAsia="x-none"/>
    </w:rPr>
  </w:style>
  <w:style w:type="paragraph" w:customStyle="1" w:styleId="Rientrolettere">
    <w:name w:val="Rientro lettere"/>
    <w:basedOn w:val="Normale"/>
    <w:uiPriority w:val="99"/>
    <w:qFormat/>
    <w:rsid w:val="00B844F4"/>
    <w:pPr>
      <w:numPr>
        <w:numId w:val="2"/>
      </w:numPr>
    </w:pPr>
    <w:rPr>
      <w:sz w:val="20"/>
    </w:rPr>
  </w:style>
  <w:style w:type="paragraph" w:customStyle="1" w:styleId="Grigliachiara-Colore32">
    <w:name w:val="Griglia chiara - Colore 32"/>
    <w:basedOn w:val="Normale"/>
    <w:qFormat/>
    <w:rsid w:val="00B844F4"/>
    <w:pPr>
      <w:spacing w:after="200" w:line="276" w:lineRule="auto"/>
      <w:ind w:left="720"/>
    </w:pPr>
    <w:rPr>
      <w:rFonts w:ascii="Calibri" w:eastAsia="Calibri" w:hAnsi="Calibri"/>
      <w:sz w:val="22"/>
    </w:rPr>
  </w:style>
  <w:style w:type="character" w:customStyle="1" w:styleId="TestofumettoCarattere">
    <w:name w:val="Testo fumetto Carattere"/>
    <w:link w:val="Testofumetto"/>
    <w:uiPriority w:val="99"/>
    <w:semiHidden/>
    <w:rsid w:val="00B844F4"/>
    <w:rPr>
      <w:rFonts w:ascii="Tahoma" w:hAnsi="Tahoma"/>
      <w:sz w:val="16"/>
      <w:szCs w:val="16"/>
      <w:lang w:val="x-none" w:eastAsia="x-none"/>
    </w:rPr>
  </w:style>
  <w:style w:type="paragraph" w:styleId="Testofumetto">
    <w:name w:val="Balloon Text"/>
    <w:basedOn w:val="Normale"/>
    <w:link w:val="TestofumettoCarattere"/>
    <w:uiPriority w:val="99"/>
    <w:semiHidden/>
    <w:unhideWhenUsed/>
    <w:qFormat/>
    <w:rsid w:val="00B844F4"/>
    <w:rPr>
      <w:rFonts w:ascii="Tahoma" w:hAnsi="Tahoma"/>
      <w:sz w:val="16"/>
      <w:szCs w:val="16"/>
      <w:lang w:val="x-none" w:eastAsia="x-none"/>
    </w:rPr>
  </w:style>
  <w:style w:type="character" w:customStyle="1" w:styleId="style132">
    <w:name w:val="style132"/>
    <w:rsid w:val="00B844F4"/>
  </w:style>
  <w:style w:type="paragraph" w:styleId="NormaleWeb">
    <w:name w:val="Normal (Web)"/>
    <w:basedOn w:val="Normale"/>
    <w:uiPriority w:val="99"/>
    <w:unhideWhenUsed/>
    <w:qFormat/>
    <w:rsid w:val="00B844F4"/>
    <w:pPr>
      <w:spacing w:before="100" w:beforeAutospacing="1" w:after="100" w:afterAutospacing="1"/>
    </w:p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link w:val="Testonotaapidipagina"/>
    <w:uiPriority w:val="99"/>
    <w:rsid w:val="00991118"/>
  </w:style>
  <w:style w:type="character" w:customStyle="1" w:styleId="tabitem">
    <w:name w:val="tab item"/>
    <w:rsid w:val="00991118"/>
    <w:rPr>
      <w:rFonts w:ascii="Courier New" w:hAnsi="Courier New" w:cs="Courier New"/>
    </w:rPr>
  </w:style>
  <w:style w:type="paragraph" w:customStyle="1" w:styleId="IsnartTabitem">
    <w:name w:val="Isnart Tab item"/>
    <w:basedOn w:val="Normale"/>
    <w:uiPriority w:val="99"/>
    <w:qFormat/>
    <w:rsid w:val="00991118"/>
    <w:pPr>
      <w:spacing w:before="60" w:after="60"/>
    </w:pPr>
    <w:rPr>
      <w:rFonts w:ascii="Arial Narrow" w:hAnsi="Arial Narrow"/>
      <w:color w:val="000000"/>
    </w:rPr>
  </w:style>
  <w:style w:type="character" w:customStyle="1" w:styleId="IntestazioneCarattere">
    <w:name w:val="Intestazione Carattere"/>
    <w:link w:val="Intestazione"/>
    <w:uiPriority w:val="99"/>
    <w:rsid w:val="0014309F"/>
    <w:rPr>
      <w:sz w:val="24"/>
    </w:rPr>
  </w:style>
  <w:style w:type="character" w:customStyle="1" w:styleId="PidipaginaCarattere">
    <w:name w:val="Piè di pagina Carattere"/>
    <w:link w:val="Pidipagina"/>
    <w:uiPriority w:val="99"/>
    <w:rsid w:val="0014309F"/>
    <w:rPr>
      <w:sz w:val="24"/>
    </w:rPr>
  </w:style>
  <w:style w:type="character" w:styleId="Rimandocommento">
    <w:name w:val="annotation reference"/>
    <w:uiPriority w:val="99"/>
    <w:semiHidden/>
    <w:unhideWhenUsed/>
    <w:rsid w:val="00AC06BE"/>
    <w:rPr>
      <w:sz w:val="16"/>
      <w:szCs w:val="16"/>
    </w:rPr>
  </w:style>
  <w:style w:type="paragraph" w:styleId="Testocommento">
    <w:name w:val="annotation text"/>
    <w:basedOn w:val="Normale"/>
    <w:link w:val="TestocommentoCarattere"/>
    <w:uiPriority w:val="99"/>
    <w:semiHidden/>
    <w:unhideWhenUsed/>
    <w:qFormat/>
    <w:rsid w:val="00AC06BE"/>
    <w:rPr>
      <w:sz w:val="20"/>
    </w:rPr>
  </w:style>
  <w:style w:type="character" w:customStyle="1" w:styleId="TestocommentoCarattere">
    <w:name w:val="Testo commento Carattere"/>
    <w:basedOn w:val="Carpredefinitoparagrafo"/>
    <w:link w:val="Testocommento"/>
    <w:uiPriority w:val="99"/>
    <w:semiHidden/>
    <w:rsid w:val="00AC06BE"/>
  </w:style>
  <w:style w:type="paragraph" w:styleId="Soggettocommento">
    <w:name w:val="annotation subject"/>
    <w:basedOn w:val="Testocommento"/>
    <w:next w:val="Testocommento"/>
    <w:link w:val="SoggettocommentoCarattere"/>
    <w:uiPriority w:val="99"/>
    <w:semiHidden/>
    <w:unhideWhenUsed/>
    <w:qFormat/>
    <w:rsid w:val="00AC06BE"/>
    <w:rPr>
      <w:b/>
      <w:bCs/>
      <w:lang w:val="x-none" w:eastAsia="x-none"/>
    </w:rPr>
  </w:style>
  <w:style w:type="character" w:customStyle="1" w:styleId="SoggettocommentoCarattere">
    <w:name w:val="Soggetto commento Carattere"/>
    <w:link w:val="Soggettocommento"/>
    <w:uiPriority w:val="99"/>
    <w:semiHidden/>
    <w:rsid w:val="00AC06BE"/>
    <w:rPr>
      <w:b/>
      <w:bCs/>
    </w:rPr>
  </w:style>
  <w:style w:type="paragraph" w:customStyle="1" w:styleId="Default">
    <w:name w:val="Default"/>
    <w:uiPriority w:val="99"/>
    <w:qFormat/>
    <w:rsid w:val="004332DC"/>
    <w:pPr>
      <w:autoSpaceDE w:val="0"/>
      <w:autoSpaceDN w:val="0"/>
      <w:adjustRightInd w:val="0"/>
    </w:pPr>
    <w:rPr>
      <w:rFonts w:ascii="Calibri" w:hAnsi="Calibri" w:cs="Calibri"/>
      <w:color w:val="000000"/>
      <w:sz w:val="24"/>
      <w:szCs w:val="24"/>
    </w:rPr>
  </w:style>
  <w:style w:type="paragraph" w:customStyle="1" w:styleId="Sfondoacolori-Colore12">
    <w:name w:val="Sfondo a colori - Colore 12"/>
    <w:hidden/>
    <w:uiPriority w:val="99"/>
    <w:semiHidden/>
    <w:rsid w:val="00982F76"/>
    <w:rPr>
      <w:sz w:val="24"/>
    </w:rPr>
  </w:style>
  <w:style w:type="numbering" w:customStyle="1" w:styleId="Nessunelenco1">
    <w:name w:val="Nessun elenco1"/>
    <w:next w:val="Nessunelenco"/>
    <w:semiHidden/>
    <w:rsid w:val="005B0632"/>
  </w:style>
  <w:style w:type="character" w:customStyle="1" w:styleId="TestonotaapidipaginaCarattere1">
    <w:name w:val="Testo nota a piè di pagina Carattere1"/>
    <w:aliases w:val="Footnote Carattere1,Footnote1 Carattere1,Footnote2 Carattere1,Footnote3 Carattere1,Footnote4 Carattere1,Footnote5 Carattere1,Footnote6 Carattere1,Footnote7 Carattere1,Footnote8 Carattere1,Footnote9 Carattere1"/>
    <w:uiPriority w:val="99"/>
    <w:rsid w:val="005B0632"/>
    <w:rPr>
      <w:lang w:val="it-IT" w:eastAsia="it-IT" w:bidi="ar-SA"/>
    </w:rPr>
  </w:style>
  <w:style w:type="character" w:customStyle="1" w:styleId="Titolo2Carattere">
    <w:name w:val="Titolo 2 Carattere"/>
    <w:link w:val="Titolo2"/>
    <w:rsid w:val="005B0632"/>
    <w:rPr>
      <w:b/>
      <w:sz w:val="24"/>
    </w:rPr>
  </w:style>
  <w:style w:type="paragraph" w:styleId="Nessunaspaziatura">
    <w:name w:val="No Spacing"/>
    <w:uiPriority w:val="1"/>
    <w:qFormat/>
    <w:rsid w:val="005B0632"/>
    <w:rPr>
      <w:sz w:val="24"/>
      <w:szCs w:val="24"/>
    </w:rPr>
  </w:style>
  <w:style w:type="character" w:customStyle="1" w:styleId="xtd-normal">
    <w:name w:val="xtd-normal"/>
    <w:basedOn w:val="Carpredefinitoparagrafo"/>
    <w:rsid w:val="005B0632"/>
  </w:style>
  <w:style w:type="character" w:customStyle="1" w:styleId="testoapp">
    <w:name w:val="testo_app"/>
    <w:basedOn w:val="Carpredefinitoparagrafo"/>
    <w:rsid w:val="005B0632"/>
  </w:style>
  <w:style w:type="character" w:customStyle="1" w:styleId="Titolo1Carattere">
    <w:name w:val="Titolo 1 Carattere"/>
    <w:aliases w:val="Titolo capitolo Carattere"/>
    <w:link w:val="Titolo1"/>
    <w:rsid w:val="005765D3"/>
    <w:rPr>
      <w:b/>
      <w:sz w:val="24"/>
    </w:rPr>
  </w:style>
  <w:style w:type="character" w:customStyle="1" w:styleId="Titolo3Carattere">
    <w:name w:val="Titolo 3 Carattere"/>
    <w:link w:val="Titolo3"/>
    <w:rsid w:val="005765D3"/>
    <w:rPr>
      <w:b/>
      <w:sz w:val="22"/>
    </w:rPr>
  </w:style>
  <w:style w:type="character" w:customStyle="1" w:styleId="Titolo7Carattere">
    <w:name w:val="Titolo 7 Carattere"/>
    <w:link w:val="Titolo7"/>
    <w:uiPriority w:val="99"/>
    <w:rsid w:val="005765D3"/>
    <w:rPr>
      <w:rFonts w:ascii="Arial" w:hAnsi="Arial"/>
      <w:b/>
      <w:sz w:val="18"/>
    </w:rPr>
  </w:style>
  <w:style w:type="character" w:customStyle="1" w:styleId="Titolo8Carattere">
    <w:name w:val="Titolo 8 Carattere"/>
    <w:link w:val="Titolo8"/>
    <w:uiPriority w:val="99"/>
    <w:rsid w:val="005765D3"/>
    <w:rPr>
      <w:rFonts w:ascii="MyriadPro-It" w:hAnsi="MyriadPro-It"/>
      <w:snapToGrid w:val="0"/>
      <w:sz w:val="36"/>
    </w:rPr>
  </w:style>
  <w:style w:type="character" w:customStyle="1" w:styleId="Titolo9Carattere">
    <w:name w:val="Titolo 9 Carattere"/>
    <w:link w:val="Titolo9"/>
    <w:uiPriority w:val="99"/>
    <w:rsid w:val="005765D3"/>
    <w:rPr>
      <w:rFonts w:ascii="Arial" w:hAnsi="Arial"/>
      <w:b/>
      <w:snapToGrid w:val="0"/>
      <w:sz w:val="32"/>
    </w:rPr>
  </w:style>
  <w:style w:type="character" w:customStyle="1" w:styleId="CorpotestoCarattere">
    <w:name w:val="Corpo testo Carattere"/>
    <w:aliases w:val="Text Carattere1,bt Carattere1,BODY TEXT Carattere1,body text Carattere1,t Carattere1,Block text Carattere1,heading_txt Carattere1,bodytxy2 Carattere1,Para Carattere1,EHPT Carattere1,Body Text2 Carattere1,bt1 Carattere1,BT Carattere"/>
    <w:link w:val="Corpotesto"/>
    <w:semiHidden/>
    <w:rsid w:val="005765D3"/>
    <w:rPr>
      <w:sz w:val="28"/>
    </w:rPr>
  </w:style>
  <w:style w:type="character" w:customStyle="1" w:styleId="Corpodeltesto2Carattere">
    <w:name w:val="Corpo del testo 2 Carattere"/>
    <w:link w:val="Corpodeltesto2"/>
    <w:uiPriority w:val="99"/>
    <w:semiHidden/>
    <w:rsid w:val="005765D3"/>
    <w:rPr>
      <w:sz w:val="26"/>
    </w:rPr>
  </w:style>
  <w:style w:type="character" w:customStyle="1" w:styleId="TitoloCarattere">
    <w:name w:val="Titolo Carattere"/>
    <w:link w:val="Titolo"/>
    <w:uiPriority w:val="99"/>
    <w:rsid w:val="005765D3"/>
    <w:rPr>
      <w:i/>
      <w:sz w:val="26"/>
    </w:rPr>
  </w:style>
  <w:style w:type="character" w:customStyle="1" w:styleId="SottotitoloCarattere">
    <w:name w:val="Sottotitolo Carattere"/>
    <w:link w:val="Sottotitolo"/>
    <w:uiPriority w:val="99"/>
    <w:rsid w:val="005765D3"/>
    <w:rPr>
      <w:b/>
      <w:sz w:val="32"/>
    </w:rPr>
  </w:style>
  <w:style w:type="character" w:customStyle="1" w:styleId="MappadocumentoCarattere">
    <w:name w:val="Mappa documento Carattere"/>
    <w:link w:val="Mappadocumento"/>
    <w:uiPriority w:val="99"/>
    <w:semiHidden/>
    <w:rsid w:val="005765D3"/>
    <w:rPr>
      <w:rFonts w:ascii="Tahoma" w:hAnsi="Tahoma"/>
      <w:sz w:val="24"/>
      <w:shd w:val="clear" w:color="auto" w:fill="000080"/>
    </w:rPr>
  </w:style>
  <w:style w:type="character" w:customStyle="1" w:styleId="Corpodeltesto3Carattere">
    <w:name w:val="Corpo del testo 3 Carattere"/>
    <w:link w:val="Corpodeltesto3"/>
    <w:uiPriority w:val="99"/>
    <w:rsid w:val="005765D3"/>
    <w:rPr>
      <w:i/>
      <w:sz w:val="24"/>
    </w:rPr>
  </w:style>
  <w:style w:type="character" w:customStyle="1" w:styleId="RientrocorpodeltestoCarattere1">
    <w:name w:val="Rientro corpo del testo Carattere1"/>
    <w:uiPriority w:val="99"/>
    <w:semiHidden/>
    <w:rsid w:val="005765D3"/>
    <w:rPr>
      <w:sz w:val="24"/>
    </w:rPr>
  </w:style>
  <w:style w:type="character" w:customStyle="1" w:styleId="Rientrocorpodeltesto2Carattere1">
    <w:name w:val="Rientro corpo del testo 2 Carattere1"/>
    <w:uiPriority w:val="99"/>
    <w:semiHidden/>
    <w:rsid w:val="005765D3"/>
    <w:rPr>
      <w:sz w:val="24"/>
    </w:rPr>
  </w:style>
  <w:style w:type="character" w:customStyle="1" w:styleId="Rientrocorpodeltesto3Carattere1">
    <w:name w:val="Rientro corpo del testo 3 Carattere1"/>
    <w:uiPriority w:val="99"/>
    <w:semiHidden/>
    <w:rsid w:val="005765D3"/>
    <w:rPr>
      <w:sz w:val="16"/>
      <w:szCs w:val="16"/>
    </w:rPr>
  </w:style>
  <w:style w:type="character" w:customStyle="1" w:styleId="TestofumettoCarattere1">
    <w:name w:val="Testo fumetto Carattere1"/>
    <w:uiPriority w:val="99"/>
    <w:semiHidden/>
    <w:rsid w:val="005765D3"/>
    <w:rPr>
      <w:rFonts w:ascii="Segoe UI" w:hAnsi="Segoe UI" w:cs="Segoe UI"/>
      <w:sz w:val="18"/>
      <w:szCs w:val="18"/>
    </w:rPr>
  </w:style>
  <w:style w:type="character" w:customStyle="1" w:styleId="apple-converted-space">
    <w:name w:val="apple-converted-space"/>
    <w:rsid w:val="005765D3"/>
  </w:style>
  <w:style w:type="paragraph" w:styleId="Revisione">
    <w:name w:val="Revision"/>
    <w:hidden/>
    <w:uiPriority w:val="99"/>
    <w:semiHidden/>
    <w:qFormat/>
    <w:rsid w:val="005765D3"/>
    <w:rPr>
      <w:sz w:val="24"/>
    </w:rPr>
  </w:style>
  <w:style w:type="character" w:styleId="Collegamentovisitato">
    <w:name w:val="FollowedHyperlink"/>
    <w:uiPriority w:val="99"/>
    <w:semiHidden/>
    <w:unhideWhenUsed/>
    <w:rsid w:val="008358D9"/>
    <w:rPr>
      <w:color w:val="954F72"/>
      <w:u w:val="single"/>
    </w:rPr>
  </w:style>
  <w:style w:type="paragraph" w:customStyle="1" w:styleId="Grigliachiara-Colore31">
    <w:name w:val="Griglia chiara - Colore 31"/>
    <w:basedOn w:val="Normale"/>
    <w:uiPriority w:val="99"/>
    <w:qFormat/>
    <w:rsid w:val="00D97E0B"/>
    <w:pPr>
      <w:spacing w:after="200" w:line="276" w:lineRule="auto"/>
      <w:ind w:left="720"/>
    </w:pPr>
    <w:rPr>
      <w:rFonts w:ascii="Calibri" w:eastAsia="Calibri" w:hAnsi="Calibri"/>
      <w:sz w:val="22"/>
    </w:rPr>
  </w:style>
  <w:style w:type="paragraph" w:customStyle="1" w:styleId="Sfondoacolori-Colore11">
    <w:name w:val="Sfondo a colori - Colore 11"/>
    <w:hidden/>
    <w:uiPriority w:val="99"/>
    <w:semiHidden/>
    <w:qFormat/>
    <w:rsid w:val="00D97E0B"/>
    <w:rPr>
      <w:sz w:val="24"/>
    </w:rPr>
  </w:style>
  <w:style w:type="character" w:styleId="Menzionenonrisolta">
    <w:name w:val="Unresolved Mention"/>
    <w:uiPriority w:val="99"/>
    <w:semiHidden/>
    <w:unhideWhenUsed/>
    <w:rsid w:val="00D97E0B"/>
    <w:rPr>
      <w:color w:val="605E5C"/>
      <w:shd w:val="clear" w:color="auto" w:fill="E1DFDD"/>
    </w:rPr>
  </w:style>
  <w:style w:type="paragraph" w:customStyle="1" w:styleId="1">
    <w:name w:val="1"/>
    <w:basedOn w:val="Normale"/>
    <w:next w:val="Corpotesto"/>
    <w:link w:val="CorpodeltestoCarattere"/>
    <w:rsid w:val="000C3EE4"/>
    <w:rPr>
      <w:sz w:val="28"/>
    </w:rPr>
  </w:style>
  <w:style w:type="character" w:customStyle="1" w:styleId="CorpodeltestoCarattere">
    <w:name w:val="Corpo del testo Carattere"/>
    <w:aliases w:val="Text Carattere,bt Carattere,BODY TEXT Carattere,body text Carattere,t Carattere,Block text Carattere,heading_txt Carattere,bodytxy2 Carattere,Para Carattere,EHPT Carattere,Body Text2 Carattere,bt1 Carattere,bodytext Carattere"/>
    <w:link w:val="1"/>
    <w:rsid w:val="000C3EE4"/>
    <w:rPr>
      <w:sz w:val="28"/>
    </w:rPr>
  </w:style>
  <w:style w:type="character" w:customStyle="1" w:styleId="Menzionenonrisolta1">
    <w:name w:val="Menzione non risolta1"/>
    <w:uiPriority w:val="99"/>
    <w:semiHidden/>
    <w:unhideWhenUsed/>
    <w:rsid w:val="000C3EE4"/>
    <w:rPr>
      <w:color w:val="605E5C"/>
      <w:shd w:val="clear" w:color="auto" w:fill="E1DFDD"/>
    </w:rPr>
  </w:style>
  <w:style w:type="character" w:customStyle="1" w:styleId="Titolo1Carattere1">
    <w:name w:val="Titolo 1 Carattere1"/>
    <w:aliases w:val="Titolo capitolo Carattere1"/>
    <w:rsid w:val="00DF30BC"/>
    <w:rPr>
      <w:rFonts w:ascii="Calibri Light" w:eastAsia="Times New Roman" w:hAnsi="Calibri Light" w:cs="Times New Roman"/>
      <w:color w:val="2F5496"/>
      <w:sz w:val="32"/>
      <w:szCs w:val="32"/>
    </w:rPr>
  </w:style>
  <w:style w:type="paragraph" w:customStyle="1" w:styleId="msonormal0">
    <w:name w:val="msonormal"/>
    <w:basedOn w:val="Normale"/>
    <w:uiPriority w:val="99"/>
    <w:semiHidden/>
    <w:qFormat/>
    <w:rsid w:val="00DF30BC"/>
    <w:pPr>
      <w:spacing w:before="100" w:beforeAutospacing="1" w:after="100" w:afterAutospacing="1"/>
    </w:pPr>
  </w:style>
  <w:style w:type="paragraph" w:customStyle="1" w:styleId="Stile7">
    <w:name w:val="Stile7"/>
    <w:basedOn w:val="Didascalia"/>
    <w:next w:val="Normale"/>
    <w:uiPriority w:val="99"/>
    <w:semiHidden/>
    <w:qFormat/>
    <w:rsid w:val="00DF30BC"/>
    <w:pPr>
      <w:spacing w:after="0"/>
    </w:pPr>
    <w:rPr>
      <w:b/>
      <w:bCs/>
      <w:i w:val="0"/>
    </w:rPr>
  </w:style>
  <w:style w:type="paragraph" w:customStyle="1" w:styleId="Testo">
    <w:name w:val="Testo"/>
    <w:basedOn w:val="Corpotesto"/>
    <w:uiPriority w:val="99"/>
    <w:semiHidden/>
    <w:qFormat/>
    <w:rsid w:val="00DF30BC"/>
    <w:pPr>
      <w:spacing w:line="360" w:lineRule="auto"/>
      <w:jc w:val="both"/>
    </w:pPr>
    <w:rPr>
      <w:rFonts w:ascii="Trebuchet MS" w:hAnsi="Trebuchet M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196">
      <w:bodyDiv w:val="1"/>
      <w:marLeft w:val="0"/>
      <w:marRight w:val="0"/>
      <w:marTop w:val="0"/>
      <w:marBottom w:val="0"/>
      <w:divBdr>
        <w:top w:val="none" w:sz="0" w:space="0" w:color="auto"/>
        <w:left w:val="none" w:sz="0" w:space="0" w:color="auto"/>
        <w:bottom w:val="none" w:sz="0" w:space="0" w:color="auto"/>
        <w:right w:val="none" w:sz="0" w:space="0" w:color="auto"/>
      </w:divBdr>
    </w:div>
    <w:div w:id="61173299">
      <w:bodyDiv w:val="1"/>
      <w:marLeft w:val="0"/>
      <w:marRight w:val="0"/>
      <w:marTop w:val="0"/>
      <w:marBottom w:val="0"/>
      <w:divBdr>
        <w:top w:val="none" w:sz="0" w:space="0" w:color="auto"/>
        <w:left w:val="none" w:sz="0" w:space="0" w:color="auto"/>
        <w:bottom w:val="none" w:sz="0" w:space="0" w:color="auto"/>
        <w:right w:val="none" w:sz="0" w:space="0" w:color="auto"/>
      </w:divBdr>
    </w:div>
    <w:div w:id="68431857">
      <w:bodyDiv w:val="1"/>
      <w:marLeft w:val="0"/>
      <w:marRight w:val="0"/>
      <w:marTop w:val="0"/>
      <w:marBottom w:val="0"/>
      <w:divBdr>
        <w:top w:val="none" w:sz="0" w:space="0" w:color="auto"/>
        <w:left w:val="none" w:sz="0" w:space="0" w:color="auto"/>
        <w:bottom w:val="none" w:sz="0" w:space="0" w:color="auto"/>
        <w:right w:val="none" w:sz="0" w:space="0" w:color="auto"/>
      </w:divBdr>
    </w:div>
    <w:div w:id="93982762">
      <w:bodyDiv w:val="1"/>
      <w:marLeft w:val="0"/>
      <w:marRight w:val="0"/>
      <w:marTop w:val="0"/>
      <w:marBottom w:val="0"/>
      <w:divBdr>
        <w:top w:val="none" w:sz="0" w:space="0" w:color="auto"/>
        <w:left w:val="none" w:sz="0" w:space="0" w:color="auto"/>
        <w:bottom w:val="none" w:sz="0" w:space="0" w:color="auto"/>
        <w:right w:val="none" w:sz="0" w:space="0" w:color="auto"/>
      </w:divBdr>
    </w:div>
    <w:div w:id="148718274">
      <w:bodyDiv w:val="1"/>
      <w:marLeft w:val="0"/>
      <w:marRight w:val="0"/>
      <w:marTop w:val="0"/>
      <w:marBottom w:val="0"/>
      <w:divBdr>
        <w:top w:val="none" w:sz="0" w:space="0" w:color="auto"/>
        <w:left w:val="none" w:sz="0" w:space="0" w:color="auto"/>
        <w:bottom w:val="none" w:sz="0" w:space="0" w:color="auto"/>
        <w:right w:val="none" w:sz="0" w:space="0" w:color="auto"/>
      </w:divBdr>
    </w:div>
    <w:div w:id="151676983">
      <w:bodyDiv w:val="1"/>
      <w:marLeft w:val="0"/>
      <w:marRight w:val="0"/>
      <w:marTop w:val="0"/>
      <w:marBottom w:val="0"/>
      <w:divBdr>
        <w:top w:val="none" w:sz="0" w:space="0" w:color="auto"/>
        <w:left w:val="none" w:sz="0" w:space="0" w:color="auto"/>
        <w:bottom w:val="none" w:sz="0" w:space="0" w:color="auto"/>
        <w:right w:val="none" w:sz="0" w:space="0" w:color="auto"/>
      </w:divBdr>
    </w:div>
    <w:div w:id="163669108">
      <w:bodyDiv w:val="1"/>
      <w:marLeft w:val="0"/>
      <w:marRight w:val="0"/>
      <w:marTop w:val="0"/>
      <w:marBottom w:val="0"/>
      <w:divBdr>
        <w:top w:val="none" w:sz="0" w:space="0" w:color="auto"/>
        <w:left w:val="none" w:sz="0" w:space="0" w:color="auto"/>
        <w:bottom w:val="none" w:sz="0" w:space="0" w:color="auto"/>
        <w:right w:val="none" w:sz="0" w:space="0" w:color="auto"/>
      </w:divBdr>
    </w:div>
    <w:div w:id="183177086">
      <w:bodyDiv w:val="1"/>
      <w:marLeft w:val="0"/>
      <w:marRight w:val="0"/>
      <w:marTop w:val="0"/>
      <w:marBottom w:val="0"/>
      <w:divBdr>
        <w:top w:val="none" w:sz="0" w:space="0" w:color="auto"/>
        <w:left w:val="none" w:sz="0" w:space="0" w:color="auto"/>
        <w:bottom w:val="none" w:sz="0" w:space="0" w:color="auto"/>
        <w:right w:val="none" w:sz="0" w:space="0" w:color="auto"/>
      </w:divBdr>
    </w:div>
    <w:div w:id="255528665">
      <w:bodyDiv w:val="1"/>
      <w:marLeft w:val="0"/>
      <w:marRight w:val="0"/>
      <w:marTop w:val="0"/>
      <w:marBottom w:val="0"/>
      <w:divBdr>
        <w:top w:val="none" w:sz="0" w:space="0" w:color="auto"/>
        <w:left w:val="none" w:sz="0" w:space="0" w:color="auto"/>
        <w:bottom w:val="none" w:sz="0" w:space="0" w:color="auto"/>
        <w:right w:val="none" w:sz="0" w:space="0" w:color="auto"/>
      </w:divBdr>
    </w:div>
    <w:div w:id="278033627">
      <w:bodyDiv w:val="1"/>
      <w:marLeft w:val="0"/>
      <w:marRight w:val="0"/>
      <w:marTop w:val="0"/>
      <w:marBottom w:val="0"/>
      <w:divBdr>
        <w:top w:val="none" w:sz="0" w:space="0" w:color="auto"/>
        <w:left w:val="none" w:sz="0" w:space="0" w:color="auto"/>
        <w:bottom w:val="none" w:sz="0" w:space="0" w:color="auto"/>
        <w:right w:val="none" w:sz="0" w:space="0" w:color="auto"/>
      </w:divBdr>
    </w:div>
    <w:div w:id="286550066">
      <w:bodyDiv w:val="1"/>
      <w:marLeft w:val="0"/>
      <w:marRight w:val="0"/>
      <w:marTop w:val="0"/>
      <w:marBottom w:val="0"/>
      <w:divBdr>
        <w:top w:val="none" w:sz="0" w:space="0" w:color="auto"/>
        <w:left w:val="none" w:sz="0" w:space="0" w:color="auto"/>
        <w:bottom w:val="none" w:sz="0" w:space="0" w:color="auto"/>
        <w:right w:val="none" w:sz="0" w:space="0" w:color="auto"/>
      </w:divBdr>
    </w:div>
    <w:div w:id="320430318">
      <w:bodyDiv w:val="1"/>
      <w:marLeft w:val="0"/>
      <w:marRight w:val="0"/>
      <w:marTop w:val="0"/>
      <w:marBottom w:val="0"/>
      <w:divBdr>
        <w:top w:val="none" w:sz="0" w:space="0" w:color="auto"/>
        <w:left w:val="none" w:sz="0" w:space="0" w:color="auto"/>
        <w:bottom w:val="none" w:sz="0" w:space="0" w:color="auto"/>
        <w:right w:val="none" w:sz="0" w:space="0" w:color="auto"/>
      </w:divBdr>
    </w:div>
    <w:div w:id="329675830">
      <w:bodyDiv w:val="1"/>
      <w:marLeft w:val="0"/>
      <w:marRight w:val="0"/>
      <w:marTop w:val="0"/>
      <w:marBottom w:val="0"/>
      <w:divBdr>
        <w:top w:val="none" w:sz="0" w:space="0" w:color="auto"/>
        <w:left w:val="none" w:sz="0" w:space="0" w:color="auto"/>
        <w:bottom w:val="none" w:sz="0" w:space="0" w:color="auto"/>
        <w:right w:val="none" w:sz="0" w:space="0" w:color="auto"/>
      </w:divBdr>
    </w:div>
    <w:div w:id="337195840">
      <w:bodyDiv w:val="1"/>
      <w:marLeft w:val="0"/>
      <w:marRight w:val="0"/>
      <w:marTop w:val="0"/>
      <w:marBottom w:val="0"/>
      <w:divBdr>
        <w:top w:val="none" w:sz="0" w:space="0" w:color="auto"/>
        <w:left w:val="none" w:sz="0" w:space="0" w:color="auto"/>
        <w:bottom w:val="none" w:sz="0" w:space="0" w:color="auto"/>
        <w:right w:val="none" w:sz="0" w:space="0" w:color="auto"/>
      </w:divBdr>
      <w:divsChild>
        <w:div w:id="252472106">
          <w:marLeft w:val="0"/>
          <w:marRight w:val="0"/>
          <w:marTop w:val="0"/>
          <w:marBottom w:val="0"/>
          <w:divBdr>
            <w:top w:val="none" w:sz="0" w:space="0" w:color="auto"/>
            <w:left w:val="none" w:sz="0" w:space="0" w:color="auto"/>
            <w:bottom w:val="none" w:sz="0" w:space="0" w:color="auto"/>
            <w:right w:val="none" w:sz="0" w:space="0" w:color="auto"/>
          </w:divBdr>
        </w:div>
        <w:div w:id="1171019247">
          <w:marLeft w:val="0"/>
          <w:marRight w:val="0"/>
          <w:marTop w:val="0"/>
          <w:marBottom w:val="0"/>
          <w:divBdr>
            <w:top w:val="none" w:sz="0" w:space="0" w:color="auto"/>
            <w:left w:val="none" w:sz="0" w:space="0" w:color="auto"/>
            <w:bottom w:val="none" w:sz="0" w:space="0" w:color="auto"/>
            <w:right w:val="none" w:sz="0" w:space="0" w:color="auto"/>
          </w:divBdr>
        </w:div>
        <w:div w:id="1173036458">
          <w:marLeft w:val="0"/>
          <w:marRight w:val="0"/>
          <w:marTop w:val="0"/>
          <w:marBottom w:val="0"/>
          <w:divBdr>
            <w:top w:val="none" w:sz="0" w:space="0" w:color="auto"/>
            <w:left w:val="none" w:sz="0" w:space="0" w:color="auto"/>
            <w:bottom w:val="none" w:sz="0" w:space="0" w:color="auto"/>
            <w:right w:val="none" w:sz="0" w:space="0" w:color="auto"/>
          </w:divBdr>
        </w:div>
        <w:div w:id="1658530962">
          <w:marLeft w:val="0"/>
          <w:marRight w:val="0"/>
          <w:marTop w:val="0"/>
          <w:marBottom w:val="0"/>
          <w:divBdr>
            <w:top w:val="none" w:sz="0" w:space="0" w:color="auto"/>
            <w:left w:val="none" w:sz="0" w:space="0" w:color="auto"/>
            <w:bottom w:val="none" w:sz="0" w:space="0" w:color="auto"/>
            <w:right w:val="none" w:sz="0" w:space="0" w:color="auto"/>
          </w:divBdr>
        </w:div>
        <w:div w:id="1758594219">
          <w:marLeft w:val="0"/>
          <w:marRight w:val="0"/>
          <w:marTop w:val="0"/>
          <w:marBottom w:val="0"/>
          <w:divBdr>
            <w:top w:val="none" w:sz="0" w:space="0" w:color="auto"/>
            <w:left w:val="none" w:sz="0" w:space="0" w:color="auto"/>
            <w:bottom w:val="none" w:sz="0" w:space="0" w:color="auto"/>
            <w:right w:val="none" w:sz="0" w:space="0" w:color="auto"/>
          </w:divBdr>
        </w:div>
      </w:divsChild>
    </w:div>
    <w:div w:id="338779882">
      <w:bodyDiv w:val="1"/>
      <w:marLeft w:val="0"/>
      <w:marRight w:val="0"/>
      <w:marTop w:val="0"/>
      <w:marBottom w:val="0"/>
      <w:divBdr>
        <w:top w:val="none" w:sz="0" w:space="0" w:color="auto"/>
        <w:left w:val="none" w:sz="0" w:space="0" w:color="auto"/>
        <w:bottom w:val="none" w:sz="0" w:space="0" w:color="auto"/>
        <w:right w:val="none" w:sz="0" w:space="0" w:color="auto"/>
      </w:divBdr>
    </w:div>
    <w:div w:id="414590775">
      <w:bodyDiv w:val="1"/>
      <w:marLeft w:val="0"/>
      <w:marRight w:val="0"/>
      <w:marTop w:val="0"/>
      <w:marBottom w:val="0"/>
      <w:divBdr>
        <w:top w:val="none" w:sz="0" w:space="0" w:color="auto"/>
        <w:left w:val="none" w:sz="0" w:space="0" w:color="auto"/>
        <w:bottom w:val="none" w:sz="0" w:space="0" w:color="auto"/>
        <w:right w:val="none" w:sz="0" w:space="0" w:color="auto"/>
      </w:divBdr>
    </w:div>
    <w:div w:id="431898905">
      <w:bodyDiv w:val="1"/>
      <w:marLeft w:val="0"/>
      <w:marRight w:val="0"/>
      <w:marTop w:val="0"/>
      <w:marBottom w:val="0"/>
      <w:divBdr>
        <w:top w:val="none" w:sz="0" w:space="0" w:color="auto"/>
        <w:left w:val="none" w:sz="0" w:space="0" w:color="auto"/>
        <w:bottom w:val="none" w:sz="0" w:space="0" w:color="auto"/>
        <w:right w:val="none" w:sz="0" w:space="0" w:color="auto"/>
      </w:divBdr>
    </w:div>
    <w:div w:id="433987625">
      <w:bodyDiv w:val="1"/>
      <w:marLeft w:val="0"/>
      <w:marRight w:val="0"/>
      <w:marTop w:val="0"/>
      <w:marBottom w:val="0"/>
      <w:divBdr>
        <w:top w:val="none" w:sz="0" w:space="0" w:color="auto"/>
        <w:left w:val="none" w:sz="0" w:space="0" w:color="auto"/>
        <w:bottom w:val="none" w:sz="0" w:space="0" w:color="auto"/>
        <w:right w:val="none" w:sz="0" w:space="0" w:color="auto"/>
      </w:divBdr>
    </w:div>
    <w:div w:id="509879046">
      <w:bodyDiv w:val="1"/>
      <w:marLeft w:val="0"/>
      <w:marRight w:val="0"/>
      <w:marTop w:val="0"/>
      <w:marBottom w:val="0"/>
      <w:divBdr>
        <w:top w:val="none" w:sz="0" w:space="0" w:color="auto"/>
        <w:left w:val="none" w:sz="0" w:space="0" w:color="auto"/>
        <w:bottom w:val="none" w:sz="0" w:space="0" w:color="auto"/>
        <w:right w:val="none" w:sz="0" w:space="0" w:color="auto"/>
      </w:divBdr>
    </w:div>
    <w:div w:id="527380353">
      <w:bodyDiv w:val="1"/>
      <w:marLeft w:val="60"/>
      <w:marRight w:val="60"/>
      <w:marTop w:val="60"/>
      <w:marBottom w:val="15"/>
      <w:divBdr>
        <w:top w:val="none" w:sz="0" w:space="0" w:color="auto"/>
        <w:left w:val="none" w:sz="0" w:space="0" w:color="auto"/>
        <w:bottom w:val="none" w:sz="0" w:space="0" w:color="auto"/>
        <w:right w:val="none" w:sz="0" w:space="0" w:color="auto"/>
      </w:divBdr>
      <w:divsChild>
        <w:div w:id="78770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871721">
              <w:marLeft w:val="0"/>
              <w:marRight w:val="0"/>
              <w:marTop w:val="0"/>
              <w:marBottom w:val="0"/>
              <w:divBdr>
                <w:top w:val="none" w:sz="0" w:space="0" w:color="auto"/>
                <w:left w:val="none" w:sz="0" w:space="0" w:color="auto"/>
                <w:bottom w:val="none" w:sz="0" w:space="0" w:color="auto"/>
                <w:right w:val="none" w:sz="0" w:space="0" w:color="auto"/>
              </w:divBdr>
              <w:divsChild>
                <w:div w:id="993679631">
                  <w:marLeft w:val="0"/>
                  <w:marRight w:val="0"/>
                  <w:marTop w:val="0"/>
                  <w:marBottom w:val="0"/>
                  <w:divBdr>
                    <w:top w:val="none" w:sz="0" w:space="0" w:color="auto"/>
                    <w:left w:val="none" w:sz="0" w:space="0" w:color="auto"/>
                    <w:bottom w:val="none" w:sz="0" w:space="0" w:color="auto"/>
                    <w:right w:val="none" w:sz="0" w:space="0" w:color="auto"/>
                  </w:divBdr>
                  <w:divsChild>
                    <w:div w:id="118888145">
                      <w:marLeft w:val="0"/>
                      <w:marRight w:val="0"/>
                      <w:marTop w:val="0"/>
                      <w:marBottom w:val="0"/>
                      <w:divBdr>
                        <w:top w:val="none" w:sz="0" w:space="0" w:color="auto"/>
                        <w:left w:val="none" w:sz="0" w:space="0" w:color="auto"/>
                        <w:bottom w:val="none" w:sz="0" w:space="0" w:color="auto"/>
                        <w:right w:val="none" w:sz="0" w:space="0" w:color="auto"/>
                      </w:divBdr>
                    </w:div>
                    <w:div w:id="197277268">
                      <w:marLeft w:val="0"/>
                      <w:marRight w:val="0"/>
                      <w:marTop w:val="0"/>
                      <w:marBottom w:val="0"/>
                      <w:divBdr>
                        <w:top w:val="none" w:sz="0" w:space="0" w:color="auto"/>
                        <w:left w:val="none" w:sz="0" w:space="0" w:color="auto"/>
                        <w:bottom w:val="none" w:sz="0" w:space="0" w:color="auto"/>
                        <w:right w:val="none" w:sz="0" w:space="0" w:color="auto"/>
                      </w:divBdr>
                    </w:div>
                    <w:div w:id="218980954">
                      <w:marLeft w:val="0"/>
                      <w:marRight w:val="0"/>
                      <w:marTop w:val="0"/>
                      <w:marBottom w:val="0"/>
                      <w:divBdr>
                        <w:top w:val="none" w:sz="0" w:space="0" w:color="auto"/>
                        <w:left w:val="none" w:sz="0" w:space="0" w:color="auto"/>
                        <w:bottom w:val="none" w:sz="0" w:space="0" w:color="auto"/>
                        <w:right w:val="none" w:sz="0" w:space="0" w:color="auto"/>
                      </w:divBdr>
                    </w:div>
                    <w:div w:id="242493734">
                      <w:marLeft w:val="0"/>
                      <w:marRight w:val="0"/>
                      <w:marTop w:val="0"/>
                      <w:marBottom w:val="0"/>
                      <w:divBdr>
                        <w:top w:val="none" w:sz="0" w:space="0" w:color="auto"/>
                        <w:left w:val="none" w:sz="0" w:space="0" w:color="auto"/>
                        <w:bottom w:val="none" w:sz="0" w:space="0" w:color="auto"/>
                        <w:right w:val="none" w:sz="0" w:space="0" w:color="auto"/>
                      </w:divBdr>
                    </w:div>
                    <w:div w:id="295718139">
                      <w:marLeft w:val="0"/>
                      <w:marRight w:val="0"/>
                      <w:marTop w:val="0"/>
                      <w:marBottom w:val="0"/>
                      <w:divBdr>
                        <w:top w:val="none" w:sz="0" w:space="0" w:color="auto"/>
                        <w:left w:val="none" w:sz="0" w:space="0" w:color="auto"/>
                        <w:bottom w:val="none" w:sz="0" w:space="0" w:color="auto"/>
                        <w:right w:val="none" w:sz="0" w:space="0" w:color="auto"/>
                      </w:divBdr>
                    </w:div>
                    <w:div w:id="370571282">
                      <w:marLeft w:val="0"/>
                      <w:marRight w:val="0"/>
                      <w:marTop w:val="0"/>
                      <w:marBottom w:val="0"/>
                      <w:divBdr>
                        <w:top w:val="none" w:sz="0" w:space="0" w:color="auto"/>
                        <w:left w:val="none" w:sz="0" w:space="0" w:color="auto"/>
                        <w:bottom w:val="none" w:sz="0" w:space="0" w:color="auto"/>
                        <w:right w:val="none" w:sz="0" w:space="0" w:color="auto"/>
                      </w:divBdr>
                    </w:div>
                    <w:div w:id="395662424">
                      <w:marLeft w:val="0"/>
                      <w:marRight w:val="0"/>
                      <w:marTop w:val="0"/>
                      <w:marBottom w:val="0"/>
                      <w:divBdr>
                        <w:top w:val="none" w:sz="0" w:space="0" w:color="auto"/>
                        <w:left w:val="none" w:sz="0" w:space="0" w:color="auto"/>
                        <w:bottom w:val="none" w:sz="0" w:space="0" w:color="auto"/>
                        <w:right w:val="none" w:sz="0" w:space="0" w:color="auto"/>
                      </w:divBdr>
                    </w:div>
                    <w:div w:id="404451095">
                      <w:marLeft w:val="0"/>
                      <w:marRight w:val="0"/>
                      <w:marTop w:val="0"/>
                      <w:marBottom w:val="0"/>
                      <w:divBdr>
                        <w:top w:val="none" w:sz="0" w:space="0" w:color="auto"/>
                        <w:left w:val="none" w:sz="0" w:space="0" w:color="auto"/>
                        <w:bottom w:val="none" w:sz="0" w:space="0" w:color="auto"/>
                        <w:right w:val="none" w:sz="0" w:space="0" w:color="auto"/>
                      </w:divBdr>
                    </w:div>
                    <w:div w:id="425351344">
                      <w:marLeft w:val="0"/>
                      <w:marRight w:val="0"/>
                      <w:marTop w:val="0"/>
                      <w:marBottom w:val="0"/>
                      <w:divBdr>
                        <w:top w:val="none" w:sz="0" w:space="0" w:color="auto"/>
                        <w:left w:val="none" w:sz="0" w:space="0" w:color="auto"/>
                        <w:bottom w:val="none" w:sz="0" w:space="0" w:color="auto"/>
                        <w:right w:val="none" w:sz="0" w:space="0" w:color="auto"/>
                      </w:divBdr>
                    </w:div>
                    <w:div w:id="443765691">
                      <w:marLeft w:val="0"/>
                      <w:marRight w:val="0"/>
                      <w:marTop w:val="0"/>
                      <w:marBottom w:val="0"/>
                      <w:divBdr>
                        <w:top w:val="none" w:sz="0" w:space="0" w:color="auto"/>
                        <w:left w:val="none" w:sz="0" w:space="0" w:color="auto"/>
                        <w:bottom w:val="none" w:sz="0" w:space="0" w:color="auto"/>
                        <w:right w:val="none" w:sz="0" w:space="0" w:color="auto"/>
                      </w:divBdr>
                    </w:div>
                    <w:div w:id="636110531">
                      <w:marLeft w:val="0"/>
                      <w:marRight w:val="0"/>
                      <w:marTop w:val="0"/>
                      <w:marBottom w:val="0"/>
                      <w:divBdr>
                        <w:top w:val="none" w:sz="0" w:space="0" w:color="auto"/>
                        <w:left w:val="none" w:sz="0" w:space="0" w:color="auto"/>
                        <w:bottom w:val="none" w:sz="0" w:space="0" w:color="auto"/>
                        <w:right w:val="none" w:sz="0" w:space="0" w:color="auto"/>
                      </w:divBdr>
                    </w:div>
                    <w:div w:id="718211617">
                      <w:marLeft w:val="0"/>
                      <w:marRight w:val="0"/>
                      <w:marTop w:val="0"/>
                      <w:marBottom w:val="0"/>
                      <w:divBdr>
                        <w:top w:val="none" w:sz="0" w:space="0" w:color="auto"/>
                        <w:left w:val="none" w:sz="0" w:space="0" w:color="auto"/>
                        <w:bottom w:val="none" w:sz="0" w:space="0" w:color="auto"/>
                        <w:right w:val="none" w:sz="0" w:space="0" w:color="auto"/>
                      </w:divBdr>
                    </w:div>
                    <w:div w:id="786706067">
                      <w:marLeft w:val="0"/>
                      <w:marRight w:val="0"/>
                      <w:marTop w:val="0"/>
                      <w:marBottom w:val="0"/>
                      <w:divBdr>
                        <w:top w:val="none" w:sz="0" w:space="0" w:color="auto"/>
                        <w:left w:val="none" w:sz="0" w:space="0" w:color="auto"/>
                        <w:bottom w:val="none" w:sz="0" w:space="0" w:color="auto"/>
                        <w:right w:val="none" w:sz="0" w:space="0" w:color="auto"/>
                      </w:divBdr>
                    </w:div>
                    <w:div w:id="935208139">
                      <w:marLeft w:val="0"/>
                      <w:marRight w:val="0"/>
                      <w:marTop w:val="0"/>
                      <w:marBottom w:val="0"/>
                      <w:divBdr>
                        <w:top w:val="none" w:sz="0" w:space="0" w:color="auto"/>
                        <w:left w:val="none" w:sz="0" w:space="0" w:color="auto"/>
                        <w:bottom w:val="none" w:sz="0" w:space="0" w:color="auto"/>
                        <w:right w:val="none" w:sz="0" w:space="0" w:color="auto"/>
                      </w:divBdr>
                    </w:div>
                    <w:div w:id="1118531261">
                      <w:marLeft w:val="0"/>
                      <w:marRight w:val="0"/>
                      <w:marTop w:val="0"/>
                      <w:marBottom w:val="0"/>
                      <w:divBdr>
                        <w:top w:val="none" w:sz="0" w:space="0" w:color="auto"/>
                        <w:left w:val="none" w:sz="0" w:space="0" w:color="auto"/>
                        <w:bottom w:val="none" w:sz="0" w:space="0" w:color="auto"/>
                        <w:right w:val="none" w:sz="0" w:space="0" w:color="auto"/>
                      </w:divBdr>
                    </w:div>
                    <w:div w:id="1129013779">
                      <w:marLeft w:val="0"/>
                      <w:marRight w:val="0"/>
                      <w:marTop w:val="0"/>
                      <w:marBottom w:val="0"/>
                      <w:divBdr>
                        <w:top w:val="none" w:sz="0" w:space="0" w:color="auto"/>
                        <w:left w:val="none" w:sz="0" w:space="0" w:color="auto"/>
                        <w:bottom w:val="none" w:sz="0" w:space="0" w:color="auto"/>
                        <w:right w:val="none" w:sz="0" w:space="0" w:color="auto"/>
                      </w:divBdr>
                    </w:div>
                    <w:div w:id="1159809215">
                      <w:marLeft w:val="0"/>
                      <w:marRight w:val="0"/>
                      <w:marTop w:val="0"/>
                      <w:marBottom w:val="0"/>
                      <w:divBdr>
                        <w:top w:val="none" w:sz="0" w:space="0" w:color="auto"/>
                        <w:left w:val="none" w:sz="0" w:space="0" w:color="auto"/>
                        <w:bottom w:val="none" w:sz="0" w:space="0" w:color="auto"/>
                        <w:right w:val="none" w:sz="0" w:space="0" w:color="auto"/>
                      </w:divBdr>
                    </w:div>
                    <w:div w:id="1196188716">
                      <w:marLeft w:val="0"/>
                      <w:marRight w:val="0"/>
                      <w:marTop w:val="0"/>
                      <w:marBottom w:val="0"/>
                      <w:divBdr>
                        <w:top w:val="none" w:sz="0" w:space="0" w:color="auto"/>
                        <w:left w:val="none" w:sz="0" w:space="0" w:color="auto"/>
                        <w:bottom w:val="none" w:sz="0" w:space="0" w:color="auto"/>
                        <w:right w:val="none" w:sz="0" w:space="0" w:color="auto"/>
                      </w:divBdr>
                    </w:div>
                    <w:div w:id="1204366974">
                      <w:marLeft w:val="0"/>
                      <w:marRight w:val="0"/>
                      <w:marTop w:val="0"/>
                      <w:marBottom w:val="0"/>
                      <w:divBdr>
                        <w:top w:val="none" w:sz="0" w:space="0" w:color="auto"/>
                        <w:left w:val="none" w:sz="0" w:space="0" w:color="auto"/>
                        <w:bottom w:val="none" w:sz="0" w:space="0" w:color="auto"/>
                        <w:right w:val="none" w:sz="0" w:space="0" w:color="auto"/>
                      </w:divBdr>
                    </w:div>
                    <w:div w:id="1347750212">
                      <w:marLeft w:val="0"/>
                      <w:marRight w:val="0"/>
                      <w:marTop w:val="0"/>
                      <w:marBottom w:val="0"/>
                      <w:divBdr>
                        <w:top w:val="none" w:sz="0" w:space="0" w:color="auto"/>
                        <w:left w:val="none" w:sz="0" w:space="0" w:color="auto"/>
                        <w:bottom w:val="none" w:sz="0" w:space="0" w:color="auto"/>
                        <w:right w:val="none" w:sz="0" w:space="0" w:color="auto"/>
                      </w:divBdr>
                    </w:div>
                    <w:div w:id="1497187709">
                      <w:marLeft w:val="0"/>
                      <w:marRight w:val="0"/>
                      <w:marTop w:val="0"/>
                      <w:marBottom w:val="0"/>
                      <w:divBdr>
                        <w:top w:val="none" w:sz="0" w:space="0" w:color="auto"/>
                        <w:left w:val="none" w:sz="0" w:space="0" w:color="auto"/>
                        <w:bottom w:val="none" w:sz="0" w:space="0" w:color="auto"/>
                        <w:right w:val="none" w:sz="0" w:space="0" w:color="auto"/>
                      </w:divBdr>
                    </w:div>
                    <w:div w:id="1578637947">
                      <w:marLeft w:val="0"/>
                      <w:marRight w:val="0"/>
                      <w:marTop w:val="0"/>
                      <w:marBottom w:val="0"/>
                      <w:divBdr>
                        <w:top w:val="none" w:sz="0" w:space="0" w:color="auto"/>
                        <w:left w:val="none" w:sz="0" w:space="0" w:color="auto"/>
                        <w:bottom w:val="none" w:sz="0" w:space="0" w:color="auto"/>
                        <w:right w:val="none" w:sz="0" w:space="0" w:color="auto"/>
                      </w:divBdr>
                    </w:div>
                    <w:div w:id="1607693097">
                      <w:marLeft w:val="0"/>
                      <w:marRight w:val="0"/>
                      <w:marTop w:val="0"/>
                      <w:marBottom w:val="0"/>
                      <w:divBdr>
                        <w:top w:val="none" w:sz="0" w:space="0" w:color="auto"/>
                        <w:left w:val="none" w:sz="0" w:space="0" w:color="auto"/>
                        <w:bottom w:val="none" w:sz="0" w:space="0" w:color="auto"/>
                        <w:right w:val="none" w:sz="0" w:space="0" w:color="auto"/>
                      </w:divBdr>
                    </w:div>
                    <w:div w:id="1675256274">
                      <w:marLeft w:val="0"/>
                      <w:marRight w:val="0"/>
                      <w:marTop w:val="0"/>
                      <w:marBottom w:val="0"/>
                      <w:divBdr>
                        <w:top w:val="none" w:sz="0" w:space="0" w:color="auto"/>
                        <w:left w:val="none" w:sz="0" w:space="0" w:color="auto"/>
                        <w:bottom w:val="none" w:sz="0" w:space="0" w:color="auto"/>
                        <w:right w:val="none" w:sz="0" w:space="0" w:color="auto"/>
                      </w:divBdr>
                    </w:div>
                    <w:div w:id="1696343343">
                      <w:marLeft w:val="0"/>
                      <w:marRight w:val="0"/>
                      <w:marTop w:val="0"/>
                      <w:marBottom w:val="0"/>
                      <w:divBdr>
                        <w:top w:val="none" w:sz="0" w:space="0" w:color="auto"/>
                        <w:left w:val="none" w:sz="0" w:space="0" w:color="auto"/>
                        <w:bottom w:val="none" w:sz="0" w:space="0" w:color="auto"/>
                        <w:right w:val="none" w:sz="0" w:space="0" w:color="auto"/>
                      </w:divBdr>
                    </w:div>
                    <w:div w:id="1704819612">
                      <w:marLeft w:val="0"/>
                      <w:marRight w:val="0"/>
                      <w:marTop w:val="0"/>
                      <w:marBottom w:val="0"/>
                      <w:divBdr>
                        <w:top w:val="none" w:sz="0" w:space="0" w:color="auto"/>
                        <w:left w:val="none" w:sz="0" w:space="0" w:color="auto"/>
                        <w:bottom w:val="none" w:sz="0" w:space="0" w:color="auto"/>
                        <w:right w:val="none" w:sz="0" w:space="0" w:color="auto"/>
                      </w:divBdr>
                    </w:div>
                    <w:div w:id="1744139266">
                      <w:marLeft w:val="0"/>
                      <w:marRight w:val="0"/>
                      <w:marTop w:val="0"/>
                      <w:marBottom w:val="0"/>
                      <w:divBdr>
                        <w:top w:val="none" w:sz="0" w:space="0" w:color="auto"/>
                        <w:left w:val="none" w:sz="0" w:space="0" w:color="auto"/>
                        <w:bottom w:val="none" w:sz="0" w:space="0" w:color="auto"/>
                        <w:right w:val="none" w:sz="0" w:space="0" w:color="auto"/>
                      </w:divBdr>
                    </w:div>
                    <w:div w:id="1749182822">
                      <w:marLeft w:val="0"/>
                      <w:marRight w:val="0"/>
                      <w:marTop w:val="0"/>
                      <w:marBottom w:val="0"/>
                      <w:divBdr>
                        <w:top w:val="none" w:sz="0" w:space="0" w:color="auto"/>
                        <w:left w:val="none" w:sz="0" w:space="0" w:color="auto"/>
                        <w:bottom w:val="none" w:sz="0" w:space="0" w:color="auto"/>
                        <w:right w:val="none" w:sz="0" w:space="0" w:color="auto"/>
                      </w:divBdr>
                    </w:div>
                    <w:div w:id="1818377946">
                      <w:marLeft w:val="0"/>
                      <w:marRight w:val="0"/>
                      <w:marTop w:val="0"/>
                      <w:marBottom w:val="0"/>
                      <w:divBdr>
                        <w:top w:val="none" w:sz="0" w:space="0" w:color="auto"/>
                        <w:left w:val="none" w:sz="0" w:space="0" w:color="auto"/>
                        <w:bottom w:val="none" w:sz="0" w:space="0" w:color="auto"/>
                        <w:right w:val="none" w:sz="0" w:space="0" w:color="auto"/>
                      </w:divBdr>
                    </w:div>
                    <w:div w:id="1880363467">
                      <w:marLeft w:val="0"/>
                      <w:marRight w:val="0"/>
                      <w:marTop w:val="0"/>
                      <w:marBottom w:val="0"/>
                      <w:divBdr>
                        <w:top w:val="none" w:sz="0" w:space="0" w:color="auto"/>
                        <w:left w:val="none" w:sz="0" w:space="0" w:color="auto"/>
                        <w:bottom w:val="none" w:sz="0" w:space="0" w:color="auto"/>
                        <w:right w:val="none" w:sz="0" w:space="0" w:color="auto"/>
                      </w:divBdr>
                    </w:div>
                    <w:div w:id="19613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979930">
      <w:bodyDiv w:val="1"/>
      <w:marLeft w:val="0"/>
      <w:marRight w:val="0"/>
      <w:marTop w:val="0"/>
      <w:marBottom w:val="0"/>
      <w:divBdr>
        <w:top w:val="none" w:sz="0" w:space="0" w:color="auto"/>
        <w:left w:val="none" w:sz="0" w:space="0" w:color="auto"/>
        <w:bottom w:val="none" w:sz="0" w:space="0" w:color="auto"/>
        <w:right w:val="none" w:sz="0" w:space="0" w:color="auto"/>
      </w:divBdr>
    </w:div>
    <w:div w:id="552038650">
      <w:bodyDiv w:val="1"/>
      <w:marLeft w:val="0"/>
      <w:marRight w:val="0"/>
      <w:marTop w:val="0"/>
      <w:marBottom w:val="0"/>
      <w:divBdr>
        <w:top w:val="none" w:sz="0" w:space="0" w:color="auto"/>
        <w:left w:val="none" w:sz="0" w:space="0" w:color="auto"/>
        <w:bottom w:val="none" w:sz="0" w:space="0" w:color="auto"/>
        <w:right w:val="none" w:sz="0" w:space="0" w:color="auto"/>
      </w:divBdr>
    </w:div>
    <w:div w:id="578907334">
      <w:bodyDiv w:val="1"/>
      <w:marLeft w:val="0"/>
      <w:marRight w:val="0"/>
      <w:marTop w:val="0"/>
      <w:marBottom w:val="0"/>
      <w:divBdr>
        <w:top w:val="none" w:sz="0" w:space="0" w:color="auto"/>
        <w:left w:val="none" w:sz="0" w:space="0" w:color="auto"/>
        <w:bottom w:val="none" w:sz="0" w:space="0" w:color="auto"/>
        <w:right w:val="none" w:sz="0" w:space="0" w:color="auto"/>
      </w:divBdr>
    </w:div>
    <w:div w:id="606620971">
      <w:bodyDiv w:val="1"/>
      <w:marLeft w:val="0"/>
      <w:marRight w:val="0"/>
      <w:marTop w:val="0"/>
      <w:marBottom w:val="0"/>
      <w:divBdr>
        <w:top w:val="none" w:sz="0" w:space="0" w:color="auto"/>
        <w:left w:val="none" w:sz="0" w:space="0" w:color="auto"/>
        <w:bottom w:val="none" w:sz="0" w:space="0" w:color="auto"/>
        <w:right w:val="none" w:sz="0" w:space="0" w:color="auto"/>
      </w:divBdr>
    </w:div>
    <w:div w:id="633605235">
      <w:bodyDiv w:val="1"/>
      <w:marLeft w:val="0"/>
      <w:marRight w:val="0"/>
      <w:marTop w:val="0"/>
      <w:marBottom w:val="0"/>
      <w:divBdr>
        <w:top w:val="none" w:sz="0" w:space="0" w:color="auto"/>
        <w:left w:val="none" w:sz="0" w:space="0" w:color="auto"/>
        <w:bottom w:val="none" w:sz="0" w:space="0" w:color="auto"/>
        <w:right w:val="none" w:sz="0" w:space="0" w:color="auto"/>
      </w:divBdr>
    </w:div>
    <w:div w:id="641421065">
      <w:bodyDiv w:val="1"/>
      <w:marLeft w:val="0"/>
      <w:marRight w:val="0"/>
      <w:marTop w:val="0"/>
      <w:marBottom w:val="0"/>
      <w:divBdr>
        <w:top w:val="none" w:sz="0" w:space="0" w:color="auto"/>
        <w:left w:val="none" w:sz="0" w:space="0" w:color="auto"/>
        <w:bottom w:val="none" w:sz="0" w:space="0" w:color="auto"/>
        <w:right w:val="none" w:sz="0" w:space="0" w:color="auto"/>
      </w:divBdr>
    </w:div>
    <w:div w:id="675422685">
      <w:bodyDiv w:val="1"/>
      <w:marLeft w:val="0"/>
      <w:marRight w:val="0"/>
      <w:marTop w:val="0"/>
      <w:marBottom w:val="0"/>
      <w:divBdr>
        <w:top w:val="none" w:sz="0" w:space="0" w:color="auto"/>
        <w:left w:val="none" w:sz="0" w:space="0" w:color="auto"/>
        <w:bottom w:val="none" w:sz="0" w:space="0" w:color="auto"/>
        <w:right w:val="none" w:sz="0" w:space="0" w:color="auto"/>
      </w:divBdr>
    </w:div>
    <w:div w:id="701394161">
      <w:bodyDiv w:val="1"/>
      <w:marLeft w:val="0"/>
      <w:marRight w:val="0"/>
      <w:marTop w:val="0"/>
      <w:marBottom w:val="0"/>
      <w:divBdr>
        <w:top w:val="none" w:sz="0" w:space="0" w:color="auto"/>
        <w:left w:val="none" w:sz="0" w:space="0" w:color="auto"/>
        <w:bottom w:val="none" w:sz="0" w:space="0" w:color="auto"/>
        <w:right w:val="none" w:sz="0" w:space="0" w:color="auto"/>
      </w:divBdr>
    </w:div>
    <w:div w:id="711265555">
      <w:bodyDiv w:val="1"/>
      <w:marLeft w:val="0"/>
      <w:marRight w:val="0"/>
      <w:marTop w:val="0"/>
      <w:marBottom w:val="0"/>
      <w:divBdr>
        <w:top w:val="none" w:sz="0" w:space="0" w:color="auto"/>
        <w:left w:val="none" w:sz="0" w:space="0" w:color="auto"/>
        <w:bottom w:val="none" w:sz="0" w:space="0" w:color="auto"/>
        <w:right w:val="none" w:sz="0" w:space="0" w:color="auto"/>
      </w:divBdr>
    </w:div>
    <w:div w:id="711541801">
      <w:bodyDiv w:val="1"/>
      <w:marLeft w:val="0"/>
      <w:marRight w:val="0"/>
      <w:marTop w:val="0"/>
      <w:marBottom w:val="0"/>
      <w:divBdr>
        <w:top w:val="none" w:sz="0" w:space="0" w:color="auto"/>
        <w:left w:val="none" w:sz="0" w:space="0" w:color="auto"/>
        <w:bottom w:val="none" w:sz="0" w:space="0" w:color="auto"/>
        <w:right w:val="none" w:sz="0" w:space="0" w:color="auto"/>
      </w:divBdr>
      <w:divsChild>
        <w:div w:id="140924208">
          <w:marLeft w:val="0"/>
          <w:marRight w:val="0"/>
          <w:marTop w:val="0"/>
          <w:marBottom w:val="0"/>
          <w:divBdr>
            <w:top w:val="none" w:sz="0" w:space="0" w:color="auto"/>
            <w:left w:val="none" w:sz="0" w:space="0" w:color="auto"/>
            <w:bottom w:val="none" w:sz="0" w:space="0" w:color="auto"/>
            <w:right w:val="none" w:sz="0" w:space="0" w:color="auto"/>
          </w:divBdr>
        </w:div>
        <w:div w:id="375929827">
          <w:marLeft w:val="0"/>
          <w:marRight w:val="0"/>
          <w:marTop w:val="0"/>
          <w:marBottom w:val="0"/>
          <w:divBdr>
            <w:top w:val="none" w:sz="0" w:space="0" w:color="auto"/>
            <w:left w:val="none" w:sz="0" w:space="0" w:color="auto"/>
            <w:bottom w:val="none" w:sz="0" w:space="0" w:color="auto"/>
            <w:right w:val="none" w:sz="0" w:space="0" w:color="auto"/>
          </w:divBdr>
        </w:div>
        <w:div w:id="674891118">
          <w:marLeft w:val="0"/>
          <w:marRight w:val="0"/>
          <w:marTop w:val="0"/>
          <w:marBottom w:val="0"/>
          <w:divBdr>
            <w:top w:val="none" w:sz="0" w:space="0" w:color="auto"/>
            <w:left w:val="none" w:sz="0" w:space="0" w:color="auto"/>
            <w:bottom w:val="none" w:sz="0" w:space="0" w:color="auto"/>
            <w:right w:val="none" w:sz="0" w:space="0" w:color="auto"/>
          </w:divBdr>
        </w:div>
        <w:div w:id="972059360">
          <w:marLeft w:val="0"/>
          <w:marRight w:val="0"/>
          <w:marTop w:val="0"/>
          <w:marBottom w:val="0"/>
          <w:divBdr>
            <w:top w:val="none" w:sz="0" w:space="0" w:color="auto"/>
            <w:left w:val="none" w:sz="0" w:space="0" w:color="auto"/>
            <w:bottom w:val="none" w:sz="0" w:space="0" w:color="auto"/>
            <w:right w:val="none" w:sz="0" w:space="0" w:color="auto"/>
          </w:divBdr>
        </w:div>
        <w:div w:id="1348748709">
          <w:marLeft w:val="0"/>
          <w:marRight w:val="0"/>
          <w:marTop w:val="0"/>
          <w:marBottom w:val="0"/>
          <w:divBdr>
            <w:top w:val="none" w:sz="0" w:space="0" w:color="auto"/>
            <w:left w:val="none" w:sz="0" w:space="0" w:color="auto"/>
            <w:bottom w:val="none" w:sz="0" w:space="0" w:color="auto"/>
            <w:right w:val="none" w:sz="0" w:space="0" w:color="auto"/>
          </w:divBdr>
        </w:div>
        <w:div w:id="1622833749">
          <w:marLeft w:val="0"/>
          <w:marRight w:val="0"/>
          <w:marTop w:val="0"/>
          <w:marBottom w:val="0"/>
          <w:divBdr>
            <w:top w:val="none" w:sz="0" w:space="0" w:color="auto"/>
            <w:left w:val="none" w:sz="0" w:space="0" w:color="auto"/>
            <w:bottom w:val="none" w:sz="0" w:space="0" w:color="auto"/>
            <w:right w:val="none" w:sz="0" w:space="0" w:color="auto"/>
          </w:divBdr>
        </w:div>
        <w:div w:id="1650207843">
          <w:marLeft w:val="0"/>
          <w:marRight w:val="0"/>
          <w:marTop w:val="0"/>
          <w:marBottom w:val="0"/>
          <w:divBdr>
            <w:top w:val="none" w:sz="0" w:space="0" w:color="auto"/>
            <w:left w:val="none" w:sz="0" w:space="0" w:color="auto"/>
            <w:bottom w:val="none" w:sz="0" w:space="0" w:color="auto"/>
            <w:right w:val="none" w:sz="0" w:space="0" w:color="auto"/>
          </w:divBdr>
        </w:div>
        <w:div w:id="1736929861">
          <w:marLeft w:val="0"/>
          <w:marRight w:val="0"/>
          <w:marTop w:val="0"/>
          <w:marBottom w:val="0"/>
          <w:divBdr>
            <w:top w:val="none" w:sz="0" w:space="0" w:color="auto"/>
            <w:left w:val="none" w:sz="0" w:space="0" w:color="auto"/>
            <w:bottom w:val="none" w:sz="0" w:space="0" w:color="auto"/>
            <w:right w:val="none" w:sz="0" w:space="0" w:color="auto"/>
          </w:divBdr>
        </w:div>
        <w:div w:id="1840928600">
          <w:marLeft w:val="0"/>
          <w:marRight w:val="0"/>
          <w:marTop w:val="0"/>
          <w:marBottom w:val="0"/>
          <w:divBdr>
            <w:top w:val="none" w:sz="0" w:space="0" w:color="auto"/>
            <w:left w:val="none" w:sz="0" w:space="0" w:color="auto"/>
            <w:bottom w:val="none" w:sz="0" w:space="0" w:color="auto"/>
            <w:right w:val="none" w:sz="0" w:space="0" w:color="auto"/>
          </w:divBdr>
        </w:div>
        <w:div w:id="2025016716">
          <w:marLeft w:val="0"/>
          <w:marRight w:val="0"/>
          <w:marTop w:val="0"/>
          <w:marBottom w:val="0"/>
          <w:divBdr>
            <w:top w:val="none" w:sz="0" w:space="0" w:color="auto"/>
            <w:left w:val="none" w:sz="0" w:space="0" w:color="auto"/>
            <w:bottom w:val="none" w:sz="0" w:space="0" w:color="auto"/>
            <w:right w:val="none" w:sz="0" w:space="0" w:color="auto"/>
          </w:divBdr>
        </w:div>
      </w:divsChild>
    </w:div>
    <w:div w:id="816721927">
      <w:bodyDiv w:val="1"/>
      <w:marLeft w:val="0"/>
      <w:marRight w:val="0"/>
      <w:marTop w:val="0"/>
      <w:marBottom w:val="0"/>
      <w:divBdr>
        <w:top w:val="none" w:sz="0" w:space="0" w:color="auto"/>
        <w:left w:val="none" w:sz="0" w:space="0" w:color="auto"/>
        <w:bottom w:val="none" w:sz="0" w:space="0" w:color="auto"/>
        <w:right w:val="none" w:sz="0" w:space="0" w:color="auto"/>
      </w:divBdr>
    </w:div>
    <w:div w:id="844251842">
      <w:bodyDiv w:val="1"/>
      <w:marLeft w:val="0"/>
      <w:marRight w:val="0"/>
      <w:marTop w:val="0"/>
      <w:marBottom w:val="0"/>
      <w:divBdr>
        <w:top w:val="none" w:sz="0" w:space="0" w:color="auto"/>
        <w:left w:val="none" w:sz="0" w:space="0" w:color="auto"/>
        <w:bottom w:val="none" w:sz="0" w:space="0" w:color="auto"/>
        <w:right w:val="none" w:sz="0" w:space="0" w:color="auto"/>
      </w:divBdr>
    </w:div>
    <w:div w:id="857234145">
      <w:bodyDiv w:val="1"/>
      <w:marLeft w:val="0"/>
      <w:marRight w:val="0"/>
      <w:marTop w:val="0"/>
      <w:marBottom w:val="0"/>
      <w:divBdr>
        <w:top w:val="none" w:sz="0" w:space="0" w:color="auto"/>
        <w:left w:val="none" w:sz="0" w:space="0" w:color="auto"/>
        <w:bottom w:val="none" w:sz="0" w:space="0" w:color="auto"/>
        <w:right w:val="none" w:sz="0" w:space="0" w:color="auto"/>
      </w:divBdr>
    </w:div>
    <w:div w:id="857277043">
      <w:bodyDiv w:val="1"/>
      <w:marLeft w:val="0"/>
      <w:marRight w:val="0"/>
      <w:marTop w:val="0"/>
      <w:marBottom w:val="0"/>
      <w:divBdr>
        <w:top w:val="none" w:sz="0" w:space="0" w:color="auto"/>
        <w:left w:val="none" w:sz="0" w:space="0" w:color="auto"/>
        <w:bottom w:val="none" w:sz="0" w:space="0" w:color="auto"/>
        <w:right w:val="none" w:sz="0" w:space="0" w:color="auto"/>
      </w:divBdr>
    </w:div>
    <w:div w:id="878275323">
      <w:bodyDiv w:val="1"/>
      <w:marLeft w:val="0"/>
      <w:marRight w:val="0"/>
      <w:marTop w:val="0"/>
      <w:marBottom w:val="0"/>
      <w:divBdr>
        <w:top w:val="none" w:sz="0" w:space="0" w:color="auto"/>
        <w:left w:val="none" w:sz="0" w:space="0" w:color="auto"/>
        <w:bottom w:val="none" w:sz="0" w:space="0" w:color="auto"/>
        <w:right w:val="none" w:sz="0" w:space="0" w:color="auto"/>
      </w:divBdr>
    </w:div>
    <w:div w:id="880094180">
      <w:bodyDiv w:val="1"/>
      <w:marLeft w:val="0"/>
      <w:marRight w:val="0"/>
      <w:marTop w:val="0"/>
      <w:marBottom w:val="0"/>
      <w:divBdr>
        <w:top w:val="none" w:sz="0" w:space="0" w:color="auto"/>
        <w:left w:val="none" w:sz="0" w:space="0" w:color="auto"/>
        <w:bottom w:val="none" w:sz="0" w:space="0" w:color="auto"/>
        <w:right w:val="none" w:sz="0" w:space="0" w:color="auto"/>
      </w:divBdr>
    </w:div>
    <w:div w:id="900479671">
      <w:bodyDiv w:val="1"/>
      <w:marLeft w:val="0"/>
      <w:marRight w:val="0"/>
      <w:marTop w:val="0"/>
      <w:marBottom w:val="0"/>
      <w:divBdr>
        <w:top w:val="none" w:sz="0" w:space="0" w:color="auto"/>
        <w:left w:val="none" w:sz="0" w:space="0" w:color="auto"/>
        <w:bottom w:val="none" w:sz="0" w:space="0" w:color="auto"/>
        <w:right w:val="none" w:sz="0" w:space="0" w:color="auto"/>
      </w:divBdr>
    </w:div>
    <w:div w:id="900680141">
      <w:bodyDiv w:val="1"/>
      <w:marLeft w:val="0"/>
      <w:marRight w:val="0"/>
      <w:marTop w:val="0"/>
      <w:marBottom w:val="0"/>
      <w:divBdr>
        <w:top w:val="none" w:sz="0" w:space="0" w:color="auto"/>
        <w:left w:val="none" w:sz="0" w:space="0" w:color="auto"/>
        <w:bottom w:val="none" w:sz="0" w:space="0" w:color="auto"/>
        <w:right w:val="none" w:sz="0" w:space="0" w:color="auto"/>
      </w:divBdr>
    </w:div>
    <w:div w:id="915556763">
      <w:bodyDiv w:val="1"/>
      <w:marLeft w:val="0"/>
      <w:marRight w:val="0"/>
      <w:marTop w:val="0"/>
      <w:marBottom w:val="0"/>
      <w:divBdr>
        <w:top w:val="none" w:sz="0" w:space="0" w:color="auto"/>
        <w:left w:val="none" w:sz="0" w:space="0" w:color="auto"/>
        <w:bottom w:val="none" w:sz="0" w:space="0" w:color="auto"/>
        <w:right w:val="none" w:sz="0" w:space="0" w:color="auto"/>
      </w:divBdr>
    </w:div>
    <w:div w:id="991517530">
      <w:bodyDiv w:val="1"/>
      <w:marLeft w:val="0"/>
      <w:marRight w:val="0"/>
      <w:marTop w:val="0"/>
      <w:marBottom w:val="0"/>
      <w:divBdr>
        <w:top w:val="none" w:sz="0" w:space="0" w:color="auto"/>
        <w:left w:val="none" w:sz="0" w:space="0" w:color="auto"/>
        <w:bottom w:val="none" w:sz="0" w:space="0" w:color="auto"/>
        <w:right w:val="none" w:sz="0" w:space="0" w:color="auto"/>
      </w:divBdr>
    </w:div>
    <w:div w:id="999889395">
      <w:bodyDiv w:val="1"/>
      <w:marLeft w:val="0"/>
      <w:marRight w:val="0"/>
      <w:marTop w:val="0"/>
      <w:marBottom w:val="0"/>
      <w:divBdr>
        <w:top w:val="none" w:sz="0" w:space="0" w:color="auto"/>
        <w:left w:val="none" w:sz="0" w:space="0" w:color="auto"/>
        <w:bottom w:val="none" w:sz="0" w:space="0" w:color="auto"/>
        <w:right w:val="none" w:sz="0" w:space="0" w:color="auto"/>
      </w:divBdr>
    </w:div>
    <w:div w:id="1026491287">
      <w:bodyDiv w:val="1"/>
      <w:marLeft w:val="0"/>
      <w:marRight w:val="0"/>
      <w:marTop w:val="0"/>
      <w:marBottom w:val="0"/>
      <w:divBdr>
        <w:top w:val="none" w:sz="0" w:space="0" w:color="auto"/>
        <w:left w:val="none" w:sz="0" w:space="0" w:color="auto"/>
        <w:bottom w:val="none" w:sz="0" w:space="0" w:color="auto"/>
        <w:right w:val="none" w:sz="0" w:space="0" w:color="auto"/>
      </w:divBdr>
    </w:div>
    <w:div w:id="1026828853">
      <w:bodyDiv w:val="1"/>
      <w:marLeft w:val="0"/>
      <w:marRight w:val="0"/>
      <w:marTop w:val="0"/>
      <w:marBottom w:val="0"/>
      <w:divBdr>
        <w:top w:val="none" w:sz="0" w:space="0" w:color="auto"/>
        <w:left w:val="none" w:sz="0" w:space="0" w:color="auto"/>
        <w:bottom w:val="none" w:sz="0" w:space="0" w:color="auto"/>
        <w:right w:val="none" w:sz="0" w:space="0" w:color="auto"/>
      </w:divBdr>
    </w:div>
    <w:div w:id="1049570866">
      <w:bodyDiv w:val="1"/>
      <w:marLeft w:val="0"/>
      <w:marRight w:val="0"/>
      <w:marTop w:val="0"/>
      <w:marBottom w:val="0"/>
      <w:divBdr>
        <w:top w:val="none" w:sz="0" w:space="0" w:color="auto"/>
        <w:left w:val="none" w:sz="0" w:space="0" w:color="auto"/>
        <w:bottom w:val="none" w:sz="0" w:space="0" w:color="auto"/>
        <w:right w:val="none" w:sz="0" w:space="0" w:color="auto"/>
      </w:divBdr>
    </w:div>
    <w:div w:id="1101685201">
      <w:bodyDiv w:val="1"/>
      <w:marLeft w:val="0"/>
      <w:marRight w:val="0"/>
      <w:marTop w:val="0"/>
      <w:marBottom w:val="0"/>
      <w:divBdr>
        <w:top w:val="none" w:sz="0" w:space="0" w:color="auto"/>
        <w:left w:val="none" w:sz="0" w:space="0" w:color="auto"/>
        <w:bottom w:val="none" w:sz="0" w:space="0" w:color="auto"/>
        <w:right w:val="none" w:sz="0" w:space="0" w:color="auto"/>
      </w:divBdr>
    </w:div>
    <w:div w:id="1136753718">
      <w:bodyDiv w:val="1"/>
      <w:marLeft w:val="0"/>
      <w:marRight w:val="0"/>
      <w:marTop w:val="0"/>
      <w:marBottom w:val="0"/>
      <w:divBdr>
        <w:top w:val="none" w:sz="0" w:space="0" w:color="auto"/>
        <w:left w:val="none" w:sz="0" w:space="0" w:color="auto"/>
        <w:bottom w:val="none" w:sz="0" w:space="0" w:color="auto"/>
        <w:right w:val="none" w:sz="0" w:space="0" w:color="auto"/>
      </w:divBdr>
    </w:div>
    <w:div w:id="1183859649">
      <w:bodyDiv w:val="1"/>
      <w:marLeft w:val="0"/>
      <w:marRight w:val="0"/>
      <w:marTop w:val="0"/>
      <w:marBottom w:val="0"/>
      <w:divBdr>
        <w:top w:val="none" w:sz="0" w:space="0" w:color="auto"/>
        <w:left w:val="none" w:sz="0" w:space="0" w:color="auto"/>
        <w:bottom w:val="none" w:sz="0" w:space="0" w:color="auto"/>
        <w:right w:val="none" w:sz="0" w:space="0" w:color="auto"/>
      </w:divBdr>
    </w:div>
    <w:div w:id="1184980765">
      <w:bodyDiv w:val="1"/>
      <w:marLeft w:val="0"/>
      <w:marRight w:val="0"/>
      <w:marTop w:val="0"/>
      <w:marBottom w:val="0"/>
      <w:divBdr>
        <w:top w:val="none" w:sz="0" w:space="0" w:color="auto"/>
        <w:left w:val="none" w:sz="0" w:space="0" w:color="auto"/>
        <w:bottom w:val="none" w:sz="0" w:space="0" w:color="auto"/>
        <w:right w:val="none" w:sz="0" w:space="0" w:color="auto"/>
      </w:divBdr>
    </w:div>
    <w:div w:id="1194921894">
      <w:bodyDiv w:val="1"/>
      <w:marLeft w:val="0"/>
      <w:marRight w:val="0"/>
      <w:marTop w:val="0"/>
      <w:marBottom w:val="0"/>
      <w:divBdr>
        <w:top w:val="none" w:sz="0" w:space="0" w:color="auto"/>
        <w:left w:val="none" w:sz="0" w:space="0" w:color="auto"/>
        <w:bottom w:val="none" w:sz="0" w:space="0" w:color="auto"/>
        <w:right w:val="none" w:sz="0" w:space="0" w:color="auto"/>
      </w:divBdr>
    </w:div>
    <w:div w:id="1201093559">
      <w:bodyDiv w:val="1"/>
      <w:marLeft w:val="0"/>
      <w:marRight w:val="0"/>
      <w:marTop w:val="0"/>
      <w:marBottom w:val="0"/>
      <w:divBdr>
        <w:top w:val="none" w:sz="0" w:space="0" w:color="auto"/>
        <w:left w:val="none" w:sz="0" w:space="0" w:color="auto"/>
        <w:bottom w:val="none" w:sz="0" w:space="0" w:color="auto"/>
        <w:right w:val="none" w:sz="0" w:space="0" w:color="auto"/>
      </w:divBdr>
    </w:div>
    <w:div w:id="1248999859">
      <w:bodyDiv w:val="1"/>
      <w:marLeft w:val="0"/>
      <w:marRight w:val="0"/>
      <w:marTop w:val="0"/>
      <w:marBottom w:val="0"/>
      <w:divBdr>
        <w:top w:val="none" w:sz="0" w:space="0" w:color="auto"/>
        <w:left w:val="none" w:sz="0" w:space="0" w:color="auto"/>
        <w:bottom w:val="none" w:sz="0" w:space="0" w:color="auto"/>
        <w:right w:val="none" w:sz="0" w:space="0" w:color="auto"/>
      </w:divBdr>
    </w:div>
    <w:div w:id="1262690614">
      <w:bodyDiv w:val="1"/>
      <w:marLeft w:val="0"/>
      <w:marRight w:val="0"/>
      <w:marTop w:val="0"/>
      <w:marBottom w:val="0"/>
      <w:divBdr>
        <w:top w:val="none" w:sz="0" w:space="0" w:color="auto"/>
        <w:left w:val="none" w:sz="0" w:space="0" w:color="auto"/>
        <w:bottom w:val="none" w:sz="0" w:space="0" w:color="auto"/>
        <w:right w:val="none" w:sz="0" w:space="0" w:color="auto"/>
      </w:divBdr>
    </w:div>
    <w:div w:id="1330794063">
      <w:bodyDiv w:val="1"/>
      <w:marLeft w:val="0"/>
      <w:marRight w:val="0"/>
      <w:marTop w:val="0"/>
      <w:marBottom w:val="0"/>
      <w:divBdr>
        <w:top w:val="none" w:sz="0" w:space="0" w:color="auto"/>
        <w:left w:val="none" w:sz="0" w:space="0" w:color="auto"/>
        <w:bottom w:val="none" w:sz="0" w:space="0" w:color="auto"/>
        <w:right w:val="none" w:sz="0" w:space="0" w:color="auto"/>
      </w:divBdr>
    </w:div>
    <w:div w:id="1360275966">
      <w:bodyDiv w:val="1"/>
      <w:marLeft w:val="0"/>
      <w:marRight w:val="0"/>
      <w:marTop w:val="0"/>
      <w:marBottom w:val="0"/>
      <w:divBdr>
        <w:top w:val="none" w:sz="0" w:space="0" w:color="auto"/>
        <w:left w:val="none" w:sz="0" w:space="0" w:color="auto"/>
        <w:bottom w:val="none" w:sz="0" w:space="0" w:color="auto"/>
        <w:right w:val="none" w:sz="0" w:space="0" w:color="auto"/>
      </w:divBdr>
    </w:div>
    <w:div w:id="1369722168">
      <w:bodyDiv w:val="1"/>
      <w:marLeft w:val="0"/>
      <w:marRight w:val="0"/>
      <w:marTop w:val="0"/>
      <w:marBottom w:val="0"/>
      <w:divBdr>
        <w:top w:val="none" w:sz="0" w:space="0" w:color="auto"/>
        <w:left w:val="none" w:sz="0" w:space="0" w:color="auto"/>
        <w:bottom w:val="none" w:sz="0" w:space="0" w:color="auto"/>
        <w:right w:val="none" w:sz="0" w:space="0" w:color="auto"/>
      </w:divBdr>
    </w:div>
    <w:div w:id="1371295183">
      <w:bodyDiv w:val="1"/>
      <w:marLeft w:val="0"/>
      <w:marRight w:val="0"/>
      <w:marTop w:val="0"/>
      <w:marBottom w:val="0"/>
      <w:divBdr>
        <w:top w:val="none" w:sz="0" w:space="0" w:color="auto"/>
        <w:left w:val="none" w:sz="0" w:space="0" w:color="auto"/>
        <w:bottom w:val="none" w:sz="0" w:space="0" w:color="auto"/>
        <w:right w:val="none" w:sz="0" w:space="0" w:color="auto"/>
      </w:divBdr>
    </w:div>
    <w:div w:id="1377777012">
      <w:bodyDiv w:val="1"/>
      <w:marLeft w:val="0"/>
      <w:marRight w:val="0"/>
      <w:marTop w:val="0"/>
      <w:marBottom w:val="0"/>
      <w:divBdr>
        <w:top w:val="none" w:sz="0" w:space="0" w:color="auto"/>
        <w:left w:val="none" w:sz="0" w:space="0" w:color="auto"/>
        <w:bottom w:val="none" w:sz="0" w:space="0" w:color="auto"/>
        <w:right w:val="none" w:sz="0" w:space="0" w:color="auto"/>
      </w:divBdr>
    </w:div>
    <w:div w:id="1387337853">
      <w:bodyDiv w:val="1"/>
      <w:marLeft w:val="60"/>
      <w:marRight w:val="60"/>
      <w:marTop w:val="60"/>
      <w:marBottom w:val="15"/>
      <w:divBdr>
        <w:top w:val="none" w:sz="0" w:space="0" w:color="auto"/>
        <w:left w:val="none" w:sz="0" w:space="0" w:color="auto"/>
        <w:bottom w:val="none" w:sz="0" w:space="0" w:color="auto"/>
        <w:right w:val="none" w:sz="0" w:space="0" w:color="auto"/>
      </w:divBdr>
      <w:divsChild>
        <w:div w:id="578447316">
          <w:marLeft w:val="0"/>
          <w:marRight w:val="0"/>
          <w:marTop w:val="0"/>
          <w:marBottom w:val="0"/>
          <w:divBdr>
            <w:top w:val="none" w:sz="0" w:space="0" w:color="auto"/>
            <w:left w:val="none" w:sz="0" w:space="0" w:color="auto"/>
            <w:bottom w:val="none" w:sz="0" w:space="0" w:color="auto"/>
            <w:right w:val="none" w:sz="0" w:space="0" w:color="auto"/>
          </w:divBdr>
        </w:div>
      </w:divsChild>
    </w:div>
    <w:div w:id="1396777349">
      <w:bodyDiv w:val="1"/>
      <w:marLeft w:val="0"/>
      <w:marRight w:val="0"/>
      <w:marTop w:val="0"/>
      <w:marBottom w:val="0"/>
      <w:divBdr>
        <w:top w:val="none" w:sz="0" w:space="0" w:color="auto"/>
        <w:left w:val="none" w:sz="0" w:space="0" w:color="auto"/>
        <w:bottom w:val="none" w:sz="0" w:space="0" w:color="auto"/>
        <w:right w:val="none" w:sz="0" w:space="0" w:color="auto"/>
      </w:divBdr>
    </w:div>
    <w:div w:id="1415586128">
      <w:bodyDiv w:val="1"/>
      <w:marLeft w:val="0"/>
      <w:marRight w:val="0"/>
      <w:marTop w:val="0"/>
      <w:marBottom w:val="0"/>
      <w:divBdr>
        <w:top w:val="none" w:sz="0" w:space="0" w:color="auto"/>
        <w:left w:val="none" w:sz="0" w:space="0" w:color="auto"/>
        <w:bottom w:val="none" w:sz="0" w:space="0" w:color="auto"/>
        <w:right w:val="none" w:sz="0" w:space="0" w:color="auto"/>
      </w:divBdr>
    </w:div>
    <w:div w:id="1439908490">
      <w:bodyDiv w:val="1"/>
      <w:marLeft w:val="0"/>
      <w:marRight w:val="0"/>
      <w:marTop w:val="0"/>
      <w:marBottom w:val="0"/>
      <w:divBdr>
        <w:top w:val="none" w:sz="0" w:space="0" w:color="auto"/>
        <w:left w:val="none" w:sz="0" w:space="0" w:color="auto"/>
        <w:bottom w:val="none" w:sz="0" w:space="0" w:color="auto"/>
        <w:right w:val="none" w:sz="0" w:space="0" w:color="auto"/>
      </w:divBdr>
    </w:div>
    <w:div w:id="1440759397">
      <w:bodyDiv w:val="1"/>
      <w:marLeft w:val="0"/>
      <w:marRight w:val="0"/>
      <w:marTop w:val="0"/>
      <w:marBottom w:val="0"/>
      <w:divBdr>
        <w:top w:val="none" w:sz="0" w:space="0" w:color="auto"/>
        <w:left w:val="none" w:sz="0" w:space="0" w:color="auto"/>
        <w:bottom w:val="none" w:sz="0" w:space="0" w:color="auto"/>
        <w:right w:val="none" w:sz="0" w:space="0" w:color="auto"/>
      </w:divBdr>
    </w:div>
    <w:div w:id="1494645615">
      <w:bodyDiv w:val="1"/>
      <w:marLeft w:val="0"/>
      <w:marRight w:val="0"/>
      <w:marTop w:val="0"/>
      <w:marBottom w:val="0"/>
      <w:divBdr>
        <w:top w:val="none" w:sz="0" w:space="0" w:color="auto"/>
        <w:left w:val="none" w:sz="0" w:space="0" w:color="auto"/>
        <w:bottom w:val="none" w:sz="0" w:space="0" w:color="auto"/>
        <w:right w:val="none" w:sz="0" w:space="0" w:color="auto"/>
      </w:divBdr>
    </w:div>
    <w:div w:id="1520387513">
      <w:bodyDiv w:val="1"/>
      <w:marLeft w:val="0"/>
      <w:marRight w:val="0"/>
      <w:marTop w:val="0"/>
      <w:marBottom w:val="0"/>
      <w:divBdr>
        <w:top w:val="none" w:sz="0" w:space="0" w:color="auto"/>
        <w:left w:val="none" w:sz="0" w:space="0" w:color="auto"/>
        <w:bottom w:val="none" w:sz="0" w:space="0" w:color="auto"/>
        <w:right w:val="none" w:sz="0" w:space="0" w:color="auto"/>
      </w:divBdr>
    </w:div>
    <w:div w:id="1539201102">
      <w:bodyDiv w:val="1"/>
      <w:marLeft w:val="0"/>
      <w:marRight w:val="0"/>
      <w:marTop w:val="0"/>
      <w:marBottom w:val="0"/>
      <w:divBdr>
        <w:top w:val="none" w:sz="0" w:space="0" w:color="auto"/>
        <w:left w:val="none" w:sz="0" w:space="0" w:color="auto"/>
        <w:bottom w:val="none" w:sz="0" w:space="0" w:color="auto"/>
        <w:right w:val="none" w:sz="0" w:space="0" w:color="auto"/>
      </w:divBdr>
    </w:div>
    <w:div w:id="1563057057">
      <w:bodyDiv w:val="1"/>
      <w:marLeft w:val="0"/>
      <w:marRight w:val="0"/>
      <w:marTop w:val="0"/>
      <w:marBottom w:val="0"/>
      <w:divBdr>
        <w:top w:val="none" w:sz="0" w:space="0" w:color="auto"/>
        <w:left w:val="none" w:sz="0" w:space="0" w:color="auto"/>
        <w:bottom w:val="none" w:sz="0" w:space="0" w:color="auto"/>
        <w:right w:val="none" w:sz="0" w:space="0" w:color="auto"/>
      </w:divBdr>
    </w:div>
    <w:div w:id="1604725948">
      <w:bodyDiv w:val="1"/>
      <w:marLeft w:val="0"/>
      <w:marRight w:val="0"/>
      <w:marTop w:val="0"/>
      <w:marBottom w:val="0"/>
      <w:divBdr>
        <w:top w:val="none" w:sz="0" w:space="0" w:color="auto"/>
        <w:left w:val="none" w:sz="0" w:space="0" w:color="auto"/>
        <w:bottom w:val="none" w:sz="0" w:space="0" w:color="auto"/>
        <w:right w:val="none" w:sz="0" w:space="0" w:color="auto"/>
      </w:divBdr>
    </w:div>
    <w:div w:id="1634600095">
      <w:bodyDiv w:val="1"/>
      <w:marLeft w:val="0"/>
      <w:marRight w:val="0"/>
      <w:marTop w:val="0"/>
      <w:marBottom w:val="0"/>
      <w:divBdr>
        <w:top w:val="none" w:sz="0" w:space="0" w:color="auto"/>
        <w:left w:val="none" w:sz="0" w:space="0" w:color="auto"/>
        <w:bottom w:val="none" w:sz="0" w:space="0" w:color="auto"/>
        <w:right w:val="none" w:sz="0" w:space="0" w:color="auto"/>
      </w:divBdr>
    </w:div>
    <w:div w:id="1653871707">
      <w:bodyDiv w:val="1"/>
      <w:marLeft w:val="0"/>
      <w:marRight w:val="0"/>
      <w:marTop w:val="0"/>
      <w:marBottom w:val="0"/>
      <w:divBdr>
        <w:top w:val="none" w:sz="0" w:space="0" w:color="auto"/>
        <w:left w:val="none" w:sz="0" w:space="0" w:color="auto"/>
        <w:bottom w:val="none" w:sz="0" w:space="0" w:color="auto"/>
        <w:right w:val="none" w:sz="0" w:space="0" w:color="auto"/>
      </w:divBdr>
    </w:div>
    <w:div w:id="1705325890">
      <w:bodyDiv w:val="1"/>
      <w:marLeft w:val="0"/>
      <w:marRight w:val="0"/>
      <w:marTop w:val="0"/>
      <w:marBottom w:val="0"/>
      <w:divBdr>
        <w:top w:val="none" w:sz="0" w:space="0" w:color="auto"/>
        <w:left w:val="none" w:sz="0" w:space="0" w:color="auto"/>
        <w:bottom w:val="none" w:sz="0" w:space="0" w:color="auto"/>
        <w:right w:val="none" w:sz="0" w:space="0" w:color="auto"/>
      </w:divBdr>
    </w:div>
    <w:div w:id="1779716776">
      <w:bodyDiv w:val="1"/>
      <w:marLeft w:val="0"/>
      <w:marRight w:val="0"/>
      <w:marTop w:val="0"/>
      <w:marBottom w:val="0"/>
      <w:divBdr>
        <w:top w:val="none" w:sz="0" w:space="0" w:color="auto"/>
        <w:left w:val="none" w:sz="0" w:space="0" w:color="auto"/>
        <w:bottom w:val="none" w:sz="0" w:space="0" w:color="auto"/>
        <w:right w:val="none" w:sz="0" w:space="0" w:color="auto"/>
      </w:divBdr>
    </w:div>
    <w:div w:id="1850637744">
      <w:bodyDiv w:val="1"/>
      <w:marLeft w:val="0"/>
      <w:marRight w:val="0"/>
      <w:marTop w:val="0"/>
      <w:marBottom w:val="0"/>
      <w:divBdr>
        <w:top w:val="none" w:sz="0" w:space="0" w:color="auto"/>
        <w:left w:val="none" w:sz="0" w:space="0" w:color="auto"/>
        <w:bottom w:val="none" w:sz="0" w:space="0" w:color="auto"/>
        <w:right w:val="none" w:sz="0" w:space="0" w:color="auto"/>
      </w:divBdr>
    </w:div>
    <w:div w:id="1863394759">
      <w:bodyDiv w:val="1"/>
      <w:marLeft w:val="0"/>
      <w:marRight w:val="0"/>
      <w:marTop w:val="0"/>
      <w:marBottom w:val="0"/>
      <w:divBdr>
        <w:top w:val="none" w:sz="0" w:space="0" w:color="auto"/>
        <w:left w:val="none" w:sz="0" w:space="0" w:color="auto"/>
        <w:bottom w:val="none" w:sz="0" w:space="0" w:color="auto"/>
        <w:right w:val="none" w:sz="0" w:space="0" w:color="auto"/>
      </w:divBdr>
    </w:div>
    <w:div w:id="1875575195">
      <w:bodyDiv w:val="1"/>
      <w:marLeft w:val="0"/>
      <w:marRight w:val="0"/>
      <w:marTop w:val="0"/>
      <w:marBottom w:val="0"/>
      <w:divBdr>
        <w:top w:val="none" w:sz="0" w:space="0" w:color="auto"/>
        <w:left w:val="none" w:sz="0" w:space="0" w:color="auto"/>
        <w:bottom w:val="none" w:sz="0" w:space="0" w:color="auto"/>
        <w:right w:val="none" w:sz="0" w:space="0" w:color="auto"/>
      </w:divBdr>
    </w:div>
    <w:div w:id="1930264563">
      <w:bodyDiv w:val="1"/>
      <w:marLeft w:val="0"/>
      <w:marRight w:val="0"/>
      <w:marTop w:val="0"/>
      <w:marBottom w:val="0"/>
      <w:divBdr>
        <w:top w:val="none" w:sz="0" w:space="0" w:color="auto"/>
        <w:left w:val="none" w:sz="0" w:space="0" w:color="auto"/>
        <w:bottom w:val="none" w:sz="0" w:space="0" w:color="auto"/>
        <w:right w:val="none" w:sz="0" w:space="0" w:color="auto"/>
      </w:divBdr>
    </w:div>
    <w:div w:id="1949196170">
      <w:bodyDiv w:val="1"/>
      <w:marLeft w:val="0"/>
      <w:marRight w:val="0"/>
      <w:marTop w:val="0"/>
      <w:marBottom w:val="0"/>
      <w:divBdr>
        <w:top w:val="none" w:sz="0" w:space="0" w:color="auto"/>
        <w:left w:val="none" w:sz="0" w:space="0" w:color="auto"/>
        <w:bottom w:val="none" w:sz="0" w:space="0" w:color="auto"/>
        <w:right w:val="none" w:sz="0" w:space="0" w:color="auto"/>
      </w:divBdr>
    </w:div>
    <w:div w:id="1955093128">
      <w:bodyDiv w:val="1"/>
      <w:marLeft w:val="0"/>
      <w:marRight w:val="0"/>
      <w:marTop w:val="0"/>
      <w:marBottom w:val="0"/>
      <w:divBdr>
        <w:top w:val="none" w:sz="0" w:space="0" w:color="auto"/>
        <w:left w:val="none" w:sz="0" w:space="0" w:color="auto"/>
        <w:bottom w:val="none" w:sz="0" w:space="0" w:color="auto"/>
        <w:right w:val="none" w:sz="0" w:space="0" w:color="auto"/>
      </w:divBdr>
    </w:div>
    <w:div w:id="1958095568">
      <w:bodyDiv w:val="1"/>
      <w:marLeft w:val="0"/>
      <w:marRight w:val="0"/>
      <w:marTop w:val="0"/>
      <w:marBottom w:val="0"/>
      <w:divBdr>
        <w:top w:val="none" w:sz="0" w:space="0" w:color="auto"/>
        <w:left w:val="none" w:sz="0" w:space="0" w:color="auto"/>
        <w:bottom w:val="none" w:sz="0" w:space="0" w:color="auto"/>
        <w:right w:val="none" w:sz="0" w:space="0" w:color="auto"/>
      </w:divBdr>
    </w:div>
    <w:div w:id="1970748043">
      <w:bodyDiv w:val="1"/>
      <w:marLeft w:val="0"/>
      <w:marRight w:val="0"/>
      <w:marTop w:val="0"/>
      <w:marBottom w:val="0"/>
      <w:divBdr>
        <w:top w:val="none" w:sz="0" w:space="0" w:color="auto"/>
        <w:left w:val="none" w:sz="0" w:space="0" w:color="auto"/>
        <w:bottom w:val="none" w:sz="0" w:space="0" w:color="auto"/>
        <w:right w:val="none" w:sz="0" w:space="0" w:color="auto"/>
      </w:divBdr>
    </w:div>
    <w:div w:id="1985965482">
      <w:bodyDiv w:val="1"/>
      <w:marLeft w:val="0"/>
      <w:marRight w:val="0"/>
      <w:marTop w:val="0"/>
      <w:marBottom w:val="0"/>
      <w:divBdr>
        <w:top w:val="none" w:sz="0" w:space="0" w:color="auto"/>
        <w:left w:val="none" w:sz="0" w:space="0" w:color="auto"/>
        <w:bottom w:val="none" w:sz="0" w:space="0" w:color="auto"/>
        <w:right w:val="none" w:sz="0" w:space="0" w:color="auto"/>
      </w:divBdr>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 w:id="2045980595">
      <w:bodyDiv w:val="1"/>
      <w:marLeft w:val="0"/>
      <w:marRight w:val="0"/>
      <w:marTop w:val="0"/>
      <w:marBottom w:val="0"/>
      <w:divBdr>
        <w:top w:val="none" w:sz="0" w:space="0" w:color="auto"/>
        <w:left w:val="none" w:sz="0" w:space="0" w:color="auto"/>
        <w:bottom w:val="none" w:sz="0" w:space="0" w:color="auto"/>
        <w:right w:val="none" w:sz="0" w:space="0" w:color="auto"/>
      </w:divBdr>
    </w:div>
    <w:div w:id="2051686403">
      <w:bodyDiv w:val="1"/>
      <w:marLeft w:val="0"/>
      <w:marRight w:val="0"/>
      <w:marTop w:val="0"/>
      <w:marBottom w:val="0"/>
      <w:divBdr>
        <w:top w:val="none" w:sz="0" w:space="0" w:color="auto"/>
        <w:left w:val="none" w:sz="0" w:space="0" w:color="auto"/>
        <w:bottom w:val="none" w:sz="0" w:space="0" w:color="auto"/>
        <w:right w:val="none" w:sz="0" w:space="0" w:color="auto"/>
      </w:divBdr>
    </w:div>
    <w:div w:id="2094813313">
      <w:bodyDiv w:val="1"/>
      <w:marLeft w:val="0"/>
      <w:marRight w:val="0"/>
      <w:marTop w:val="0"/>
      <w:marBottom w:val="0"/>
      <w:divBdr>
        <w:top w:val="none" w:sz="0" w:space="0" w:color="auto"/>
        <w:left w:val="none" w:sz="0" w:space="0" w:color="auto"/>
        <w:bottom w:val="none" w:sz="0" w:space="0" w:color="auto"/>
        <w:right w:val="none" w:sz="0" w:space="0" w:color="auto"/>
      </w:divBdr>
    </w:div>
    <w:div w:id="2107841622">
      <w:bodyDiv w:val="1"/>
      <w:marLeft w:val="0"/>
      <w:marRight w:val="0"/>
      <w:marTop w:val="0"/>
      <w:marBottom w:val="0"/>
      <w:divBdr>
        <w:top w:val="none" w:sz="0" w:space="0" w:color="auto"/>
        <w:left w:val="none" w:sz="0" w:space="0" w:color="auto"/>
        <w:bottom w:val="none" w:sz="0" w:space="0" w:color="auto"/>
        <w:right w:val="none" w:sz="0" w:space="0" w:color="auto"/>
      </w:divBdr>
    </w:div>
    <w:div w:id="2124182985">
      <w:bodyDiv w:val="1"/>
      <w:marLeft w:val="0"/>
      <w:marRight w:val="0"/>
      <w:marTop w:val="0"/>
      <w:marBottom w:val="0"/>
      <w:divBdr>
        <w:top w:val="none" w:sz="0" w:space="0" w:color="auto"/>
        <w:left w:val="none" w:sz="0" w:space="0" w:color="auto"/>
        <w:bottom w:val="none" w:sz="0" w:space="0" w:color="auto"/>
        <w:right w:val="none" w:sz="0" w:space="0" w:color="auto"/>
      </w:divBdr>
    </w:div>
    <w:div w:id="214230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r-ms.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tudi@tno.camcom.it"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EC155-A0CE-407D-8EBE-7344A6B17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15</Pages>
  <Words>7390</Words>
  <Characters>42128</Characters>
  <Application>Microsoft Office Word</Application>
  <DocSecurity>0</DocSecurity>
  <Lines>351</Lines>
  <Paragraphs>98</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49420</CharactersWithSpaces>
  <SharedDoc>false</SharedDoc>
  <HLinks>
    <vt:vector size="12" baseType="variant">
      <vt:variant>
        <vt:i4>2293868</vt:i4>
      </vt:variant>
      <vt:variant>
        <vt:i4>3</vt:i4>
      </vt:variant>
      <vt:variant>
        <vt:i4>0</vt:i4>
      </vt:variant>
      <vt:variant>
        <vt:i4>5</vt:i4>
      </vt:variant>
      <vt:variant>
        <vt:lpwstr>https://www.isr-ms.it/</vt:lpwstr>
      </vt:variant>
      <vt:variant>
        <vt:lpwstr/>
      </vt:variant>
      <vt:variant>
        <vt:i4>2949212</vt:i4>
      </vt:variant>
      <vt:variant>
        <vt:i4>0</vt:i4>
      </vt:variant>
      <vt:variant>
        <vt:i4>0</vt:i4>
      </vt:variant>
      <vt:variant>
        <vt:i4>5</vt:i4>
      </vt:variant>
      <vt:variant>
        <vt:lpwstr>mailto:studi@tno.camcom.it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subject/>
  <dc:creator>Ufficio Stampa</dc:creator>
  <cp:keywords/>
  <cp:lastModifiedBy>Ottino Marcella</cp:lastModifiedBy>
  <cp:revision>12</cp:revision>
  <cp:lastPrinted>2024-07-18T10:43:00Z</cp:lastPrinted>
  <dcterms:created xsi:type="dcterms:W3CDTF">2026-09-21T06:30:00Z</dcterms:created>
  <dcterms:modified xsi:type="dcterms:W3CDTF">2026-09-24T08:52:00Z</dcterms:modified>
</cp:coreProperties>
</file>