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84E0BA" w14:textId="46D42444" w:rsidR="00CF34CB" w:rsidRDefault="00C130C7">
      <w:pPr>
        <w:rPr>
          <w:rFonts w:ascii="Calibri" w:eastAsia="Calibri" w:hAnsi="Calibri" w:cs="Calibri"/>
          <w:b/>
          <w:color w:val="808080"/>
          <w:sz w:val="4"/>
          <w:szCs w:val="4"/>
        </w:rPr>
      </w:pPr>
      <w:r>
        <w:rPr>
          <w:rFonts w:ascii="Calibri" w:eastAsia="Calibri" w:hAnsi="Calibri" w:cs="Calibri"/>
          <w:b/>
          <w:color w:val="808080"/>
          <w:sz w:val="44"/>
          <w:szCs w:val="44"/>
        </w:rPr>
        <w:t>Nota di sintesi</w:t>
      </w:r>
    </w:p>
    <w:p w14:paraId="62AE4098" w14:textId="77777777" w:rsidR="00CF34CB" w:rsidRDefault="00CF34CB">
      <w:pPr>
        <w:pBdr>
          <w:bottom w:val="single" w:sz="4" w:space="1" w:color="000000"/>
        </w:pBdr>
        <w:rPr>
          <w:rFonts w:ascii="Calibri" w:eastAsia="Calibri" w:hAnsi="Calibri" w:cs="Calibri"/>
          <w:b/>
          <w:sz w:val="2"/>
          <w:szCs w:val="2"/>
        </w:rPr>
      </w:pPr>
    </w:p>
    <w:p w14:paraId="473EF0C4" w14:textId="3F0DD3D0" w:rsidR="00F57C84" w:rsidRPr="005F131B" w:rsidRDefault="00E61184" w:rsidP="000B6159">
      <w:pPr>
        <w:spacing w:before="120"/>
        <w:rPr>
          <w:rFonts w:ascii="Calibri" w:eastAsia="Calibri" w:hAnsi="Calibri" w:cs="Calibri"/>
          <w:b/>
          <w:sz w:val="34"/>
          <w:szCs w:val="34"/>
        </w:rPr>
      </w:pPr>
      <w:r w:rsidRPr="005F131B">
        <w:rPr>
          <w:rFonts w:ascii="Calibri" w:eastAsia="Calibri" w:hAnsi="Calibri" w:cs="Calibri"/>
          <w:b/>
          <w:sz w:val="34"/>
          <w:szCs w:val="34"/>
        </w:rPr>
        <w:t xml:space="preserve">Rapporto </w:t>
      </w:r>
      <w:r w:rsidR="00EF1D36" w:rsidRPr="005F131B">
        <w:rPr>
          <w:rFonts w:ascii="Calibri" w:eastAsia="Calibri" w:hAnsi="Calibri" w:cs="Calibri"/>
          <w:b/>
          <w:sz w:val="34"/>
          <w:szCs w:val="34"/>
        </w:rPr>
        <w:t>Val di Cecina</w:t>
      </w:r>
      <w:r w:rsidR="000B6159" w:rsidRPr="005F131B">
        <w:rPr>
          <w:rFonts w:ascii="Calibri" w:eastAsia="Calibri" w:hAnsi="Calibri" w:cs="Calibri"/>
          <w:b/>
          <w:sz w:val="34"/>
          <w:szCs w:val="34"/>
        </w:rPr>
        <w:t xml:space="preserve"> 202</w:t>
      </w:r>
      <w:r w:rsidRPr="005F131B">
        <w:rPr>
          <w:rFonts w:ascii="Calibri" w:eastAsia="Calibri" w:hAnsi="Calibri" w:cs="Calibri"/>
          <w:b/>
          <w:sz w:val="34"/>
          <w:szCs w:val="34"/>
        </w:rPr>
        <w:t>6</w:t>
      </w:r>
    </w:p>
    <w:p w14:paraId="0D991E8E" w14:textId="1DF0EA7C" w:rsidR="00AB1EAF" w:rsidRPr="005F131B" w:rsidRDefault="00E61184" w:rsidP="000B6159">
      <w:pPr>
        <w:spacing w:before="120"/>
        <w:rPr>
          <w:rFonts w:ascii="Calibri" w:eastAsia="Calibri" w:hAnsi="Calibri" w:cs="Calibri"/>
          <w:bCs/>
          <w:i/>
          <w:sz w:val="26"/>
          <w:szCs w:val="26"/>
        </w:rPr>
      </w:pPr>
      <w:r w:rsidRPr="005F131B">
        <w:rPr>
          <w:rFonts w:ascii="Calibri" w:eastAsia="Calibri" w:hAnsi="Calibri" w:cs="Calibri"/>
          <w:bCs/>
          <w:i/>
          <w:sz w:val="26"/>
          <w:szCs w:val="26"/>
        </w:rPr>
        <w:t>Nota di sintesi</w:t>
      </w:r>
    </w:p>
    <w:p w14:paraId="32CBE940" w14:textId="59F87F30" w:rsidR="00EF1D36" w:rsidRDefault="00EF1D36" w:rsidP="00E61184">
      <w:pPr>
        <w:spacing w:beforeLines="50" w:before="120"/>
        <w:rPr>
          <w:rFonts w:ascii="Calibri" w:hAnsi="Calibri" w:cs="Calibri"/>
          <w:bCs/>
          <w:iCs/>
          <w:noProof/>
        </w:rPr>
      </w:pPr>
      <w:r>
        <w:rPr>
          <w:rFonts w:ascii="Calibri" w:hAnsi="Calibri" w:cs="Calibri"/>
          <w:b/>
          <w:i/>
          <w:noProof/>
        </w:rPr>
        <w:t>Montecatini Val di Cecina</w:t>
      </w:r>
      <w:r w:rsidR="00DF2640" w:rsidRPr="00206966">
        <w:rPr>
          <w:rFonts w:ascii="Calibri" w:hAnsi="Calibri" w:cs="Calibri"/>
          <w:b/>
          <w:i/>
          <w:noProof/>
        </w:rPr>
        <w:t xml:space="preserve">, </w:t>
      </w:r>
      <w:r>
        <w:rPr>
          <w:rFonts w:ascii="Calibri" w:hAnsi="Calibri" w:cs="Calibri"/>
          <w:b/>
          <w:i/>
          <w:noProof/>
        </w:rPr>
        <w:t>18</w:t>
      </w:r>
      <w:r w:rsidR="00DF2640" w:rsidRPr="00206966">
        <w:rPr>
          <w:rFonts w:ascii="Calibri" w:hAnsi="Calibri" w:cs="Calibri"/>
          <w:b/>
          <w:i/>
          <w:noProof/>
        </w:rPr>
        <w:t xml:space="preserve"> </w:t>
      </w:r>
      <w:r>
        <w:rPr>
          <w:rFonts w:ascii="Calibri" w:hAnsi="Calibri" w:cs="Calibri"/>
          <w:b/>
          <w:i/>
          <w:noProof/>
        </w:rPr>
        <w:t>settembre</w:t>
      </w:r>
      <w:r w:rsidR="00DF2640" w:rsidRPr="00206966">
        <w:rPr>
          <w:rFonts w:ascii="Calibri" w:hAnsi="Calibri" w:cs="Calibri"/>
          <w:b/>
          <w:i/>
          <w:noProof/>
        </w:rPr>
        <w:t xml:space="preserve"> 202</w:t>
      </w:r>
      <w:r w:rsidR="00E61184" w:rsidRPr="00206966">
        <w:rPr>
          <w:rFonts w:ascii="Calibri" w:hAnsi="Calibri" w:cs="Calibri"/>
          <w:b/>
          <w:i/>
          <w:noProof/>
        </w:rPr>
        <w:t>6</w:t>
      </w:r>
      <w:r w:rsidR="00F57C84" w:rsidRPr="00206966">
        <w:rPr>
          <w:rFonts w:ascii="Calibri" w:hAnsi="Calibri" w:cs="Calibri"/>
          <w:b/>
          <w:i/>
          <w:noProof/>
        </w:rPr>
        <w:t>.</w:t>
      </w:r>
      <w:r w:rsidR="00DF2640" w:rsidRPr="00206966">
        <w:rPr>
          <w:rFonts w:ascii="Calibri" w:hAnsi="Calibri" w:cs="Calibri"/>
          <w:b/>
          <w:i/>
          <w:noProof/>
        </w:rPr>
        <w:t xml:space="preserve"> </w:t>
      </w:r>
      <w:r w:rsidRPr="00EF1D36">
        <w:rPr>
          <w:rFonts w:ascii="Calibri" w:hAnsi="Calibri" w:cs="Calibri"/>
          <w:bCs/>
          <w:iCs/>
          <w:noProof/>
        </w:rPr>
        <w:t xml:space="preserve">Il Rapporto Val di Cecina 2026 delinea il profilo di un'area connotata da una resilienza strutturale e imprenditoriale superiore rispetto </w:t>
      </w:r>
      <w:r w:rsidR="00EB15BA">
        <w:rPr>
          <w:rFonts w:ascii="Calibri" w:hAnsi="Calibri" w:cs="Calibri"/>
          <w:bCs/>
          <w:iCs/>
          <w:noProof/>
        </w:rPr>
        <w:t xml:space="preserve">alle altre aree interne </w:t>
      </w:r>
      <w:r w:rsidR="00410156">
        <w:rPr>
          <w:rFonts w:ascii="Calibri" w:hAnsi="Calibri" w:cs="Calibri"/>
          <w:bCs/>
          <w:iCs/>
          <w:noProof/>
        </w:rPr>
        <w:t>di TNO</w:t>
      </w:r>
      <w:r w:rsidRPr="00EF1D36">
        <w:rPr>
          <w:rFonts w:ascii="Calibri" w:hAnsi="Calibri" w:cs="Calibri"/>
          <w:bCs/>
          <w:iCs/>
          <w:noProof/>
        </w:rPr>
        <w:t xml:space="preserve">, pur inserita in un contesto di declino demografico di medio periodo. Il tessuto economico evidenzia una marcata propensione alla micro-imprenditorialità e una duplice vocazione, che affianca un solido polo energetico-manifatturiero a un settore primario in transizione verso modelli organizzativi di maggiore dimensione e a forte impronta biologica. Le criticità sistemiche, riconducibili all'invecchiamento della popolazione, all'elevata dipendenza dai redditi pensionistici e al pendolarismo </w:t>
      </w:r>
      <w:r w:rsidR="00875D5A">
        <w:rPr>
          <w:rFonts w:ascii="Calibri" w:hAnsi="Calibri" w:cs="Calibri"/>
          <w:bCs/>
          <w:iCs/>
          <w:noProof/>
        </w:rPr>
        <w:t>lavorativo</w:t>
      </w:r>
      <w:r w:rsidRPr="00EF1D36">
        <w:rPr>
          <w:rFonts w:ascii="Calibri" w:hAnsi="Calibri" w:cs="Calibri"/>
          <w:bCs/>
          <w:iCs/>
          <w:noProof/>
        </w:rPr>
        <w:t xml:space="preserve">, trovano un </w:t>
      </w:r>
      <w:r>
        <w:rPr>
          <w:rFonts w:ascii="Calibri" w:hAnsi="Calibri" w:cs="Calibri"/>
          <w:bCs/>
          <w:iCs/>
          <w:noProof/>
        </w:rPr>
        <w:t xml:space="preserve">certo </w:t>
      </w:r>
      <w:r w:rsidRPr="00EF1D36">
        <w:rPr>
          <w:rFonts w:ascii="Calibri" w:hAnsi="Calibri" w:cs="Calibri"/>
          <w:bCs/>
          <w:iCs/>
          <w:noProof/>
        </w:rPr>
        <w:t>bilanciamento nel dinamismo del mercato immobiliare e nella progressiva espansione dei flussi turistici internazionali. In questo assetto, il costante apporto demografico e lavorativo della componente straniera si afferma come un elemento fondamentale per garantire la tenuta del sistema produttivo e sociale dell'intera valle.</w:t>
      </w:r>
    </w:p>
    <w:p w14:paraId="2DB35D51" w14:textId="7D91CCEA" w:rsidR="00E61184" w:rsidRDefault="005F131B" w:rsidP="00E61184">
      <w:pPr>
        <w:spacing w:beforeLines="50" w:before="120"/>
        <w:rPr>
          <w:rFonts w:ascii="Calibri" w:hAnsi="Calibri" w:cs="Calibri"/>
          <w:bCs/>
          <w:iCs/>
          <w:noProof/>
        </w:rPr>
      </w:pPr>
      <w:r w:rsidRPr="005F131B">
        <w:rPr>
          <w:rFonts w:ascii="Calibri" w:hAnsi="Calibri" w:cs="Calibri"/>
          <w:b/>
          <w:iCs/>
          <w:noProof/>
        </w:rPr>
        <w:t>Inverno demografico, invecchiamento e tenuta della coesione sociale</w:t>
      </w:r>
    </w:p>
    <w:p w14:paraId="67AF3612" w14:textId="722D0E4A" w:rsidR="00EF1D36" w:rsidRDefault="00EF1D36" w:rsidP="00E61184">
      <w:pPr>
        <w:spacing w:beforeLines="50" w:before="120"/>
        <w:rPr>
          <w:rFonts w:ascii="Calibri" w:hAnsi="Calibri" w:cs="Calibri"/>
          <w:bCs/>
          <w:iCs/>
          <w:noProof/>
        </w:rPr>
      </w:pPr>
      <w:r w:rsidRPr="00EF1D36">
        <w:rPr>
          <w:rFonts w:ascii="Calibri" w:hAnsi="Calibri" w:cs="Calibri"/>
          <w:bCs/>
          <w:iCs/>
          <w:noProof/>
        </w:rPr>
        <w:t xml:space="preserve">L'analisi demografica della Val di Cecina rileva una popolazione residente </w:t>
      </w:r>
      <w:r w:rsidR="00875D5A">
        <w:rPr>
          <w:rFonts w:ascii="Calibri" w:hAnsi="Calibri" w:cs="Calibri"/>
          <w:bCs/>
          <w:iCs/>
          <w:noProof/>
        </w:rPr>
        <w:t>di</w:t>
      </w:r>
      <w:r w:rsidRPr="00EF1D36">
        <w:rPr>
          <w:rFonts w:ascii="Calibri" w:hAnsi="Calibri" w:cs="Calibri"/>
          <w:bCs/>
          <w:iCs/>
          <w:noProof/>
        </w:rPr>
        <w:t xml:space="preserve"> 29.424 unità </w:t>
      </w:r>
      <w:r w:rsidR="00E871CF">
        <w:rPr>
          <w:rFonts w:ascii="Calibri" w:hAnsi="Calibri" w:cs="Calibri"/>
          <w:bCs/>
          <w:iCs/>
          <w:noProof/>
        </w:rPr>
        <w:t>a fine</w:t>
      </w:r>
      <w:r w:rsidRPr="00EF1D36">
        <w:rPr>
          <w:rFonts w:ascii="Calibri" w:hAnsi="Calibri" w:cs="Calibri"/>
          <w:bCs/>
          <w:iCs/>
          <w:noProof/>
        </w:rPr>
        <w:t xml:space="preserve"> 2025, confermando una contrazione del 6,8 per cento nel decennio 2015-2025. Tuttavia, un esame degli anni più recenti mostra una sostanziale tenuta, supportata da un ritorno a un saldo demografico lievemente positivo dal 2023. La struttura per età restituisce l'immagine di un progressivo invecchiamento, </w:t>
      </w:r>
      <w:r w:rsidR="00875D5A">
        <w:rPr>
          <w:rFonts w:ascii="Calibri" w:hAnsi="Calibri" w:cs="Calibri"/>
          <w:bCs/>
          <w:iCs/>
          <w:noProof/>
        </w:rPr>
        <w:t>confermato</w:t>
      </w:r>
      <w:r w:rsidRPr="00EF1D36">
        <w:rPr>
          <w:rFonts w:ascii="Calibri" w:hAnsi="Calibri" w:cs="Calibri"/>
          <w:bCs/>
          <w:iCs/>
          <w:noProof/>
        </w:rPr>
        <w:t xml:space="preserve"> da un indice di vecchiaia che si attesta a 321 residenti ultra sessantaquattrenni ogni 100 individui con meno di quindici anni, un valore nettamente superiore alla media provinciale</w:t>
      </w:r>
      <w:r w:rsidR="00875D5A">
        <w:rPr>
          <w:rFonts w:ascii="Calibri" w:hAnsi="Calibri" w:cs="Calibri"/>
          <w:bCs/>
          <w:iCs/>
          <w:noProof/>
        </w:rPr>
        <w:t xml:space="preserve"> (228)</w:t>
      </w:r>
      <w:r w:rsidR="00E871CF">
        <w:rPr>
          <w:rFonts w:ascii="Calibri" w:hAnsi="Calibri" w:cs="Calibri"/>
          <w:bCs/>
          <w:iCs/>
          <w:noProof/>
        </w:rPr>
        <w:t>,</w:t>
      </w:r>
      <w:r w:rsidR="00875D5A">
        <w:rPr>
          <w:rFonts w:ascii="Calibri" w:hAnsi="Calibri" w:cs="Calibri"/>
          <w:bCs/>
          <w:iCs/>
          <w:noProof/>
        </w:rPr>
        <w:t xml:space="preserve"> ma inferiore rispetto alle altre aree interne della Toscana nord-ovest</w:t>
      </w:r>
      <w:r w:rsidRPr="00EF1D36">
        <w:rPr>
          <w:rFonts w:ascii="Calibri" w:hAnsi="Calibri" w:cs="Calibri"/>
          <w:bCs/>
          <w:iCs/>
          <w:noProof/>
        </w:rPr>
        <w:t xml:space="preserve">. In questo quadro di moderata fragilità, la coesione sociale è assicurata </w:t>
      </w:r>
      <w:r w:rsidR="00410156">
        <w:rPr>
          <w:rFonts w:ascii="Calibri" w:hAnsi="Calibri" w:cs="Calibri"/>
          <w:bCs/>
          <w:iCs/>
          <w:noProof/>
        </w:rPr>
        <w:t xml:space="preserve">in parte </w:t>
      </w:r>
      <w:r w:rsidRPr="00EF1D36">
        <w:rPr>
          <w:rFonts w:ascii="Calibri" w:hAnsi="Calibri" w:cs="Calibri"/>
          <w:bCs/>
          <w:iCs/>
          <w:noProof/>
        </w:rPr>
        <w:t>dall'attivismo del Terzo Settore, che annovera 149 enti iscritti al registro nazionale, pari a 51 presidi ogni 10 mila abitanti, composti in prevalenza da associazioni di promozione sociale e organizzazioni di volontariato. L'</w:t>
      </w:r>
      <w:r w:rsidR="00875D5A">
        <w:rPr>
          <w:rFonts w:ascii="Calibri" w:hAnsi="Calibri" w:cs="Calibri"/>
          <w:bCs/>
          <w:iCs/>
          <w:noProof/>
        </w:rPr>
        <w:t>”</w:t>
      </w:r>
      <w:r w:rsidRPr="00EF1D36">
        <w:rPr>
          <w:rFonts w:ascii="Calibri" w:hAnsi="Calibri" w:cs="Calibri"/>
          <w:bCs/>
          <w:iCs/>
          <w:noProof/>
        </w:rPr>
        <w:t>inverno demografico</w:t>
      </w:r>
      <w:r w:rsidR="00875D5A">
        <w:rPr>
          <w:rFonts w:ascii="Calibri" w:hAnsi="Calibri" w:cs="Calibri"/>
          <w:bCs/>
          <w:iCs/>
          <w:noProof/>
        </w:rPr>
        <w:t>”</w:t>
      </w:r>
      <w:r w:rsidRPr="00EF1D36">
        <w:rPr>
          <w:rFonts w:ascii="Calibri" w:hAnsi="Calibri" w:cs="Calibri"/>
          <w:bCs/>
          <w:iCs/>
          <w:noProof/>
        </w:rPr>
        <w:t xml:space="preserve"> si riverbera in modo diretto sul sistema scolastico locale, dove le scuole primarie hanno registrato un calo degli iscritti del 12,1 per cento rispetto all'anno scolastico 2018/2019, a fronte peraltro di u</w:t>
      </w:r>
      <w:r w:rsidR="00875D5A">
        <w:rPr>
          <w:rFonts w:ascii="Calibri" w:hAnsi="Calibri" w:cs="Calibri"/>
          <w:bCs/>
          <w:iCs/>
          <w:noProof/>
        </w:rPr>
        <w:t xml:space="preserve">na certa </w:t>
      </w:r>
      <w:r w:rsidRPr="00EF1D36">
        <w:rPr>
          <w:rFonts w:ascii="Calibri" w:hAnsi="Calibri" w:cs="Calibri"/>
          <w:bCs/>
          <w:iCs/>
          <w:noProof/>
        </w:rPr>
        <w:t xml:space="preserve">mobilità verso gli istituti secondari situati al di fuori </w:t>
      </w:r>
      <w:r w:rsidR="00875D5A">
        <w:rPr>
          <w:rFonts w:ascii="Calibri" w:hAnsi="Calibri" w:cs="Calibri"/>
          <w:bCs/>
          <w:iCs/>
          <w:noProof/>
        </w:rPr>
        <w:t>dell’area</w:t>
      </w:r>
      <w:r w:rsidRPr="00EF1D36">
        <w:rPr>
          <w:rFonts w:ascii="Calibri" w:hAnsi="Calibri" w:cs="Calibri"/>
          <w:bCs/>
          <w:iCs/>
          <w:noProof/>
        </w:rPr>
        <w:t>.</w:t>
      </w:r>
    </w:p>
    <w:p w14:paraId="015B12CF" w14:textId="575D6765" w:rsidR="00E61184" w:rsidRPr="00E61184" w:rsidRDefault="005F131B" w:rsidP="00E61184">
      <w:pPr>
        <w:spacing w:beforeLines="50" w:before="120"/>
        <w:rPr>
          <w:rFonts w:ascii="Calibri" w:hAnsi="Calibri" w:cs="Calibri"/>
          <w:b/>
          <w:iCs/>
          <w:noProof/>
        </w:rPr>
      </w:pPr>
      <w:r w:rsidRPr="005F131B">
        <w:rPr>
          <w:rFonts w:ascii="Calibri" w:hAnsi="Calibri" w:cs="Calibri"/>
          <w:b/>
          <w:iCs/>
          <w:noProof/>
        </w:rPr>
        <w:t>Imprenditorialità e lavoro: il divario tra manifattura ad alto valore e servizi</w:t>
      </w:r>
    </w:p>
    <w:p w14:paraId="792EEA69" w14:textId="459A5561" w:rsidR="00EF1D36" w:rsidRPr="00B95E49" w:rsidRDefault="00EF1D36" w:rsidP="00176172">
      <w:pPr>
        <w:spacing w:beforeLines="50" w:before="120"/>
        <w:rPr>
          <w:rFonts w:ascii="Calibri" w:hAnsi="Calibri" w:cs="Calibri"/>
          <w:bCs/>
          <w:iCs/>
          <w:noProof/>
        </w:rPr>
      </w:pPr>
      <w:r w:rsidRPr="00EF1D36">
        <w:rPr>
          <w:rFonts w:ascii="Calibri" w:hAnsi="Calibri" w:cs="Calibri"/>
          <w:bCs/>
          <w:iCs/>
          <w:noProof/>
        </w:rPr>
        <w:t>Il perimetro produttivo dell'area manifesta un'interessante capacità di preservazione, contando 3.349 imprese registrate a fine 2025 e limitando la flessione complessiva al 3,9 per cento rispetto al 2019, un decremento significativamente più contenuto rispetto alle altre aree interne provinciali</w:t>
      </w:r>
      <w:r w:rsidR="00875D5A">
        <w:rPr>
          <w:rFonts w:ascii="Calibri" w:hAnsi="Calibri" w:cs="Calibri"/>
          <w:bCs/>
          <w:iCs/>
          <w:noProof/>
        </w:rPr>
        <w:t xml:space="preserve"> che si assestano intorno al 9%</w:t>
      </w:r>
      <w:r w:rsidRPr="00EF1D36">
        <w:rPr>
          <w:rFonts w:ascii="Calibri" w:hAnsi="Calibri" w:cs="Calibri"/>
          <w:bCs/>
          <w:iCs/>
          <w:noProof/>
        </w:rPr>
        <w:t xml:space="preserve">. </w:t>
      </w:r>
      <w:r w:rsidR="00B531AC" w:rsidRPr="00B531AC">
        <w:rPr>
          <w:rFonts w:ascii="Calibri" w:hAnsi="Calibri" w:cs="Calibri"/>
          <w:bCs/>
          <w:iCs/>
          <w:noProof/>
        </w:rPr>
        <w:t>L’area si distingue per un solido tasso di imprenditorialità, con 114 attività ogni mille residenti, il valore più elevato tra le  aree interne</w:t>
      </w:r>
      <w:r w:rsidR="00410156">
        <w:rPr>
          <w:rFonts w:ascii="Calibri" w:hAnsi="Calibri" w:cs="Calibri"/>
          <w:bCs/>
          <w:iCs/>
          <w:noProof/>
        </w:rPr>
        <w:t xml:space="preserve"> analizzate</w:t>
      </w:r>
      <w:r w:rsidR="00B531AC" w:rsidRPr="00B531AC">
        <w:rPr>
          <w:rFonts w:ascii="Calibri" w:hAnsi="Calibri" w:cs="Calibri"/>
          <w:bCs/>
          <w:iCs/>
          <w:noProof/>
        </w:rPr>
        <w:t>. A trainare il tessuto imprenditoriale è soprattutto l’agricoltura, che rappresenta oltre il 35 per cento delle imprese complessive, una quota pari a circa il doppio di quella registrata nelle altre aree interne.</w:t>
      </w:r>
      <w:r w:rsidR="00B531AC">
        <w:rPr>
          <w:rFonts w:ascii="Calibri" w:hAnsi="Calibri" w:cs="Calibri"/>
          <w:bCs/>
          <w:iCs/>
          <w:noProof/>
        </w:rPr>
        <w:t xml:space="preserve"> </w:t>
      </w:r>
      <w:r w:rsidRPr="00EF1D36">
        <w:rPr>
          <w:rFonts w:ascii="Calibri" w:hAnsi="Calibri" w:cs="Calibri"/>
          <w:bCs/>
          <w:iCs/>
          <w:noProof/>
        </w:rPr>
        <w:t xml:space="preserve">Emerge con chiarezza una criticità anagrafica, con l'età media degli imprenditori individuali salita a 56 anni, accompagnata da una ridotta </w:t>
      </w:r>
      <w:r w:rsidRPr="00EF1D36">
        <w:rPr>
          <w:rFonts w:ascii="Calibri" w:hAnsi="Calibri" w:cs="Calibri"/>
          <w:bCs/>
          <w:iCs/>
          <w:noProof/>
        </w:rPr>
        <w:lastRenderedPageBreak/>
        <w:t xml:space="preserve">quota di imprese a guida giovanile, </w:t>
      </w:r>
      <w:r w:rsidR="00B531AC">
        <w:rPr>
          <w:rFonts w:ascii="Calibri" w:hAnsi="Calibri" w:cs="Calibri"/>
          <w:bCs/>
          <w:iCs/>
          <w:noProof/>
        </w:rPr>
        <w:t xml:space="preserve">che si assestano </w:t>
      </w:r>
      <w:r w:rsidRPr="00EF1D36">
        <w:rPr>
          <w:rFonts w:ascii="Calibri" w:hAnsi="Calibri" w:cs="Calibri"/>
          <w:bCs/>
          <w:iCs/>
          <w:noProof/>
        </w:rPr>
        <w:t xml:space="preserve">al 7,8 per cento del totale. L'analisi settoriale evidenzia cali marcati nei comparti tradizionali quali l'industria, in arretramento del 10,5 per cento, e il commercio al dettaglio, diminuito </w:t>
      </w:r>
      <w:r w:rsidR="00B531AC">
        <w:rPr>
          <w:rFonts w:ascii="Calibri" w:hAnsi="Calibri" w:cs="Calibri"/>
          <w:bCs/>
          <w:iCs/>
          <w:noProof/>
        </w:rPr>
        <w:t>del 9,8</w:t>
      </w:r>
      <w:r w:rsidRPr="00EF1D36">
        <w:rPr>
          <w:rFonts w:ascii="Calibri" w:hAnsi="Calibri" w:cs="Calibri"/>
          <w:bCs/>
          <w:iCs/>
          <w:noProof/>
        </w:rPr>
        <w:t xml:space="preserve"> per cento, mitigati tuttavia dallo sviluppo degli altri servizi</w:t>
      </w:r>
      <w:r w:rsidR="005F38B2">
        <w:rPr>
          <w:rFonts w:ascii="Calibri" w:hAnsi="Calibri" w:cs="Calibri"/>
          <w:bCs/>
          <w:iCs/>
          <w:noProof/>
        </w:rPr>
        <w:t xml:space="preserve"> (all’interno dei quali spiccano quelli alla persona)</w:t>
      </w:r>
      <w:r w:rsidR="00E871CF">
        <w:rPr>
          <w:rFonts w:ascii="Calibri" w:hAnsi="Calibri" w:cs="Calibri"/>
          <w:bCs/>
          <w:iCs/>
          <w:noProof/>
        </w:rPr>
        <w:t>,</w:t>
      </w:r>
      <w:r w:rsidRPr="00EF1D36">
        <w:rPr>
          <w:rFonts w:ascii="Calibri" w:hAnsi="Calibri" w:cs="Calibri"/>
          <w:bCs/>
          <w:iCs/>
          <w:noProof/>
        </w:rPr>
        <w:t xml:space="preserve"> in espansione del 6,4 per cento. L'ecosistema del lavoro dipendente, che assorbe circa </w:t>
      </w:r>
      <w:r w:rsidR="00B531AC">
        <w:rPr>
          <w:rFonts w:ascii="Calibri" w:hAnsi="Calibri" w:cs="Calibri"/>
          <w:bCs/>
          <w:iCs/>
          <w:noProof/>
        </w:rPr>
        <w:t>9mila</w:t>
      </w:r>
      <w:r w:rsidRPr="00EF1D36">
        <w:rPr>
          <w:rFonts w:ascii="Calibri" w:hAnsi="Calibri" w:cs="Calibri"/>
          <w:bCs/>
          <w:iCs/>
          <w:noProof/>
        </w:rPr>
        <w:t xml:space="preserve"> </w:t>
      </w:r>
      <w:r w:rsidRPr="001B439B">
        <w:rPr>
          <w:rFonts w:ascii="Calibri" w:hAnsi="Calibri" w:cs="Calibri"/>
          <w:bCs/>
          <w:iCs/>
          <w:noProof/>
        </w:rPr>
        <w:t xml:space="preserve">occupati </w:t>
      </w:r>
      <w:r w:rsidRPr="0004792C">
        <w:rPr>
          <w:rFonts w:ascii="Calibri" w:hAnsi="Calibri" w:cs="Calibri"/>
          <w:bCs/>
          <w:iCs/>
          <w:noProof/>
        </w:rPr>
        <w:t>complessivi</w:t>
      </w:r>
      <w:r w:rsidR="00B531AC" w:rsidRPr="0004792C">
        <w:rPr>
          <w:rFonts w:ascii="Calibri" w:hAnsi="Calibri" w:cs="Calibri"/>
          <w:bCs/>
          <w:iCs/>
          <w:noProof/>
        </w:rPr>
        <w:t xml:space="preserve"> tra agricoltura-industria e servizi</w:t>
      </w:r>
      <w:r w:rsidRPr="0004792C">
        <w:rPr>
          <w:rFonts w:ascii="Calibri" w:hAnsi="Calibri" w:cs="Calibri"/>
          <w:bCs/>
          <w:iCs/>
          <w:noProof/>
        </w:rPr>
        <w:t xml:space="preserve">, palesa un'estrema polarizzazione del valore. Il </w:t>
      </w:r>
      <w:r w:rsidR="0004792C" w:rsidRPr="0004792C">
        <w:rPr>
          <w:rFonts w:ascii="Calibri" w:hAnsi="Calibri" w:cs="Calibri"/>
          <w:bCs/>
          <w:iCs/>
          <w:noProof/>
        </w:rPr>
        <w:t>comparto industriale-energetico,</w:t>
      </w:r>
      <w:r w:rsidRPr="0004792C">
        <w:rPr>
          <w:rFonts w:ascii="Calibri" w:hAnsi="Calibri" w:cs="Calibri"/>
          <w:bCs/>
          <w:iCs/>
          <w:noProof/>
        </w:rPr>
        <w:t xml:space="preserve"> </w:t>
      </w:r>
      <w:r w:rsidR="005F38B2" w:rsidRPr="0004792C">
        <w:rPr>
          <w:rFonts w:ascii="Calibri" w:hAnsi="Calibri" w:cs="Calibri"/>
          <w:bCs/>
          <w:iCs/>
          <w:noProof/>
        </w:rPr>
        <w:t xml:space="preserve">pur </w:t>
      </w:r>
      <w:r w:rsidR="00EB7161" w:rsidRPr="0004792C">
        <w:rPr>
          <w:rFonts w:ascii="Calibri" w:hAnsi="Calibri" w:cs="Calibri"/>
          <w:bCs/>
          <w:iCs/>
          <w:noProof/>
        </w:rPr>
        <w:t xml:space="preserve">rappresentato da </w:t>
      </w:r>
      <w:r w:rsidRPr="0004792C">
        <w:rPr>
          <w:rFonts w:ascii="Calibri" w:hAnsi="Calibri" w:cs="Calibri"/>
          <w:bCs/>
          <w:iCs/>
          <w:noProof/>
        </w:rPr>
        <w:t xml:space="preserve">poche </w:t>
      </w:r>
      <w:r w:rsidR="00C97CB3" w:rsidRPr="0004792C">
        <w:rPr>
          <w:rFonts w:ascii="Calibri" w:hAnsi="Calibri" w:cs="Calibri"/>
          <w:bCs/>
          <w:iCs/>
          <w:noProof/>
        </w:rPr>
        <w:t xml:space="preserve">realtà </w:t>
      </w:r>
      <w:r w:rsidRPr="0004792C">
        <w:rPr>
          <w:rFonts w:ascii="Calibri" w:hAnsi="Calibri" w:cs="Calibri"/>
          <w:bCs/>
          <w:iCs/>
          <w:noProof/>
        </w:rPr>
        <w:t xml:space="preserve">di grandi dimensioni, garantisce produttività e retribuzioni medie </w:t>
      </w:r>
      <w:r w:rsidR="0004792C" w:rsidRPr="0004792C">
        <w:rPr>
          <w:rFonts w:ascii="Calibri" w:hAnsi="Calibri" w:cs="Calibri"/>
          <w:bCs/>
          <w:iCs/>
          <w:noProof/>
        </w:rPr>
        <w:t>più elevate</w:t>
      </w:r>
      <w:r w:rsidRPr="0004792C">
        <w:rPr>
          <w:rFonts w:ascii="Calibri" w:hAnsi="Calibri" w:cs="Calibri"/>
          <w:bCs/>
          <w:iCs/>
          <w:noProof/>
        </w:rPr>
        <w:t xml:space="preserve"> </w:t>
      </w:r>
      <w:r w:rsidR="0004792C" w:rsidRPr="0004792C">
        <w:rPr>
          <w:rFonts w:ascii="Calibri" w:hAnsi="Calibri" w:cs="Calibri"/>
          <w:bCs/>
          <w:iCs/>
          <w:noProof/>
        </w:rPr>
        <w:t xml:space="preserve">del più </w:t>
      </w:r>
      <w:r w:rsidRPr="0004792C">
        <w:rPr>
          <w:rFonts w:ascii="Calibri" w:hAnsi="Calibri" w:cs="Calibri"/>
          <w:bCs/>
          <w:iCs/>
          <w:noProof/>
        </w:rPr>
        <w:t xml:space="preserve">vasto </w:t>
      </w:r>
      <w:r w:rsidR="0004792C" w:rsidRPr="0004792C">
        <w:rPr>
          <w:rFonts w:ascii="Calibri" w:hAnsi="Calibri" w:cs="Calibri"/>
          <w:bCs/>
          <w:iCs/>
          <w:noProof/>
        </w:rPr>
        <w:t>settore</w:t>
      </w:r>
      <w:r w:rsidRPr="0004792C">
        <w:rPr>
          <w:rFonts w:ascii="Calibri" w:hAnsi="Calibri" w:cs="Calibri"/>
          <w:bCs/>
          <w:iCs/>
          <w:noProof/>
        </w:rPr>
        <w:t xml:space="preserve"> del turismo</w:t>
      </w:r>
      <w:r w:rsidR="005F38B2" w:rsidRPr="0004792C">
        <w:rPr>
          <w:rFonts w:ascii="Calibri" w:hAnsi="Calibri" w:cs="Calibri"/>
          <w:bCs/>
          <w:iCs/>
          <w:noProof/>
        </w:rPr>
        <w:t>-ristorazione</w:t>
      </w:r>
      <w:r w:rsidRPr="0004792C">
        <w:rPr>
          <w:rFonts w:ascii="Calibri" w:hAnsi="Calibri" w:cs="Calibri"/>
          <w:bCs/>
          <w:iCs/>
          <w:noProof/>
        </w:rPr>
        <w:t>.</w:t>
      </w:r>
      <w:r w:rsidR="0004792C">
        <w:rPr>
          <w:rFonts w:ascii="Calibri" w:hAnsi="Calibri" w:cs="Calibri"/>
          <w:bCs/>
          <w:iCs/>
          <w:noProof/>
        </w:rPr>
        <w:t xml:space="preserve"> </w:t>
      </w:r>
      <w:r w:rsidRPr="001B439B">
        <w:rPr>
          <w:rFonts w:ascii="Calibri" w:hAnsi="Calibri" w:cs="Calibri"/>
          <w:bCs/>
          <w:iCs/>
          <w:noProof/>
        </w:rPr>
        <w:t xml:space="preserve">Tale asimmetria concorre ad alimentare il pendolarismo lavorativo, con quasi quattromila residenti che quotidianamente </w:t>
      </w:r>
      <w:r w:rsidR="00B531AC" w:rsidRPr="001B439B">
        <w:rPr>
          <w:rFonts w:ascii="Calibri" w:hAnsi="Calibri" w:cs="Calibri"/>
          <w:bCs/>
          <w:iCs/>
          <w:noProof/>
        </w:rPr>
        <w:t>si spostano da</w:t>
      </w:r>
      <w:r w:rsidRPr="001B439B">
        <w:rPr>
          <w:rFonts w:ascii="Calibri" w:hAnsi="Calibri" w:cs="Calibri"/>
          <w:bCs/>
          <w:iCs/>
          <w:noProof/>
        </w:rPr>
        <w:t>lla Val di Cecina per motivi professionali, delineando</w:t>
      </w:r>
      <w:r w:rsidRPr="00EF1D36">
        <w:rPr>
          <w:rFonts w:ascii="Calibri" w:hAnsi="Calibri" w:cs="Calibri"/>
          <w:bCs/>
          <w:iCs/>
          <w:noProof/>
        </w:rPr>
        <w:t xml:space="preserve"> un tasso di autocontenimento </w:t>
      </w:r>
      <w:r w:rsidR="00176172">
        <w:rPr>
          <w:rFonts w:ascii="Calibri" w:hAnsi="Calibri" w:cs="Calibri"/>
          <w:bCs/>
          <w:iCs/>
          <w:noProof/>
        </w:rPr>
        <w:t>(quota</w:t>
      </w:r>
      <w:r w:rsidR="00176172" w:rsidRPr="00176172">
        <w:rPr>
          <w:rFonts w:ascii="Calibri" w:hAnsi="Calibri" w:cs="Calibri"/>
          <w:bCs/>
          <w:iCs/>
          <w:noProof/>
        </w:rPr>
        <w:t xml:space="preserve"> di lavoratori che</w:t>
      </w:r>
      <w:r w:rsidR="00176172">
        <w:rPr>
          <w:rFonts w:ascii="Calibri" w:hAnsi="Calibri" w:cs="Calibri"/>
          <w:bCs/>
          <w:iCs/>
          <w:noProof/>
        </w:rPr>
        <w:t xml:space="preserve"> </w:t>
      </w:r>
      <w:r w:rsidR="00176172" w:rsidRPr="00176172">
        <w:rPr>
          <w:rFonts w:ascii="Calibri" w:hAnsi="Calibri" w:cs="Calibri"/>
          <w:bCs/>
          <w:iCs/>
          <w:noProof/>
        </w:rPr>
        <w:t>risiedono e lavorano</w:t>
      </w:r>
      <w:r w:rsidR="00176172">
        <w:rPr>
          <w:rFonts w:ascii="Calibri" w:hAnsi="Calibri" w:cs="Calibri"/>
          <w:bCs/>
          <w:iCs/>
          <w:noProof/>
        </w:rPr>
        <w:t xml:space="preserve"> </w:t>
      </w:r>
      <w:r w:rsidR="00176172" w:rsidRPr="00176172">
        <w:rPr>
          <w:rFonts w:ascii="Calibri" w:hAnsi="Calibri" w:cs="Calibri"/>
          <w:bCs/>
          <w:iCs/>
          <w:noProof/>
        </w:rPr>
        <w:t>all'interno dello stesso</w:t>
      </w:r>
      <w:r w:rsidR="00176172">
        <w:rPr>
          <w:rFonts w:ascii="Calibri" w:hAnsi="Calibri" w:cs="Calibri"/>
          <w:bCs/>
          <w:iCs/>
          <w:noProof/>
        </w:rPr>
        <w:t xml:space="preserve"> </w:t>
      </w:r>
      <w:r w:rsidR="00176172" w:rsidRPr="00176172">
        <w:rPr>
          <w:rFonts w:ascii="Calibri" w:hAnsi="Calibri" w:cs="Calibri"/>
          <w:bCs/>
          <w:iCs/>
          <w:noProof/>
        </w:rPr>
        <w:t>territorio)</w:t>
      </w:r>
      <w:r w:rsidR="00176172">
        <w:rPr>
          <w:rFonts w:ascii="Calibri" w:hAnsi="Calibri" w:cs="Calibri"/>
          <w:bCs/>
          <w:iCs/>
          <w:noProof/>
        </w:rPr>
        <w:t xml:space="preserve"> </w:t>
      </w:r>
      <w:r w:rsidRPr="00EF1D36">
        <w:rPr>
          <w:rFonts w:ascii="Calibri" w:hAnsi="Calibri" w:cs="Calibri"/>
          <w:bCs/>
          <w:iCs/>
          <w:noProof/>
        </w:rPr>
        <w:t xml:space="preserve">sceso </w:t>
      </w:r>
      <w:r w:rsidR="00176172">
        <w:rPr>
          <w:rFonts w:ascii="Calibri" w:hAnsi="Calibri" w:cs="Calibri"/>
          <w:bCs/>
          <w:iCs/>
          <w:noProof/>
        </w:rPr>
        <w:t>dal 69 al</w:t>
      </w:r>
      <w:r w:rsidRPr="00EF1D36">
        <w:rPr>
          <w:rFonts w:ascii="Calibri" w:hAnsi="Calibri" w:cs="Calibri"/>
          <w:bCs/>
          <w:iCs/>
          <w:noProof/>
        </w:rPr>
        <w:t xml:space="preserve"> 6</w:t>
      </w:r>
      <w:r w:rsidR="00B531AC">
        <w:rPr>
          <w:rFonts w:ascii="Calibri" w:hAnsi="Calibri" w:cs="Calibri"/>
          <w:bCs/>
          <w:iCs/>
          <w:noProof/>
        </w:rPr>
        <w:t>3</w:t>
      </w:r>
      <w:r w:rsidRPr="00EF1D36">
        <w:rPr>
          <w:rFonts w:ascii="Calibri" w:hAnsi="Calibri" w:cs="Calibri"/>
          <w:bCs/>
          <w:iCs/>
          <w:noProof/>
        </w:rPr>
        <w:t xml:space="preserve"> per cento</w:t>
      </w:r>
      <w:r w:rsidR="00176172">
        <w:rPr>
          <w:rFonts w:ascii="Calibri" w:hAnsi="Calibri" w:cs="Calibri"/>
          <w:bCs/>
          <w:iCs/>
          <w:noProof/>
        </w:rPr>
        <w:t xml:space="preserve"> tra il 2011 e il 2021.</w:t>
      </w:r>
    </w:p>
    <w:p w14:paraId="7867F112" w14:textId="1C090836" w:rsidR="00E61184" w:rsidRPr="00E61184" w:rsidRDefault="005F131B" w:rsidP="00E61184">
      <w:pPr>
        <w:spacing w:beforeLines="50" w:before="120"/>
        <w:rPr>
          <w:rFonts w:ascii="Calibri" w:hAnsi="Calibri" w:cs="Calibri"/>
          <w:b/>
          <w:iCs/>
          <w:noProof/>
        </w:rPr>
      </w:pPr>
      <w:r w:rsidRPr="005F131B">
        <w:rPr>
          <w:rFonts w:ascii="Calibri" w:hAnsi="Calibri" w:cs="Calibri"/>
          <w:b/>
          <w:iCs/>
          <w:noProof/>
        </w:rPr>
        <w:t>L'integrazione della componente straniera nel tessuto demografico e occupazionale</w:t>
      </w:r>
    </w:p>
    <w:p w14:paraId="68DBE8A8" w14:textId="3A641E12" w:rsidR="00EF1D36" w:rsidRDefault="00176172" w:rsidP="00E61184">
      <w:pPr>
        <w:spacing w:beforeLines="50" w:before="120"/>
        <w:rPr>
          <w:rFonts w:ascii="Calibri" w:hAnsi="Calibri" w:cs="Calibri"/>
          <w:bCs/>
          <w:iCs/>
          <w:noProof/>
        </w:rPr>
      </w:pPr>
      <w:r>
        <w:rPr>
          <w:rFonts w:ascii="Calibri" w:hAnsi="Calibri" w:cs="Calibri"/>
          <w:bCs/>
          <w:iCs/>
          <w:noProof/>
        </w:rPr>
        <w:t>La composizione</w:t>
      </w:r>
      <w:r w:rsidR="00EF1D36" w:rsidRPr="00EF1D36">
        <w:rPr>
          <w:rFonts w:ascii="Calibri" w:hAnsi="Calibri" w:cs="Calibri"/>
          <w:bCs/>
          <w:iCs/>
          <w:noProof/>
        </w:rPr>
        <w:t xml:space="preserve"> socio-economica della vallata è strettamente vincolata all'integrazione della componente immigrata. La popolazione straniera residente ha registrato un incremento del 16 per cento dal 2019, raggiungendo le 3.145 unità e giungendo a rappresentare l'11 per cento della popolazione complessiva. Questa tendenza è interamente supportata da un saldo migratorio con l'estero che, a partire dal 2022, ha assunto una traiettoria ampiamente positiva e in accelerazione. La vivacità di questo segmento si riflette nell'aumento del 26,1 per cento delle imprese a guida straniera, salite a 348 unità con picchi </w:t>
      </w:r>
      <w:r>
        <w:rPr>
          <w:rFonts w:ascii="Calibri" w:hAnsi="Calibri" w:cs="Calibri"/>
          <w:bCs/>
          <w:iCs/>
          <w:noProof/>
        </w:rPr>
        <w:t>elevati</w:t>
      </w:r>
      <w:r w:rsidR="00EF1D36" w:rsidRPr="00EF1D36">
        <w:rPr>
          <w:rFonts w:ascii="Calibri" w:hAnsi="Calibri" w:cs="Calibri"/>
          <w:bCs/>
          <w:iCs/>
          <w:noProof/>
        </w:rPr>
        <w:t xml:space="preserve"> nei comparti delle costruzioni e degli altri servizi. </w:t>
      </w:r>
      <w:r w:rsidRPr="00176172">
        <w:rPr>
          <w:rFonts w:ascii="Calibri" w:hAnsi="Calibri" w:cs="Calibri"/>
          <w:bCs/>
          <w:iCs/>
          <w:noProof/>
        </w:rPr>
        <w:t xml:space="preserve">Risulta ancora più marcato il peso sul lavoro subordinato locale: gli occupati stranieri sono cresciuti del 21 per cento </w:t>
      </w:r>
      <w:r>
        <w:rPr>
          <w:rFonts w:ascii="Calibri" w:hAnsi="Calibri" w:cs="Calibri"/>
          <w:bCs/>
          <w:iCs/>
          <w:noProof/>
        </w:rPr>
        <w:t>tra il 2019 e il 2023</w:t>
      </w:r>
      <w:r w:rsidRPr="00176172">
        <w:rPr>
          <w:rFonts w:ascii="Calibri" w:hAnsi="Calibri" w:cs="Calibri"/>
          <w:bCs/>
          <w:iCs/>
          <w:noProof/>
        </w:rPr>
        <w:t>, arrivando a rappresentare il 13,8 per cento del totale dei dipendenti attivi sul territorio, con quote particolarmente rilevanti nei settori dell’alloggio e della ristorazione e dell’edilizia. Una dinamica riconducibile anche al progressivo invecchiamento della popolazione autoctona e alla conseguente necessità di compensare la riduzione della forza lavoro disponibile.</w:t>
      </w:r>
    </w:p>
    <w:p w14:paraId="1B957925" w14:textId="14C703AC" w:rsidR="00E61184" w:rsidRPr="00E61184" w:rsidRDefault="005F131B" w:rsidP="00E61184">
      <w:pPr>
        <w:spacing w:beforeLines="50" w:before="120"/>
        <w:rPr>
          <w:rFonts w:ascii="Calibri" w:hAnsi="Calibri" w:cs="Calibri"/>
          <w:b/>
          <w:iCs/>
          <w:noProof/>
        </w:rPr>
      </w:pPr>
      <w:r w:rsidRPr="005F131B">
        <w:rPr>
          <w:rFonts w:ascii="Calibri" w:hAnsi="Calibri" w:cs="Calibri"/>
          <w:b/>
          <w:iCs/>
          <w:noProof/>
        </w:rPr>
        <w:t xml:space="preserve">Espansione immobiliare, </w:t>
      </w:r>
      <w:r>
        <w:rPr>
          <w:rFonts w:ascii="Calibri" w:hAnsi="Calibri" w:cs="Calibri"/>
          <w:b/>
          <w:iCs/>
          <w:noProof/>
        </w:rPr>
        <w:t>locazioni</w:t>
      </w:r>
      <w:r w:rsidRPr="005F131B">
        <w:rPr>
          <w:rFonts w:ascii="Calibri" w:hAnsi="Calibri" w:cs="Calibri"/>
          <w:b/>
          <w:iCs/>
          <w:noProof/>
        </w:rPr>
        <w:t xml:space="preserve"> e spinta del turismo estero</w:t>
      </w:r>
    </w:p>
    <w:p w14:paraId="0FA45950" w14:textId="2DE27E11" w:rsidR="00EF1D36" w:rsidRDefault="00EF1D36" w:rsidP="00E61184">
      <w:pPr>
        <w:spacing w:beforeLines="50" w:before="120"/>
        <w:rPr>
          <w:rFonts w:ascii="Calibri" w:hAnsi="Calibri" w:cs="Calibri"/>
          <w:bCs/>
          <w:iCs/>
          <w:noProof/>
        </w:rPr>
      </w:pPr>
      <w:r w:rsidRPr="00EF1D36">
        <w:rPr>
          <w:rFonts w:ascii="Calibri" w:hAnsi="Calibri" w:cs="Calibri"/>
          <w:bCs/>
          <w:iCs/>
          <w:noProof/>
        </w:rPr>
        <w:t xml:space="preserve">Il comparto immobiliare della Val di Cecina ha </w:t>
      </w:r>
      <w:r w:rsidR="00176172">
        <w:rPr>
          <w:rFonts w:ascii="Calibri" w:hAnsi="Calibri" w:cs="Calibri"/>
          <w:bCs/>
          <w:iCs/>
          <w:noProof/>
        </w:rPr>
        <w:t>segnato</w:t>
      </w:r>
      <w:r w:rsidRPr="00EF1D36">
        <w:rPr>
          <w:rFonts w:ascii="Calibri" w:hAnsi="Calibri" w:cs="Calibri"/>
          <w:bCs/>
          <w:iCs/>
          <w:noProof/>
        </w:rPr>
        <w:t xml:space="preserve"> una fase di espansione di grande portata, registrando un balzo dell'85 per cento delle transazioni residenziali rispetto al 2019, affiancato da un progresso del 42 per cento nelle compravendite destinate a uso non residenziale. I valori medi di compravendita delle abitazioni hanno </w:t>
      </w:r>
      <w:r w:rsidR="00E871CF">
        <w:rPr>
          <w:rFonts w:ascii="Calibri" w:hAnsi="Calibri" w:cs="Calibri"/>
          <w:bCs/>
          <w:iCs/>
          <w:noProof/>
        </w:rPr>
        <w:t>superato</w:t>
      </w:r>
      <w:r w:rsidR="00E871CF" w:rsidRPr="00EF1D36">
        <w:rPr>
          <w:rFonts w:ascii="Calibri" w:hAnsi="Calibri" w:cs="Calibri"/>
          <w:bCs/>
          <w:iCs/>
          <w:noProof/>
        </w:rPr>
        <w:t xml:space="preserve"> </w:t>
      </w:r>
      <w:r w:rsidRPr="00EF1D36">
        <w:rPr>
          <w:rFonts w:ascii="Calibri" w:hAnsi="Calibri" w:cs="Calibri"/>
          <w:bCs/>
          <w:iCs/>
          <w:noProof/>
        </w:rPr>
        <w:t xml:space="preserve">i 1.837 euro al metro quadrato nel 2025, segnando un recupero dell'1,7 per cento </w:t>
      </w:r>
      <w:r w:rsidR="00176172">
        <w:rPr>
          <w:rFonts w:ascii="Calibri" w:hAnsi="Calibri" w:cs="Calibri"/>
          <w:bCs/>
          <w:iCs/>
          <w:noProof/>
        </w:rPr>
        <w:t>rispetto al 2019</w:t>
      </w:r>
      <w:r w:rsidRPr="00EF1D36">
        <w:rPr>
          <w:rFonts w:ascii="Calibri" w:hAnsi="Calibri" w:cs="Calibri"/>
          <w:bCs/>
          <w:iCs/>
          <w:noProof/>
        </w:rPr>
        <w:t xml:space="preserve">, in netta controtendenza rispetto al deprezzamento rilevato nelle aree interne </w:t>
      </w:r>
      <w:r w:rsidR="00176172">
        <w:rPr>
          <w:rFonts w:ascii="Calibri" w:hAnsi="Calibri" w:cs="Calibri"/>
          <w:bCs/>
          <w:iCs/>
          <w:noProof/>
        </w:rPr>
        <w:t>della Toscana nord-ovest</w:t>
      </w:r>
      <w:r w:rsidRPr="00EF1D36">
        <w:rPr>
          <w:rFonts w:ascii="Calibri" w:hAnsi="Calibri" w:cs="Calibri"/>
          <w:bCs/>
          <w:iCs/>
          <w:noProof/>
        </w:rPr>
        <w:t xml:space="preserve">. Congiuntamente, il mercato degli affitti ha subito una considerevole pressione al rialzo, con i canoni di locazione saliti in media a 7,9 euro al metro quadrato. Tale rigidità del mercato locativo tradizionale appare fortemente correlata al proliferare delle locazioni turistiche brevi, ambito in cui si contano oltre 1.500 alloggi mediamente disponibili, in crescita del 20 per cento, capaci di generare ricavi lordi annui per 33,4 milioni di euro. L'industria dell'accoglienza, supportata da una capacità ricettiva di quasi 16 mila posti letto, ha </w:t>
      </w:r>
      <w:r w:rsidR="00176172">
        <w:rPr>
          <w:rFonts w:ascii="Calibri" w:hAnsi="Calibri" w:cs="Calibri"/>
          <w:bCs/>
          <w:iCs/>
          <w:noProof/>
        </w:rPr>
        <w:t>segnato</w:t>
      </w:r>
      <w:r w:rsidRPr="00EF1D36">
        <w:rPr>
          <w:rFonts w:ascii="Calibri" w:hAnsi="Calibri" w:cs="Calibri"/>
          <w:bCs/>
          <w:iCs/>
          <w:noProof/>
        </w:rPr>
        <w:t xml:space="preserve"> un incremento del 19 per cento delle presenze totali, </w:t>
      </w:r>
      <w:r w:rsidR="00E871CF">
        <w:rPr>
          <w:rFonts w:ascii="Calibri" w:hAnsi="Calibri" w:cs="Calibri"/>
          <w:bCs/>
          <w:iCs/>
          <w:noProof/>
        </w:rPr>
        <w:t>oltrepassando</w:t>
      </w:r>
      <w:r w:rsidR="00E871CF" w:rsidRPr="00EF1D36">
        <w:rPr>
          <w:rFonts w:ascii="Calibri" w:hAnsi="Calibri" w:cs="Calibri"/>
          <w:bCs/>
          <w:iCs/>
          <w:noProof/>
        </w:rPr>
        <w:t xml:space="preserve"> </w:t>
      </w:r>
      <w:r w:rsidRPr="00EF1D36">
        <w:rPr>
          <w:rFonts w:ascii="Calibri" w:hAnsi="Calibri" w:cs="Calibri"/>
          <w:bCs/>
          <w:iCs/>
          <w:noProof/>
        </w:rPr>
        <w:t>la soglia degli 852 mila pernottamenti complessivi</w:t>
      </w:r>
      <w:r w:rsidR="00176172">
        <w:rPr>
          <w:rFonts w:ascii="Calibri" w:hAnsi="Calibri" w:cs="Calibri"/>
          <w:bCs/>
          <w:iCs/>
          <w:noProof/>
        </w:rPr>
        <w:t xml:space="preserve"> (6/7 volte di più rispetto a Lunigiana e Garfagnana)</w:t>
      </w:r>
      <w:r w:rsidRPr="00EF1D36">
        <w:rPr>
          <w:rFonts w:ascii="Calibri" w:hAnsi="Calibri" w:cs="Calibri"/>
          <w:bCs/>
          <w:iCs/>
          <w:noProof/>
        </w:rPr>
        <w:t>, una dinamica espansiva integralmente ascrivibile alla domanda di matrice estera, cresciuta del 31 per cento nel medesimo orizzonte temporale</w:t>
      </w:r>
      <w:r w:rsidR="005F38B2">
        <w:rPr>
          <w:rFonts w:ascii="Calibri" w:hAnsi="Calibri" w:cs="Calibri"/>
          <w:bCs/>
          <w:iCs/>
          <w:noProof/>
        </w:rPr>
        <w:t>.</w:t>
      </w:r>
    </w:p>
    <w:p w14:paraId="29B498C4" w14:textId="34F071EF" w:rsidR="005F131B" w:rsidRPr="0004792C" w:rsidRDefault="005F131B" w:rsidP="00E61184">
      <w:pPr>
        <w:spacing w:beforeLines="50" w:before="120"/>
        <w:rPr>
          <w:rFonts w:ascii="Calibri" w:hAnsi="Calibri" w:cs="Calibri"/>
          <w:b/>
          <w:iCs/>
          <w:noProof/>
        </w:rPr>
      </w:pPr>
      <w:r w:rsidRPr="0004792C">
        <w:rPr>
          <w:rFonts w:ascii="Calibri" w:hAnsi="Calibri" w:cs="Calibri"/>
          <w:b/>
          <w:iCs/>
          <w:noProof/>
        </w:rPr>
        <w:lastRenderedPageBreak/>
        <w:t>Produttività, stagionalità ed erosione del valore</w:t>
      </w:r>
    </w:p>
    <w:p w14:paraId="3C8D67DE" w14:textId="70460F07" w:rsidR="00967EB2" w:rsidRDefault="00967EB2" w:rsidP="00E61184">
      <w:pPr>
        <w:spacing w:beforeLines="50" w:before="120"/>
        <w:rPr>
          <w:rFonts w:ascii="Calibri" w:hAnsi="Calibri" w:cs="Calibri"/>
          <w:bCs/>
          <w:iCs/>
          <w:noProof/>
        </w:rPr>
      </w:pPr>
      <w:r w:rsidRPr="0004792C">
        <w:rPr>
          <w:rFonts w:ascii="Calibri" w:hAnsi="Calibri" w:cs="Calibri"/>
          <w:bCs/>
          <w:iCs/>
          <w:noProof/>
        </w:rPr>
        <w:t xml:space="preserve">Il report evidenzia una </w:t>
      </w:r>
      <w:r w:rsidR="00176172" w:rsidRPr="0004792C">
        <w:rPr>
          <w:rFonts w:ascii="Calibri" w:hAnsi="Calibri" w:cs="Calibri"/>
          <w:bCs/>
          <w:iCs/>
          <w:noProof/>
        </w:rPr>
        <w:t>diversa</w:t>
      </w:r>
      <w:r w:rsidRPr="0004792C">
        <w:rPr>
          <w:rFonts w:ascii="Calibri" w:hAnsi="Calibri" w:cs="Calibri"/>
          <w:bCs/>
          <w:iCs/>
          <w:noProof/>
        </w:rPr>
        <w:t xml:space="preserve"> capacità di trattenere il valore creato a livello locale. Mentre il manifatturiero </w:t>
      </w:r>
      <w:r w:rsidR="00176172" w:rsidRPr="0004792C">
        <w:rPr>
          <w:rFonts w:ascii="Calibri" w:hAnsi="Calibri" w:cs="Calibri"/>
          <w:bCs/>
          <w:iCs/>
          <w:noProof/>
        </w:rPr>
        <w:t>della Val di Cecina</w:t>
      </w:r>
      <w:r w:rsidRPr="0004792C">
        <w:rPr>
          <w:rFonts w:ascii="Calibri" w:hAnsi="Calibri" w:cs="Calibri"/>
          <w:bCs/>
          <w:iCs/>
          <w:noProof/>
        </w:rPr>
        <w:t xml:space="preserve"> mostra una produttività media di </w:t>
      </w:r>
      <w:r w:rsidR="00176172" w:rsidRPr="0004792C">
        <w:rPr>
          <w:rFonts w:ascii="Calibri" w:hAnsi="Calibri" w:cs="Calibri"/>
          <w:bCs/>
          <w:iCs/>
          <w:noProof/>
        </w:rPr>
        <w:t>118</w:t>
      </w:r>
      <w:r w:rsidRPr="0004792C">
        <w:rPr>
          <w:rFonts w:ascii="Calibri" w:hAnsi="Calibri" w:cs="Calibri"/>
          <w:bCs/>
          <w:iCs/>
          <w:noProof/>
        </w:rPr>
        <w:t xml:space="preserve"> mila euro per addetto </w:t>
      </w:r>
      <w:r w:rsidR="005B6695" w:rsidRPr="0004792C">
        <w:rPr>
          <w:rFonts w:ascii="Calibri" w:hAnsi="Calibri" w:cs="Calibri"/>
          <w:bCs/>
          <w:iCs/>
          <w:noProof/>
        </w:rPr>
        <w:t xml:space="preserve">(grazie alla presenza di </w:t>
      </w:r>
      <w:r w:rsidR="009B4558" w:rsidRPr="0004792C">
        <w:rPr>
          <w:rFonts w:ascii="Calibri" w:hAnsi="Calibri" w:cs="Calibri"/>
          <w:bCs/>
          <w:iCs/>
          <w:noProof/>
        </w:rPr>
        <w:t>grandi</w:t>
      </w:r>
      <w:r w:rsidR="005B6695" w:rsidRPr="0004792C">
        <w:rPr>
          <w:rFonts w:ascii="Calibri" w:hAnsi="Calibri" w:cs="Calibri"/>
          <w:bCs/>
          <w:iCs/>
          <w:noProof/>
        </w:rPr>
        <w:t xml:space="preserve"> imprese) </w:t>
      </w:r>
      <w:r w:rsidRPr="0004792C">
        <w:rPr>
          <w:rFonts w:ascii="Calibri" w:hAnsi="Calibri" w:cs="Calibri"/>
          <w:bCs/>
          <w:iCs/>
          <w:noProof/>
        </w:rPr>
        <w:t xml:space="preserve">e trasferisce in monte salari una quota del </w:t>
      </w:r>
      <w:r w:rsidR="00176172" w:rsidRPr="0004792C">
        <w:rPr>
          <w:rFonts w:ascii="Calibri" w:hAnsi="Calibri" w:cs="Calibri"/>
          <w:bCs/>
          <w:iCs/>
          <w:noProof/>
        </w:rPr>
        <w:t>26</w:t>
      </w:r>
      <w:r w:rsidRPr="0004792C">
        <w:rPr>
          <w:rFonts w:ascii="Calibri" w:hAnsi="Calibri" w:cs="Calibri"/>
          <w:bCs/>
          <w:iCs/>
          <w:noProof/>
        </w:rPr>
        <w:t xml:space="preserve"> per cento della ricchezza</w:t>
      </w:r>
      <w:r w:rsidR="00AF316A" w:rsidRPr="0004792C">
        <w:rPr>
          <w:rFonts w:ascii="Calibri" w:hAnsi="Calibri" w:cs="Calibri"/>
          <w:bCs/>
          <w:iCs/>
          <w:noProof/>
        </w:rPr>
        <w:t xml:space="preserve"> prodotta</w:t>
      </w:r>
      <w:r w:rsidRPr="0004792C">
        <w:rPr>
          <w:rFonts w:ascii="Calibri" w:hAnsi="Calibri" w:cs="Calibri"/>
          <w:bCs/>
          <w:iCs/>
          <w:noProof/>
        </w:rPr>
        <w:t xml:space="preserve">, il settore turistico, pur assorbendo un elevato numero di occupati, genera una produttività ridotta, pari a soli </w:t>
      </w:r>
      <w:r w:rsidR="00176172" w:rsidRPr="0004792C">
        <w:rPr>
          <w:rFonts w:ascii="Calibri" w:hAnsi="Calibri" w:cs="Calibri"/>
          <w:bCs/>
          <w:iCs/>
          <w:noProof/>
        </w:rPr>
        <w:t>22</w:t>
      </w:r>
      <w:r w:rsidRPr="0004792C">
        <w:rPr>
          <w:rFonts w:ascii="Calibri" w:hAnsi="Calibri" w:cs="Calibri"/>
          <w:bCs/>
          <w:iCs/>
          <w:noProof/>
        </w:rPr>
        <w:t xml:space="preserve"> mila euro per addetto. Trasferendo il 4</w:t>
      </w:r>
      <w:r w:rsidR="007C200F" w:rsidRPr="0004792C">
        <w:rPr>
          <w:rFonts w:ascii="Calibri" w:hAnsi="Calibri" w:cs="Calibri"/>
          <w:bCs/>
          <w:iCs/>
          <w:noProof/>
        </w:rPr>
        <w:t>4</w:t>
      </w:r>
      <w:r w:rsidRPr="0004792C">
        <w:rPr>
          <w:rFonts w:ascii="Calibri" w:hAnsi="Calibri" w:cs="Calibri"/>
          <w:bCs/>
          <w:iCs/>
          <w:noProof/>
        </w:rPr>
        <w:t xml:space="preserve"> per cento di un valore aggiunto</w:t>
      </w:r>
      <w:r w:rsidR="00AF316A" w:rsidRPr="0004792C">
        <w:rPr>
          <w:rFonts w:ascii="Calibri" w:hAnsi="Calibri" w:cs="Calibri"/>
          <w:bCs/>
          <w:iCs/>
          <w:noProof/>
        </w:rPr>
        <w:t xml:space="preserve"> più contenuto</w:t>
      </w:r>
      <w:r w:rsidRPr="0004792C">
        <w:rPr>
          <w:rFonts w:ascii="Calibri" w:hAnsi="Calibri" w:cs="Calibri"/>
          <w:bCs/>
          <w:iCs/>
          <w:noProof/>
        </w:rPr>
        <w:t xml:space="preserve">, il turismo </w:t>
      </w:r>
      <w:r w:rsidR="00176172" w:rsidRPr="0004792C">
        <w:rPr>
          <w:rFonts w:ascii="Calibri" w:hAnsi="Calibri" w:cs="Calibri"/>
          <w:bCs/>
          <w:iCs/>
          <w:noProof/>
        </w:rPr>
        <w:t>di questo territorio</w:t>
      </w:r>
      <w:r w:rsidRPr="0004792C">
        <w:rPr>
          <w:rFonts w:ascii="Calibri" w:hAnsi="Calibri" w:cs="Calibri"/>
          <w:bCs/>
          <w:iCs/>
          <w:noProof/>
        </w:rPr>
        <w:t xml:space="preserve"> genera "lavoro povero": il salario medio, penalizzato anche dalla durata limitata della stagione e da una ridotta intensità lavorativa, si ferma a 1</w:t>
      </w:r>
      <w:r w:rsidR="00176172" w:rsidRPr="0004792C">
        <w:rPr>
          <w:rFonts w:ascii="Calibri" w:hAnsi="Calibri" w:cs="Calibri"/>
          <w:bCs/>
          <w:iCs/>
          <w:noProof/>
        </w:rPr>
        <w:t>5</w:t>
      </w:r>
      <w:r w:rsidRPr="0004792C">
        <w:rPr>
          <w:rFonts w:ascii="Calibri" w:hAnsi="Calibri" w:cs="Calibri"/>
          <w:bCs/>
          <w:iCs/>
          <w:noProof/>
        </w:rPr>
        <w:t xml:space="preserve"> mila euro per </w:t>
      </w:r>
      <w:r w:rsidR="00176172" w:rsidRPr="0004792C">
        <w:rPr>
          <w:rFonts w:ascii="Calibri" w:hAnsi="Calibri" w:cs="Calibri"/>
          <w:bCs/>
          <w:iCs/>
          <w:noProof/>
        </w:rPr>
        <w:t>dipendente</w:t>
      </w:r>
      <w:r w:rsidRPr="0004792C">
        <w:rPr>
          <w:rFonts w:ascii="Calibri" w:hAnsi="Calibri" w:cs="Calibri"/>
          <w:bCs/>
          <w:iCs/>
          <w:noProof/>
        </w:rPr>
        <w:t>, meno della metà di quello industriale. Di conseguenza, la capacità del settore di consolidare la ricchezza sul territorio è fortemente limitata, con il valore</w:t>
      </w:r>
      <w:r w:rsidR="009B4558" w:rsidRPr="0004792C">
        <w:rPr>
          <w:rFonts w:ascii="Calibri" w:hAnsi="Calibri" w:cs="Calibri"/>
          <w:bCs/>
          <w:iCs/>
          <w:noProof/>
        </w:rPr>
        <w:t xml:space="preserve"> aggiunto</w:t>
      </w:r>
      <w:r w:rsidRPr="0004792C">
        <w:rPr>
          <w:rFonts w:ascii="Calibri" w:hAnsi="Calibri" w:cs="Calibri"/>
          <w:bCs/>
          <w:iCs/>
          <w:noProof/>
        </w:rPr>
        <w:t xml:space="preserve"> trattenuto</w:t>
      </w:r>
      <w:r w:rsidR="00AF316A" w:rsidRPr="0004792C">
        <w:rPr>
          <w:rFonts w:ascii="Calibri" w:hAnsi="Calibri" w:cs="Calibri"/>
          <w:bCs/>
          <w:iCs/>
          <w:noProof/>
        </w:rPr>
        <w:t xml:space="preserve"> sul territorio</w:t>
      </w:r>
      <w:r w:rsidRPr="0004792C">
        <w:rPr>
          <w:rFonts w:ascii="Calibri" w:hAnsi="Calibri" w:cs="Calibri"/>
          <w:bCs/>
          <w:iCs/>
          <w:noProof/>
        </w:rPr>
        <w:t xml:space="preserve"> che </w:t>
      </w:r>
      <w:r w:rsidR="0004792C">
        <w:rPr>
          <w:rFonts w:ascii="Calibri" w:hAnsi="Calibri" w:cs="Calibri"/>
          <w:bCs/>
          <w:iCs/>
          <w:noProof/>
        </w:rPr>
        <w:t>si attesta</w:t>
      </w:r>
      <w:r w:rsidRPr="0004792C">
        <w:rPr>
          <w:rFonts w:ascii="Calibri" w:hAnsi="Calibri" w:cs="Calibri"/>
          <w:bCs/>
          <w:iCs/>
          <w:noProof/>
        </w:rPr>
        <w:t xml:space="preserve"> al 3</w:t>
      </w:r>
      <w:r w:rsidR="00176172" w:rsidRPr="0004792C">
        <w:rPr>
          <w:rFonts w:ascii="Calibri" w:hAnsi="Calibri" w:cs="Calibri"/>
          <w:bCs/>
          <w:iCs/>
          <w:noProof/>
        </w:rPr>
        <w:t xml:space="preserve">7 </w:t>
      </w:r>
      <w:r w:rsidRPr="0004792C">
        <w:rPr>
          <w:rFonts w:ascii="Calibri" w:hAnsi="Calibri" w:cs="Calibri"/>
          <w:bCs/>
          <w:iCs/>
          <w:noProof/>
        </w:rPr>
        <w:t>per cento</w:t>
      </w:r>
      <w:r w:rsidR="009B4558" w:rsidRPr="0004792C">
        <w:rPr>
          <w:rFonts w:ascii="Calibri" w:hAnsi="Calibri" w:cs="Calibri"/>
          <w:bCs/>
          <w:iCs/>
          <w:noProof/>
        </w:rPr>
        <w:t xml:space="preserve"> dei ricavi</w:t>
      </w:r>
      <w:r w:rsidRPr="0004792C">
        <w:rPr>
          <w:rFonts w:ascii="Calibri" w:hAnsi="Calibri" w:cs="Calibri"/>
          <w:bCs/>
          <w:iCs/>
          <w:noProof/>
        </w:rPr>
        <w:t>. Queste dinamiche delineano un ecosistema lavorativo fragile, bloccato in una trappola qualitativa e retributiva. Nonostante la forte presenza di manodopera giovanile, il comparto soffre di un deskilling, dovuto all'appiattimento su mansioni esecutive che spinge alla fuga i giovani più istruiti. Tali limiti strutturali – salari, stagionalità marcat</w:t>
      </w:r>
      <w:bookmarkStart w:id="0" w:name="_GoBack"/>
      <w:bookmarkEnd w:id="0"/>
      <w:r w:rsidRPr="0004792C">
        <w:rPr>
          <w:rFonts w:ascii="Calibri" w:hAnsi="Calibri" w:cs="Calibri"/>
          <w:bCs/>
          <w:iCs/>
          <w:noProof/>
        </w:rPr>
        <w:t>a – trasformano</w:t>
      </w:r>
      <w:r w:rsidRPr="00967EB2">
        <w:rPr>
          <w:rFonts w:ascii="Calibri" w:hAnsi="Calibri" w:cs="Calibri"/>
          <w:bCs/>
          <w:iCs/>
          <w:noProof/>
        </w:rPr>
        <w:t xml:space="preserve"> il turismo in un comparto di transito, incapace di offrire prospettive di stabilità a lungo termine per le famiglie del territorio.</w:t>
      </w:r>
    </w:p>
    <w:p w14:paraId="37EEFCF0" w14:textId="2C900F20" w:rsidR="00E61184" w:rsidRPr="00E61184" w:rsidRDefault="005F131B" w:rsidP="00E61184">
      <w:pPr>
        <w:spacing w:beforeLines="50" w:before="120"/>
        <w:rPr>
          <w:rFonts w:ascii="Calibri" w:hAnsi="Calibri" w:cs="Calibri"/>
          <w:b/>
          <w:iCs/>
          <w:noProof/>
        </w:rPr>
      </w:pPr>
      <w:r w:rsidRPr="005F131B">
        <w:rPr>
          <w:rFonts w:ascii="Calibri" w:hAnsi="Calibri" w:cs="Calibri"/>
          <w:b/>
          <w:iCs/>
          <w:noProof/>
        </w:rPr>
        <w:t xml:space="preserve">Redditi, </w:t>
      </w:r>
      <w:r>
        <w:rPr>
          <w:rFonts w:ascii="Calibri" w:hAnsi="Calibri" w:cs="Calibri"/>
          <w:b/>
          <w:iCs/>
          <w:noProof/>
        </w:rPr>
        <w:t>connettività</w:t>
      </w:r>
      <w:r w:rsidRPr="005F131B">
        <w:rPr>
          <w:rFonts w:ascii="Calibri" w:hAnsi="Calibri" w:cs="Calibri"/>
          <w:b/>
          <w:iCs/>
          <w:noProof/>
        </w:rPr>
        <w:t xml:space="preserve"> e svolta biologica del comparto agroalimentare</w:t>
      </w:r>
    </w:p>
    <w:p w14:paraId="1B8BBF50" w14:textId="731E6ED1" w:rsidR="00EF1D36" w:rsidRPr="00EF1D36" w:rsidRDefault="00EF1D36" w:rsidP="005F131B">
      <w:pPr>
        <w:rPr>
          <w:rFonts w:ascii="Calibri" w:hAnsi="Calibri" w:cs="Calibri"/>
          <w:bCs/>
          <w:iCs/>
          <w:noProof/>
        </w:rPr>
      </w:pPr>
      <w:r w:rsidRPr="00EF1D36">
        <w:rPr>
          <w:rFonts w:ascii="Calibri" w:hAnsi="Calibri" w:cs="Calibri"/>
          <w:bCs/>
          <w:iCs/>
          <w:noProof/>
        </w:rPr>
        <w:t xml:space="preserve">Sotto il profilo patrimoniale, i residenti della Val di Cecina dichiarano un reddito medio imponibile Irpef di </w:t>
      </w:r>
      <w:r w:rsidR="00176172">
        <w:rPr>
          <w:rFonts w:ascii="Calibri" w:hAnsi="Calibri" w:cs="Calibri"/>
          <w:bCs/>
          <w:iCs/>
          <w:noProof/>
        </w:rPr>
        <w:t>quasi 23 mila</w:t>
      </w:r>
      <w:r w:rsidRPr="00EF1D36">
        <w:rPr>
          <w:rFonts w:ascii="Calibri" w:hAnsi="Calibri" w:cs="Calibri"/>
          <w:bCs/>
          <w:iCs/>
          <w:noProof/>
        </w:rPr>
        <w:t xml:space="preserve"> euro nel 2024, espressione di un progresso nominale del 19 per cento rispetto all'anno d'imposta 2019, pesantemente depotenziato tuttavia dall'andamento inflattivo dell'ultimo triennio. Un elemento di vulnerabilità del territorio è insito nella composizione di questa ricchezza, generata per il 37 per cento da un monte redditi di natura pensionistica. Il panorama infrastrutturale sconta il progressivo ridimensionamento dei servizi di intermediazione finanziaria, certificato dalla chiusura del 18 per cento degli sportelli bancari, i quali mantengono comunque una densità </w:t>
      </w:r>
      <w:r w:rsidR="00D0245C">
        <w:rPr>
          <w:rFonts w:ascii="Calibri" w:hAnsi="Calibri" w:cs="Calibri"/>
          <w:bCs/>
          <w:iCs/>
          <w:noProof/>
        </w:rPr>
        <w:t xml:space="preserve">di </w:t>
      </w:r>
      <w:r w:rsidR="00AF316A">
        <w:rPr>
          <w:rFonts w:ascii="Calibri" w:hAnsi="Calibri" w:cs="Calibri"/>
          <w:bCs/>
          <w:iCs/>
          <w:noProof/>
        </w:rPr>
        <w:t>8,2 per 10 mila abitanti</w:t>
      </w:r>
      <w:r w:rsidRPr="00EF1D36">
        <w:rPr>
          <w:rFonts w:ascii="Calibri" w:hAnsi="Calibri" w:cs="Calibri"/>
          <w:bCs/>
          <w:iCs/>
          <w:noProof/>
        </w:rPr>
        <w:t xml:space="preserve">. Di segno opposto si rivela il processo di modernizzazione digitale, con la rete a banda ultralarga FTTH </w:t>
      </w:r>
      <w:r w:rsidR="00AF316A">
        <w:rPr>
          <w:rFonts w:ascii="Calibri" w:hAnsi="Calibri" w:cs="Calibri"/>
          <w:bCs/>
          <w:iCs/>
          <w:noProof/>
        </w:rPr>
        <w:t xml:space="preserve">(Fiber to The Home) </w:t>
      </w:r>
      <w:r w:rsidRPr="00EF1D36">
        <w:rPr>
          <w:rFonts w:ascii="Calibri" w:hAnsi="Calibri" w:cs="Calibri"/>
          <w:bCs/>
          <w:iCs/>
          <w:noProof/>
        </w:rPr>
        <w:t xml:space="preserve">prevista in estensione fino alla copertura del 79 per cento delle unità immobiliari entro il 2026. Parallelamente, il settore agroalimentare, asse portante dell'economia di </w:t>
      </w:r>
      <w:r w:rsidR="00AF316A">
        <w:rPr>
          <w:rFonts w:ascii="Calibri" w:hAnsi="Calibri" w:cs="Calibri"/>
          <w:bCs/>
          <w:iCs/>
          <w:noProof/>
        </w:rPr>
        <w:t>questo territorio</w:t>
      </w:r>
      <w:r w:rsidRPr="00EF1D36">
        <w:rPr>
          <w:rFonts w:ascii="Calibri" w:hAnsi="Calibri" w:cs="Calibri"/>
          <w:bCs/>
          <w:iCs/>
          <w:noProof/>
        </w:rPr>
        <w:t>, sta compiendo una radicale evoluzione. Si assiste a una rapida riduzione delle aziende agricole di mera sussistenza, la cui incidenza crolla dal 52 al 43 per cento</w:t>
      </w:r>
      <w:r w:rsidR="00AF316A">
        <w:rPr>
          <w:rFonts w:ascii="Calibri" w:hAnsi="Calibri" w:cs="Calibri"/>
          <w:bCs/>
          <w:iCs/>
          <w:noProof/>
        </w:rPr>
        <w:t xml:space="preserve"> dal 2017 al 2024</w:t>
      </w:r>
      <w:r w:rsidRPr="00EF1D36">
        <w:rPr>
          <w:rFonts w:ascii="Calibri" w:hAnsi="Calibri" w:cs="Calibri"/>
          <w:bCs/>
          <w:iCs/>
          <w:noProof/>
        </w:rPr>
        <w:t xml:space="preserve">, a fronte del consolidamento di imprese maggiormente strutturate e capitalizzate. Questa maturazione imprenditoriale </w:t>
      </w:r>
      <w:r w:rsidR="00AF316A">
        <w:rPr>
          <w:rFonts w:ascii="Calibri" w:hAnsi="Calibri" w:cs="Calibri"/>
          <w:bCs/>
          <w:iCs/>
          <w:noProof/>
        </w:rPr>
        <w:t>fa paio</w:t>
      </w:r>
      <w:r w:rsidRPr="00EF1D36">
        <w:rPr>
          <w:rFonts w:ascii="Calibri" w:hAnsi="Calibri" w:cs="Calibri"/>
          <w:bCs/>
          <w:iCs/>
          <w:noProof/>
        </w:rPr>
        <w:t xml:space="preserve"> con una </w:t>
      </w:r>
      <w:r w:rsidR="00AF316A">
        <w:rPr>
          <w:rFonts w:ascii="Calibri" w:hAnsi="Calibri" w:cs="Calibri"/>
          <w:bCs/>
          <w:iCs/>
          <w:noProof/>
        </w:rPr>
        <w:t>decisa</w:t>
      </w:r>
      <w:r w:rsidRPr="00EF1D36">
        <w:rPr>
          <w:rFonts w:ascii="Calibri" w:hAnsi="Calibri" w:cs="Calibri"/>
          <w:bCs/>
          <w:iCs/>
          <w:noProof/>
        </w:rPr>
        <w:t xml:space="preserve"> transizione ecologica, testimoniata dall'incremento del 45 per cento degli operatori biologici, le cui coltivazioni coprono ora il 59 per cento dell'intera superficie agricola utilizzata territoriale, in stretta sinergia funzionale ed economica con i 274 agriturismi diffusi nel comprensorio. </w:t>
      </w:r>
    </w:p>
    <w:p w14:paraId="22D04A83" w14:textId="1410C5B5" w:rsidR="008A1BAE" w:rsidRDefault="006F4615" w:rsidP="005F131B">
      <w:pPr>
        <w:pBdr>
          <w:top w:val="nil"/>
          <w:left w:val="nil"/>
          <w:bottom w:val="nil"/>
          <w:right w:val="nil"/>
          <w:between w:val="nil"/>
        </w:pBdr>
        <w:spacing w:before="60"/>
        <w:rPr>
          <w:rFonts w:asciiTheme="majorHAnsi" w:eastAsia="Calibri" w:hAnsiTheme="majorHAnsi" w:cstheme="majorHAnsi"/>
          <w:sz w:val="23"/>
          <w:szCs w:val="23"/>
        </w:rPr>
      </w:pPr>
      <w:r>
        <w:rPr>
          <w:rFonts w:asciiTheme="majorHAnsi" w:eastAsia="Calibri" w:hAnsiTheme="majorHAnsi" w:cstheme="majorHAnsi"/>
          <w:sz w:val="23"/>
          <w:szCs w:val="23"/>
        </w:rPr>
        <w:t>Lo slide report</w:t>
      </w:r>
      <w:r w:rsidRPr="001626B9">
        <w:rPr>
          <w:rFonts w:asciiTheme="majorHAnsi" w:eastAsia="Calibri" w:hAnsiTheme="majorHAnsi" w:cstheme="majorHAnsi"/>
          <w:sz w:val="23"/>
          <w:szCs w:val="23"/>
        </w:rPr>
        <w:t xml:space="preserve"> completo</w:t>
      </w:r>
      <w:r>
        <w:rPr>
          <w:rFonts w:asciiTheme="majorHAnsi" w:eastAsia="Calibri" w:hAnsiTheme="majorHAnsi" w:cstheme="majorHAnsi"/>
          <w:sz w:val="23"/>
          <w:szCs w:val="23"/>
        </w:rPr>
        <w:t xml:space="preserve"> </w:t>
      </w:r>
      <w:r w:rsidRPr="001626B9">
        <w:rPr>
          <w:rFonts w:asciiTheme="majorHAnsi" w:eastAsia="Calibri" w:hAnsiTheme="majorHAnsi" w:cstheme="majorHAnsi"/>
          <w:sz w:val="23"/>
          <w:szCs w:val="23"/>
        </w:rPr>
        <w:t xml:space="preserve">è scaricabile dal sito </w:t>
      </w:r>
      <w:hyperlink r:id="rId7">
        <w:r w:rsidRPr="001626B9">
          <w:rPr>
            <w:rFonts w:asciiTheme="majorHAnsi" w:eastAsia="Calibri" w:hAnsiTheme="majorHAnsi" w:cstheme="majorHAnsi"/>
            <w:color w:val="0000FF"/>
            <w:sz w:val="23"/>
            <w:szCs w:val="23"/>
            <w:u w:val="single"/>
          </w:rPr>
          <w:t>www.isr-ms.it</w:t>
        </w:r>
      </w:hyperlink>
      <w:r w:rsidRPr="001626B9">
        <w:rPr>
          <w:rFonts w:asciiTheme="majorHAnsi" w:eastAsia="Calibri" w:hAnsiTheme="majorHAnsi" w:cstheme="majorHAnsi"/>
          <w:sz w:val="23"/>
          <w:szCs w:val="23"/>
        </w:rPr>
        <w:t>.</w:t>
      </w:r>
      <w:bookmarkStart w:id="1" w:name="_gjdgxs" w:colFirst="0" w:colLast="0"/>
      <w:bookmarkEnd w:id="1"/>
    </w:p>
    <w:p w14:paraId="3D52DE0D" w14:textId="77777777" w:rsidR="00AF316A" w:rsidRDefault="00AF316A" w:rsidP="008A1BAE">
      <w:pPr>
        <w:tabs>
          <w:tab w:val="center" w:pos="4819"/>
          <w:tab w:val="right" w:pos="9638"/>
        </w:tabs>
        <w:rPr>
          <w:rFonts w:asciiTheme="majorHAnsi" w:eastAsia="Calibri" w:hAnsiTheme="majorHAnsi" w:cstheme="majorHAnsi"/>
          <w:b/>
          <w:bCs/>
          <w:sz w:val="23"/>
          <w:szCs w:val="23"/>
        </w:rPr>
      </w:pPr>
    </w:p>
    <w:p w14:paraId="3D0704D9" w14:textId="4F4FA3FC" w:rsidR="008A1BAE" w:rsidRPr="005859A4" w:rsidRDefault="008A1BAE" w:rsidP="008A1BAE">
      <w:pPr>
        <w:tabs>
          <w:tab w:val="center" w:pos="4819"/>
          <w:tab w:val="right" w:pos="9638"/>
        </w:tabs>
        <w:rPr>
          <w:rFonts w:asciiTheme="majorHAnsi" w:eastAsia="Calibri" w:hAnsiTheme="majorHAnsi" w:cstheme="majorHAnsi"/>
          <w:b/>
          <w:bCs/>
          <w:sz w:val="23"/>
          <w:szCs w:val="23"/>
        </w:rPr>
      </w:pPr>
      <w:r w:rsidRPr="005859A4">
        <w:rPr>
          <w:rFonts w:asciiTheme="majorHAnsi" w:eastAsia="Calibri" w:hAnsiTheme="majorHAnsi" w:cstheme="majorHAnsi"/>
          <w:b/>
          <w:bCs/>
          <w:sz w:val="23"/>
          <w:szCs w:val="23"/>
        </w:rPr>
        <w:t>Camera di commercio della Toscana Nord-Ovest</w:t>
      </w:r>
    </w:p>
    <w:p w14:paraId="19B85A1C" w14:textId="77777777" w:rsidR="005F38B2" w:rsidRDefault="008A1BAE" w:rsidP="008A1BAE">
      <w:pPr>
        <w:tabs>
          <w:tab w:val="center" w:pos="4819"/>
          <w:tab w:val="right" w:pos="9638"/>
        </w:tabs>
        <w:rPr>
          <w:rFonts w:asciiTheme="majorHAnsi" w:eastAsia="Calibri" w:hAnsiTheme="majorHAnsi" w:cstheme="majorHAnsi"/>
          <w:sz w:val="23"/>
          <w:szCs w:val="23"/>
        </w:rPr>
      </w:pPr>
      <w:r w:rsidRPr="005859A4">
        <w:rPr>
          <w:rFonts w:asciiTheme="majorHAnsi" w:eastAsia="Calibri" w:hAnsiTheme="majorHAnsi" w:cstheme="majorHAnsi"/>
          <w:sz w:val="23"/>
          <w:szCs w:val="23"/>
        </w:rPr>
        <w:t>Comunicazione: Alberto Susini: 050 512.294</w:t>
      </w:r>
    </w:p>
    <w:p w14:paraId="154A90D5" w14:textId="0DB9532B" w:rsidR="008A1BAE" w:rsidRPr="001626B9" w:rsidRDefault="008A1BAE" w:rsidP="008A1BAE">
      <w:pPr>
        <w:tabs>
          <w:tab w:val="center" w:pos="4819"/>
          <w:tab w:val="right" w:pos="9638"/>
        </w:tabs>
        <w:rPr>
          <w:rFonts w:asciiTheme="majorHAnsi" w:eastAsia="Calibri" w:hAnsiTheme="majorHAnsi" w:cstheme="majorHAnsi"/>
          <w:sz w:val="23"/>
          <w:szCs w:val="23"/>
        </w:rPr>
      </w:pPr>
      <w:r w:rsidRPr="005859A4">
        <w:rPr>
          <w:rFonts w:asciiTheme="majorHAnsi" w:eastAsia="Calibri" w:hAnsiTheme="majorHAnsi" w:cstheme="majorHAnsi"/>
          <w:sz w:val="23"/>
          <w:szCs w:val="23"/>
        </w:rPr>
        <w:t xml:space="preserve">comunicazione@tno.camcom.it </w:t>
      </w:r>
      <w:r w:rsidR="001B439B">
        <w:rPr>
          <w:rFonts w:asciiTheme="majorHAnsi" w:eastAsia="Calibri" w:hAnsiTheme="majorHAnsi" w:cstheme="majorHAnsi"/>
          <w:sz w:val="23"/>
          <w:szCs w:val="23"/>
        </w:rPr>
        <w:t xml:space="preserve">- </w:t>
      </w:r>
      <w:hyperlink r:id="rId8" w:history="1">
        <w:r w:rsidR="004D19FF" w:rsidRPr="005859A4">
          <w:rPr>
            <w:rStyle w:val="Collegamentoipertestuale"/>
            <w:rFonts w:asciiTheme="majorHAnsi" w:eastAsia="Calibri" w:hAnsiTheme="majorHAnsi" w:cstheme="majorHAnsi"/>
            <w:sz w:val="23"/>
            <w:szCs w:val="23"/>
          </w:rPr>
          <w:t>www.tno.camcom.it</w:t>
        </w:r>
      </w:hyperlink>
    </w:p>
    <w:sectPr w:rsidR="008A1BAE" w:rsidRPr="001626B9" w:rsidSect="00AD7EC0">
      <w:footerReference w:type="default" r:id="rId9"/>
      <w:headerReference w:type="first" r:id="rId10"/>
      <w:footerReference w:type="first" r:id="rId11"/>
      <w:pgSz w:w="11906" w:h="16838"/>
      <w:pgMar w:top="1560" w:right="1559" w:bottom="1418" w:left="1559" w:header="426" w:footer="2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2B1C64" w14:textId="77777777" w:rsidR="0077624C" w:rsidRDefault="0077624C">
      <w:r>
        <w:separator/>
      </w:r>
    </w:p>
  </w:endnote>
  <w:endnote w:type="continuationSeparator" w:id="0">
    <w:p w14:paraId="5747F3FB" w14:textId="77777777" w:rsidR="0077624C" w:rsidRDefault="00776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hAnsiTheme="majorHAnsi" w:cstheme="majorHAnsi"/>
        <w:sz w:val="20"/>
        <w:szCs w:val="20"/>
      </w:rPr>
      <w:id w:val="-164858516"/>
      <w:docPartObj>
        <w:docPartGallery w:val="Page Numbers (Bottom of Page)"/>
        <w:docPartUnique/>
      </w:docPartObj>
    </w:sdtPr>
    <w:sdtEndPr/>
    <w:sdtContent>
      <w:p w14:paraId="79F2EF7E" w14:textId="1ADC7DE6" w:rsidR="00AD7EC0" w:rsidRPr="00AD7EC0" w:rsidRDefault="00AD7EC0">
        <w:pPr>
          <w:pStyle w:val="Pidipagina"/>
          <w:jc w:val="right"/>
          <w:rPr>
            <w:rFonts w:asciiTheme="majorHAnsi" w:hAnsiTheme="majorHAnsi" w:cstheme="majorHAnsi"/>
            <w:sz w:val="20"/>
            <w:szCs w:val="20"/>
          </w:rPr>
        </w:pPr>
        <w:r w:rsidRPr="00AD7EC0">
          <w:rPr>
            <w:rFonts w:asciiTheme="majorHAnsi" w:hAnsiTheme="majorHAnsi" w:cstheme="majorHAnsi"/>
            <w:sz w:val="20"/>
            <w:szCs w:val="20"/>
          </w:rPr>
          <w:fldChar w:fldCharType="begin"/>
        </w:r>
        <w:r w:rsidRPr="00AD7EC0">
          <w:rPr>
            <w:rFonts w:asciiTheme="majorHAnsi" w:hAnsiTheme="majorHAnsi" w:cstheme="majorHAnsi"/>
            <w:sz w:val="20"/>
            <w:szCs w:val="20"/>
          </w:rPr>
          <w:instrText>PAGE   \* MERGEFORMAT</w:instrText>
        </w:r>
        <w:r w:rsidRPr="00AD7EC0">
          <w:rPr>
            <w:rFonts w:asciiTheme="majorHAnsi" w:hAnsiTheme="majorHAnsi" w:cstheme="majorHAnsi"/>
            <w:sz w:val="20"/>
            <w:szCs w:val="20"/>
          </w:rPr>
          <w:fldChar w:fldCharType="separate"/>
        </w:r>
        <w:r w:rsidRPr="00AD7EC0">
          <w:rPr>
            <w:rFonts w:asciiTheme="majorHAnsi" w:hAnsiTheme="majorHAnsi" w:cstheme="majorHAnsi"/>
            <w:sz w:val="20"/>
            <w:szCs w:val="20"/>
          </w:rPr>
          <w:t>2</w:t>
        </w:r>
        <w:r w:rsidRPr="00AD7EC0">
          <w:rPr>
            <w:rFonts w:asciiTheme="majorHAnsi" w:hAnsiTheme="majorHAnsi" w:cstheme="majorHAnsi"/>
            <w:sz w:val="20"/>
            <w:szCs w:val="20"/>
          </w:rPr>
          <w:fldChar w:fldCharType="end"/>
        </w:r>
      </w:p>
    </w:sdtContent>
  </w:sdt>
  <w:p w14:paraId="6016773D" w14:textId="77777777" w:rsidR="00AD7EC0" w:rsidRDefault="00AD7EC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5686539"/>
      <w:docPartObj>
        <w:docPartGallery w:val="Page Numbers (Bottom of Page)"/>
        <w:docPartUnique/>
      </w:docPartObj>
    </w:sdtPr>
    <w:sdtEndPr/>
    <w:sdtContent>
      <w:p w14:paraId="013C10E4" w14:textId="2DF23032" w:rsidR="00B531AC" w:rsidRDefault="00B531AC">
        <w:pPr>
          <w:pStyle w:val="Pidipagina"/>
          <w:jc w:val="center"/>
        </w:pPr>
        <w:r w:rsidRPr="00B531AC">
          <w:rPr>
            <w:rFonts w:asciiTheme="majorHAnsi" w:hAnsiTheme="majorHAnsi" w:cstheme="majorHAnsi"/>
          </w:rPr>
          <w:fldChar w:fldCharType="begin"/>
        </w:r>
        <w:r w:rsidRPr="00B531AC">
          <w:rPr>
            <w:rFonts w:asciiTheme="majorHAnsi" w:hAnsiTheme="majorHAnsi" w:cstheme="majorHAnsi"/>
          </w:rPr>
          <w:instrText>PAGE   \* MERGEFORMAT</w:instrText>
        </w:r>
        <w:r w:rsidRPr="00B531AC">
          <w:rPr>
            <w:rFonts w:asciiTheme="majorHAnsi" w:hAnsiTheme="majorHAnsi" w:cstheme="majorHAnsi"/>
          </w:rPr>
          <w:fldChar w:fldCharType="separate"/>
        </w:r>
        <w:r w:rsidRPr="00B531AC">
          <w:rPr>
            <w:rFonts w:asciiTheme="majorHAnsi" w:hAnsiTheme="majorHAnsi" w:cstheme="majorHAnsi"/>
          </w:rPr>
          <w:t>2</w:t>
        </w:r>
        <w:r w:rsidRPr="00B531AC">
          <w:rPr>
            <w:rFonts w:asciiTheme="majorHAnsi" w:hAnsiTheme="majorHAnsi" w:cstheme="majorHAnsi"/>
          </w:rPr>
          <w:fldChar w:fldCharType="end"/>
        </w:r>
      </w:p>
    </w:sdtContent>
  </w:sdt>
  <w:p w14:paraId="0AD751D2" w14:textId="77777777" w:rsidR="00B531AC" w:rsidRDefault="00B531A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478A22" w14:textId="77777777" w:rsidR="0077624C" w:rsidRDefault="0077624C">
      <w:r>
        <w:separator/>
      </w:r>
    </w:p>
  </w:footnote>
  <w:footnote w:type="continuationSeparator" w:id="0">
    <w:p w14:paraId="55E5F53B" w14:textId="77777777" w:rsidR="0077624C" w:rsidRDefault="00776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BCC9A" w14:textId="7C3DF043" w:rsidR="00AD7EC0" w:rsidRDefault="00AD7EC0">
    <w:pPr>
      <w:pStyle w:val="Intestazione"/>
    </w:pPr>
    <w:r>
      <w:rPr>
        <w:noProof/>
      </w:rPr>
      <w:drawing>
        <wp:anchor distT="0" distB="0" distL="114300" distR="114300" simplePos="0" relativeHeight="251659264" behindDoc="0" locked="0" layoutInCell="1" hidden="0" allowOverlap="1" wp14:anchorId="6F3730CD" wp14:editId="3358090E">
          <wp:simplePos x="0" y="0"/>
          <wp:positionH relativeFrom="column">
            <wp:posOffset>0</wp:posOffset>
          </wp:positionH>
          <wp:positionV relativeFrom="paragraph">
            <wp:posOffset>177800</wp:posOffset>
          </wp:positionV>
          <wp:extent cx="2880995" cy="52451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880995" cy="52451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53603D2B" wp14:editId="2E1787B8">
          <wp:simplePos x="0" y="0"/>
          <wp:positionH relativeFrom="column">
            <wp:posOffset>3014345</wp:posOffset>
          </wp:positionH>
          <wp:positionV relativeFrom="paragraph">
            <wp:posOffset>177800</wp:posOffset>
          </wp:positionV>
          <wp:extent cx="2961640" cy="4572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96164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4CB"/>
    <w:rsid w:val="000123E1"/>
    <w:rsid w:val="0003152C"/>
    <w:rsid w:val="00031C41"/>
    <w:rsid w:val="00032B90"/>
    <w:rsid w:val="00033327"/>
    <w:rsid w:val="00044DDF"/>
    <w:rsid w:val="0004792C"/>
    <w:rsid w:val="000549D5"/>
    <w:rsid w:val="000B6159"/>
    <w:rsid w:val="001001D2"/>
    <w:rsid w:val="00101F13"/>
    <w:rsid w:val="001548CE"/>
    <w:rsid w:val="00154CEF"/>
    <w:rsid w:val="001626B9"/>
    <w:rsid w:val="00172DCF"/>
    <w:rsid w:val="00176172"/>
    <w:rsid w:val="00196ACD"/>
    <w:rsid w:val="001B439B"/>
    <w:rsid w:val="001D0954"/>
    <w:rsid w:val="001D74CE"/>
    <w:rsid w:val="001E70EA"/>
    <w:rsid w:val="001F5FC0"/>
    <w:rsid w:val="00206966"/>
    <w:rsid w:val="002212F4"/>
    <w:rsid w:val="00222C42"/>
    <w:rsid w:val="002233A6"/>
    <w:rsid w:val="00240A08"/>
    <w:rsid w:val="00246AE7"/>
    <w:rsid w:val="00280736"/>
    <w:rsid w:val="002A379D"/>
    <w:rsid w:val="002C6720"/>
    <w:rsid w:val="002E1368"/>
    <w:rsid w:val="002E1CE7"/>
    <w:rsid w:val="0032799D"/>
    <w:rsid w:val="00347736"/>
    <w:rsid w:val="00356851"/>
    <w:rsid w:val="003C729D"/>
    <w:rsid w:val="003D7387"/>
    <w:rsid w:val="00410156"/>
    <w:rsid w:val="00430F7A"/>
    <w:rsid w:val="004440C7"/>
    <w:rsid w:val="004452D4"/>
    <w:rsid w:val="004701FF"/>
    <w:rsid w:val="004849CB"/>
    <w:rsid w:val="004B13E4"/>
    <w:rsid w:val="004B665C"/>
    <w:rsid w:val="004C7A84"/>
    <w:rsid w:val="004D19FF"/>
    <w:rsid w:val="004D4D55"/>
    <w:rsid w:val="0052165D"/>
    <w:rsid w:val="00563E06"/>
    <w:rsid w:val="005859A4"/>
    <w:rsid w:val="005B645A"/>
    <w:rsid w:val="005B6695"/>
    <w:rsid w:val="005C3A1E"/>
    <w:rsid w:val="005E1C53"/>
    <w:rsid w:val="005F131B"/>
    <w:rsid w:val="005F38B2"/>
    <w:rsid w:val="005F4CD3"/>
    <w:rsid w:val="005F53D3"/>
    <w:rsid w:val="005F663A"/>
    <w:rsid w:val="0061628F"/>
    <w:rsid w:val="00622CA1"/>
    <w:rsid w:val="00667223"/>
    <w:rsid w:val="00685C29"/>
    <w:rsid w:val="006969E7"/>
    <w:rsid w:val="006A3848"/>
    <w:rsid w:val="006C6456"/>
    <w:rsid w:val="006F4615"/>
    <w:rsid w:val="006F69EC"/>
    <w:rsid w:val="00707BA7"/>
    <w:rsid w:val="00713135"/>
    <w:rsid w:val="00726F5E"/>
    <w:rsid w:val="00741E27"/>
    <w:rsid w:val="00775C54"/>
    <w:rsid w:val="0077624C"/>
    <w:rsid w:val="007C200F"/>
    <w:rsid w:val="007D4019"/>
    <w:rsid w:val="007E4411"/>
    <w:rsid w:val="0086649D"/>
    <w:rsid w:val="00875D5A"/>
    <w:rsid w:val="00877888"/>
    <w:rsid w:val="00894298"/>
    <w:rsid w:val="008A0006"/>
    <w:rsid w:val="008A1BAE"/>
    <w:rsid w:val="008B36D3"/>
    <w:rsid w:val="008B5399"/>
    <w:rsid w:val="008F5A4C"/>
    <w:rsid w:val="0090506A"/>
    <w:rsid w:val="00930CB6"/>
    <w:rsid w:val="00932FDD"/>
    <w:rsid w:val="009637BB"/>
    <w:rsid w:val="00965340"/>
    <w:rsid w:val="00967EB2"/>
    <w:rsid w:val="009A301F"/>
    <w:rsid w:val="009B4558"/>
    <w:rsid w:val="009C3FE5"/>
    <w:rsid w:val="009E4558"/>
    <w:rsid w:val="00A14853"/>
    <w:rsid w:val="00A427D1"/>
    <w:rsid w:val="00A553B0"/>
    <w:rsid w:val="00A96C60"/>
    <w:rsid w:val="00A97A04"/>
    <w:rsid w:val="00AB1EAF"/>
    <w:rsid w:val="00AD7EC0"/>
    <w:rsid w:val="00AF316A"/>
    <w:rsid w:val="00B017BE"/>
    <w:rsid w:val="00B03B2F"/>
    <w:rsid w:val="00B11F6E"/>
    <w:rsid w:val="00B1638F"/>
    <w:rsid w:val="00B531AC"/>
    <w:rsid w:val="00B91DF2"/>
    <w:rsid w:val="00B91EAB"/>
    <w:rsid w:val="00B95E49"/>
    <w:rsid w:val="00BA6AB2"/>
    <w:rsid w:val="00BB0ACB"/>
    <w:rsid w:val="00BE6B15"/>
    <w:rsid w:val="00C130C7"/>
    <w:rsid w:val="00C360AE"/>
    <w:rsid w:val="00C97CB3"/>
    <w:rsid w:val="00CC1B31"/>
    <w:rsid w:val="00CD1E1C"/>
    <w:rsid w:val="00CE7197"/>
    <w:rsid w:val="00CF34CB"/>
    <w:rsid w:val="00CF53A6"/>
    <w:rsid w:val="00D0245C"/>
    <w:rsid w:val="00D037E3"/>
    <w:rsid w:val="00D538C3"/>
    <w:rsid w:val="00D84919"/>
    <w:rsid w:val="00D90949"/>
    <w:rsid w:val="00DB5EB8"/>
    <w:rsid w:val="00DD0334"/>
    <w:rsid w:val="00DE303C"/>
    <w:rsid w:val="00DE36C2"/>
    <w:rsid w:val="00DF2640"/>
    <w:rsid w:val="00DF6D47"/>
    <w:rsid w:val="00E019B0"/>
    <w:rsid w:val="00E171D3"/>
    <w:rsid w:val="00E60DA3"/>
    <w:rsid w:val="00E61184"/>
    <w:rsid w:val="00E871CF"/>
    <w:rsid w:val="00E91A1E"/>
    <w:rsid w:val="00E96EB6"/>
    <w:rsid w:val="00EA1DB9"/>
    <w:rsid w:val="00EA3AB0"/>
    <w:rsid w:val="00EB15BA"/>
    <w:rsid w:val="00EB7161"/>
    <w:rsid w:val="00EF1D36"/>
    <w:rsid w:val="00F32875"/>
    <w:rsid w:val="00F379FD"/>
    <w:rsid w:val="00F57C84"/>
    <w:rsid w:val="00F901BF"/>
    <w:rsid w:val="00F97A58"/>
    <w:rsid w:val="00FA78A0"/>
    <w:rsid w:val="00FD18E9"/>
    <w:rsid w:val="00FE04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4353A"/>
  <w15:docId w15:val="{2B0C7CCB-8D9F-4FBC-A899-839C272A7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it-IT" w:eastAsia="it-IT"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jc w:val="center"/>
      <w:outlineLvl w:val="0"/>
    </w:pPr>
    <w:rPr>
      <w:b/>
    </w:rPr>
  </w:style>
  <w:style w:type="paragraph" w:styleId="Titolo2">
    <w:name w:val="heading 2"/>
    <w:basedOn w:val="Normale"/>
    <w:next w:val="Normale"/>
    <w:uiPriority w:val="9"/>
    <w:semiHidden/>
    <w:unhideWhenUsed/>
    <w:qFormat/>
    <w:pPr>
      <w:keepNext/>
      <w:outlineLvl w:val="1"/>
    </w:pPr>
    <w:rPr>
      <w:b/>
    </w:rPr>
  </w:style>
  <w:style w:type="paragraph" w:styleId="Titolo3">
    <w:name w:val="heading 3"/>
    <w:basedOn w:val="Normale"/>
    <w:next w:val="Normale"/>
    <w:uiPriority w:val="9"/>
    <w:semiHidden/>
    <w:unhideWhenUsed/>
    <w:qFormat/>
    <w:pPr>
      <w:keepNext/>
      <w:outlineLvl w:val="2"/>
    </w:pPr>
    <w:rPr>
      <w:b/>
      <w:sz w:val="22"/>
      <w:szCs w:val="22"/>
    </w:rPr>
  </w:style>
  <w:style w:type="paragraph" w:styleId="Titolo4">
    <w:name w:val="heading 4"/>
    <w:basedOn w:val="Normale"/>
    <w:next w:val="Normale"/>
    <w:uiPriority w:val="9"/>
    <w:semiHidden/>
    <w:unhideWhenUsed/>
    <w:qFormat/>
    <w:pPr>
      <w:keepNext/>
      <w:outlineLvl w:val="3"/>
    </w:pPr>
    <w:rPr>
      <w:rFonts w:ascii="Verdana" w:eastAsia="Verdana" w:hAnsi="Verdana" w:cs="Verdana"/>
      <w:b/>
      <w:sz w:val="20"/>
      <w:szCs w:val="20"/>
    </w:rPr>
  </w:style>
  <w:style w:type="paragraph" w:styleId="Titolo5">
    <w:name w:val="heading 5"/>
    <w:basedOn w:val="Normale"/>
    <w:next w:val="Normale"/>
    <w:uiPriority w:val="9"/>
    <w:semiHidden/>
    <w:unhideWhenUsed/>
    <w:qFormat/>
    <w:pPr>
      <w:keepNext/>
      <w:jc w:val="center"/>
      <w:outlineLvl w:val="4"/>
    </w:pPr>
    <w:rPr>
      <w:sz w:val="28"/>
      <w:szCs w:val="28"/>
    </w:rPr>
  </w:style>
  <w:style w:type="paragraph" w:styleId="Titolo6">
    <w:name w:val="heading 6"/>
    <w:basedOn w:val="Normale"/>
    <w:next w:val="Normale"/>
    <w:uiPriority w:val="9"/>
    <w:semiHidden/>
    <w:unhideWhenUsed/>
    <w:qFormat/>
    <w:pPr>
      <w:keepNext/>
      <w:jc w:val="left"/>
      <w:outlineLvl w:val="5"/>
    </w:pPr>
    <w:rPr>
      <w:rFonts w:ascii="Arial" w:eastAsia="Arial" w:hAnsi="Arial" w:cs="Arial"/>
      <w:b/>
      <w:color w:val="00000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jc w:val="center"/>
    </w:pPr>
    <w:rPr>
      <w:i/>
      <w:sz w:val="26"/>
      <w:szCs w:val="26"/>
    </w:rPr>
  </w:style>
  <w:style w:type="paragraph" w:styleId="Sottotitolo">
    <w:name w:val="Subtitle"/>
    <w:basedOn w:val="Normale"/>
    <w:next w:val="Normale"/>
    <w:uiPriority w:val="11"/>
    <w:qFormat/>
    <w:pPr>
      <w:jc w:val="center"/>
    </w:pPr>
    <w:rPr>
      <w:b/>
      <w:sz w:val="32"/>
      <w:szCs w:val="32"/>
    </w:rPr>
  </w:style>
  <w:style w:type="character" w:styleId="Collegamentoipertestuale">
    <w:name w:val="Hyperlink"/>
    <w:basedOn w:val="Carpredefinitoparagrafo"/>
    <w:uiPriority w:val="99"/>
    <w:unhideWhenUsed/>
    <w:rsid w:val="00622CA1"/>
    <w:rPr>
      <w:color w:val="0000FF" w:themeColor="hyperlink"/>
      <w:u w:val="single"/>
    </w:rPr>
  </w:style>
  <w:style w:type="character" w:styleId="Menzionenonrisolta">
    <w:name w:val="Unresolved Mention"/>
    <w:basedOn w:val="Carpredefinitoparagrafo"/>
    <w:uiPriority w:val="99"/>
    <w:semiHidden/>
    <w:unhideWhenUsed/>
    <w:rsid w:val="00622CA1"/>
    <w:rPr>
      <w:color w:val="605E5C"/>
      <w:shd w:val="clear" w:color="auto" w:fill="E1DFDD"/>
    </w:rPr>
  </w:style>
  <w:style w:type="paragraph" w:styleId="NormaleWeb">
    <w:name w:val="Normal (Web)"/>
    <w:basedOn w:val="Normale"/>
    <w:uiPriority w:val="99"/>
    <w:semiHidden/>
    <w:unhideWhenUsed/>
    <w:rsid w:val="00347736"/>
  </w:style>
  <w:style w:type="paragraph" w:styleId="Intestazione">
    <w:name w:val="header"/>
    <w:basedOn w:val="Normale"/>
    <w:link w:val="IntestazioneCarattere"/>
    <w:uiPriority w:val="99"/>
    <w:unhideWhenUsed/>
    <w:rsid w:val="00877888"/>
    <w:pPr>
      <w:tabs>
        <w:tab w:val="center" w:pos="4819"/>
        <w:tab w:val="right" w:pos="9638"/>
      </w:tabs>
    </w:pPr>
  </w:style>
  <w:style w:type="character" w:customStyle="1" w:styleId="IntestazioneCarattere">
    <w:name w:val="Intestazione Carattere"/>
    <w:basedOn w:val="Carpredefinitoparagrafo"/>
    <w:link w:val="Intestazione"/>
    <w:uiPriority w:val="99"/>
    <w:rsid w:val="00877888"/>
  </w:style>
  <w:style w:type="paragraph" w:styleId="Pidipagina">
    <w:name w:val="footer"/>
    <w:basedOn w:val="Normale"/>
    <w:link w:val="PidipaginaCarattere"/>
    <w:uiPriority w:val="99"/>
    <w:unhideWhenUsed/>
    <w:rsid w:val="00877888"/>
    <w:pPr>
      <w:tabs>
        <w:tab w:val="center" w:pos="4819"/>
        <w:tab w:val="right" w:pos="9638"/>
      </w:tabs>
    </w:pPr>
  </w:style>
  <w:style w:type="character" w:customStyle="1" w:styleId="PidipaginaCarattere">
    <w:name w:val="Piè di pagina Carattere"/>
    <w:basedOn w:val="Carpredefinitoparagrafo"/>
    <w:link w:val="Pidipagina"/>
    <w:uiPriority w:val="99"/>
    <w:rsid w:val="00877888"/>
  </w:style>
  <w:style w:type="character" w:styleId="Rimandocommento">
    <w:name w:val="annotation reference"/>
    <w:basedOn w:val="Carpredefinitoparagrafo"/>
    <w:uiPriority w:val="99"/>
    <w:semiHidden/>
    <w:unhideWhenUsed/>
    <w:rsid w:val="00BE6B15"/>
    <w:rPr>
      <w:sz w:val="16"/>
      <w:szCs w:val="16"/>
    </w:rPr>
  </w:style>
  <w:style w:type="paragraph" w:styleId="Testocommento">
    <w:name w:val="annotation text"/>
    <w:basedOn w:val="Normale"/>
    <w:link w:val="TestocommentoCarattere"/>
    <w:uiPriority w:val="99"/>
    <w:semiHidden/>
    <w:unhideWhenUsed/>
    <w:rsid w:val="00BE6B15"/>
    <w:rPr>
      <w:sz w:val="20"/>
      <w:szCs w:val="20"/>
    </w:rPr>
  </w:style>
  <w:style w:type="character" w:customStyle="1" w:styleId="TestocommentoCarattere">
    <w:name w:val="Testo commento Carattere"/>
    <w:basedOn w:val="Carpredefinitoparagrafo"/>
    <w:link w:val="Testocommento"/>
    <w:uiPriority w:val="99"/>
    <w:semiHidden/>
    <w:rsid w:val="00BE6B15"/>
    <w:rPr>
      <w:sz w:val="20"/>
      <w:szCs w:val="20"/>
    </w:rPr>
  </w:style>
  <w:style w:type="paragraph" w:styleId="Soggettocommento">
    <w:name w:val="annotation subject"/>
    <w:basedOn w:val="Testocommento"/>
    <w:next w:val="Testocommento"/>
    <w:link w:val="SoggettocommentoCarattere"/>
    <w:uiPriority w:val="99"/>
    <w:semiHidden/>
    <w:unhideWhenUsed/>
    <w:rsid w:val="00BE6B15"/>
    <w:rPr>
      <w:b/>
      <w:bCs/>
    </w:rPr>
  </w:style>
  <w:style w:type="character" w:customStyle="1" w:styleId="SoggettocommentoCarattere">
    <w:name w:val="Soggetto commento Carattere"/>
    <w:basedOn w:val="TestocommentoCarattere"/>
    <w:link w:val="Soggettocommento"/>
    <w:uiPriority w:val="99"/>
    <w:semiHidden/>
    <w:rsid w:val="00BE6B15"/>
    <w:rPr>
      <w:b/>
      <w:bCs/>
      <w:sz w:val="20"/>
      <w:szCs w:val="20"/>
    </w:rPr>
  </w:style>
  <w:style w:type="paragraph" w:styleId="Revisione">
    <w:name w:val="Revision"/>
    <w:hidden/>
    <w:uiPriority w:val="99"/>
    <w:semiHidden/>
    <w:rsid w:val="00E871CF"/>
    <w:pPr>
      <w:jc w:val="left"/>
    </w:pPr>
  </w:style>
  <w:style w:type="paragraph" w:styleId="Testofumetto">
    <w:name w:val="Balloon Text"/>
    <w:basedOn w:val="Normale"/>
    <w:link w:val="TestofumettoCarattere"/>
    <w:uiPriority w:val="99"/>
    <w:semiHidden/>
    <w:unhideWhenUsed/>
    <w:rsid w:val="00EB716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B71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464152">
      <w:bodyDiv w:val="1"/>
      <w:marLeft w:val="0"/>
      <w:marRight w:val="0"/>
      <w:marTop w:val="0"/>
      <w:marBottom w:val="0"/>
      <w:divBdr>
        <w:top w:val="none" w:sz="0" w:space="0" w:color="auto"/>
        <w:left w:val="none" w:sz="0" w:space="0" w:color="auto"/>
        <w:bottom w:val="none" w:sz="0" w:space="0" w:color="auto"/>
        <w:right w:val="none" w:sz="0" w:space="0" w:color="auto"/>
      </w:divBdr>
    </w:div>
    <w:div w:id="858273117">
      <w:bodyDiv w:val="1"/>
      <w:marLeft w:val="0"/>
      <w:marRight w:val="0"/>
      <w:marTop w:val="0"/>
      <w:marBottom w:val="0"/>
      <w:divBdr>
        <w:top w:val="none" w:sz="0" w:space="0" w:color="auto"/>
        <w:left w:val="none" w:sz="0" w:space="0" w:color="auto"/>
        <w:bottom w:val="none" w:sz="0" w:space="0" w:color="auto"/>
        <w:right w:val="none" w:sz="0" w:space="0" w:color="auto"/>
      </w:divBdr>
    </w:div>
    <w:div w:id="1093357927">
      <w:bodyDiv w:val="1"/>
      <w:marLeft w:val="0"/>
      <w:marRight w:val="0"/>
      <w:marTop w:val="0"/>
      <w:marBottom w:val="0"/>
      <w:divBdr>
        <w:top w:val="none" w:sz="0" w:space="0" w:color="auto"/>
        <w:left w:val="none" w:sz="0" w:space="0" w:color="auto"/>
        <w:bottom w:val="none" w:sz="0" w:space="0" w:color="auto"/>
        <w:right w:val="none" w:sz="0" w:space="0" w:color="auto"/>
      </w:divBdr>
    </w:div>
    <w:div w:id="1486435563">
      <w:bodyDiv w:val="1"/>
      <w:marLeft w:val="0"/>
      <w:marRight w:val="0"/>
      <w:marTop w:val="0"/>
      <w:marBottom w:val="0"/>
      <w:divBdr>
        <w:top w:val="none" w:sz="0" w:space="0" w:color="auto"/>
        <w:left w:val="none" w:sz="0" w:space="0" w:color="auto"/>
        <w:bottom w:val="none" w:sz="0" w:space="0" w:color="auto"/>
        <w:right w:val="none" w:sz="0" w:space="0" w:color="auto"/>
      </w:divBdr>
    </w:div>
    <w:div w:id="1513688426">
      <w:bodyDiv w:val="1"/>
      <w:marLeft w:val="0"/>
      <w:marRight w:val="0"/>
      <w:marTop w:val="0"/>
      <w:marBottom w:val="0"/>
      <w:divBdr>
        <w:top w:val="none" w:sz="0" w:space="0" w:color="auto"/>
        <w:left w:val="none" w:sz="0" w:space="0" w:color="auto"/>
        <w:bottom w:val="none" w:sz="0" w:space="0" w:color="auto"/>
        <w:right w:val="none" w:sz="0" w:space="0" w:color="auto"/>
      </w:divBdr>
    </w:div>
    <w:div w:id="1756590524">
      <w:bodyDiv w:val="1"/>
      <w:marLeft w:val="0"/>
      <w:marRight w:val="0"/>
      <w:marTop w:val="0"/>
      <w:marBottom w:val="0"/>
      <w:divBdr>
        <w:top w:val="none" w:sz="0" w:space="0" w:color="auto"/>
        <w:left w:val="none" w:sz="0" w:space="0" w:color="auto"/>
        <w:bottom w:val="none" w:sz="0" w:space="0" w:color="auto"/>
        <w:right w:val="none" w:sz="0" w:space="0" w:color="auto"/>
      </w:divBdr>
    </w:div>
    <w:div w:id="1951736136">
      <w:bodyDiv w:val="1"/>
      <w:marLeft w:val="0"/>
      <w:marRight w:val="0"/>
      <w:marTop w:val="0"/>
      <w:marBottom w:val="0"/>
      <w:divBdr>
        <w:top w:val="none" w:sz="0" w:space="0" w:color="auto"/>
        <w:left w:val="none" w:sz="0" w:space="0" w:color="auto"/>
        <w:bottom w:val="none" w:sz="0" w:space="0" w:color="auto"/>
        <w:right w:val="none" w:sz="0" w:space="0" w:color="auto"/>
      </w:divBdr>
    </w:div>
    <w:div w:id="20147217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tno.camcom.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sr-ms.it/rapporti-sulleconomi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C44E1-6ACB-4B92-B59E-DF470D0A6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1615</Words>
  <Characters>9210</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Susini Alberto</dc:creator>
  <cp:lastModifiedBy>Susini Alberto</cp:lastModifiedBy>
  <cp:revision>4</cp:revision>
  <cp:lastPrinted>2026-09-04T14:08:00Z</cp:lastPrinted>
  <dcterms:created xsi:type="dcterms:W3CDTF">2026-09-09T10:42:00Z</dcterms:created>
  <dcterms:modified xsi:type="dcterms:W3CDTF">2026-09-09T12:55:00Z</dcterms:modified>
</cp:coreProperties>
</file>