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4E0BA" w14:textId="4AEB405E" w:rsidR="00CF34CB" w:rsidRPr="008F1F9D" w:rsidRDefault="002212F4">
      <w:pPr>
        <w:rPr>
          <w:rFonts w:ascii="Calibri" w:eastAsia="Calibri" w:hAnsi="Calibri" w:cs="Calibri"/>
          <w:b/>
          <w:color w:val="808080"/>
          <w:sz w:val="4"/>
          <w:szCs w:val="4"/>
        </w:rPr>
      </w:pPr>
      <w:r w:rsidRPr="008F1F9D">
        <w:rPr>
          <w:rFonts w:ascii="Calibri" w:eastAsia="Calibri" w:hAnsi="Calibri" w:cs="Calibri"/>
          <w:b/>
          <w:color w:val="808080"/>
          <w:sz w:val="44"/>
          <w:szCs w:val="44"/>
        </w:rPr>
        <w:t xml:space="preserve">Comunicato </w:t>
      </w:r>
      <w:r w:rsidRPr="008F1F9D">
        <w:rPr>
          <w:rFonts w:ascii="Calibri" w:eastAsia="Calibri" w:hAnsi="Calibri" w:cs="Calibri"/>
          <w:b/>
          <w:color w:val="7F7F7F"/>
          <w:sz w:val="44"/>
          <w:szCs w:val="44"/>
        </w:rPr>
        <w:t>Stampa</w:t>
      </w:r>
    </w:p>
    <w:p w14:paraId="62AE4098" w14:textId="77777777" w:rsidR="00CF34CB" w:rsidRPr="008F1F9D" w:rsidRDefault="00CF34CB">
      <w:pPr>
        <w:pBdr>
          <w:bottom w:val="single" w:sz="4" w:space="1" w:color="000000"/>
        </w:pBdr>
        <w:rPr>
          <w:rFonts w:ascii="Calibri" w:eastAsia="Calibri" w:hAnsi="Calibri" w:cs="Calibri"/>
          <w:b/>
          <w:sz w:val="2"/>
          <w:szCs w:val="2"/>
        </w:rPr>
      </w:pPr>
    </w:p>
    <w:p w14:paraId="51F0FF54" w14:textId="77777777" w:rsidR="00CF34CB" w:rsidRPr="008F1F9D" w:rsidRDefault="00CF34CB">
      <w:pPr>
        <w:rPr>
          <w:rFonts w:ascii="Calibri" w:eastAsia="Calibri" w:hAnsi="Calibri" w:cs="Calibri"/>
          <w:b/>
          <w:sz w:val="16"/>
          <w:szCs w:val="16"/>
        </w:rPr>
      </w:pPr>
    </w:p>
    <w:p w14:paraId="366DE1ED" w14:textId="77777777" w:rsidR="00331AE3" w:rsidRPr="00A25799" w:rsidRDefault="00331AE3" w:rsidP="00331AE3">
      <w:pPr>
        <w:rPr>
          <w:rFonts w:ascii="Calibri" w:eastAsia="Calibri" w:hAnsi="Calibri" w:cs="Calibri"/>
          <w:b/>
          <w:bCs/>
          <w:sz w:val="32"/>
          <w:szCs w:val="32"/>
        </w:rPr>
      </w:pPr>
      <w:bookmarkStart w:id="0" w:name="_gjdgxs" w:colFirst="0" w:colLast="0"/>
      <w:bookmarkEnd w:id="0"/>
      <w:r w:rsidRPr="00A25799">
        <w:rPr>
          <w:rFonts w:ascii="Calibri" w:eastAsia="Calibri" w:hAnsi="Calibri" w:cs="Calibri"/>
          <w:b/>
          <w:bCs/>
          <w:sz w:val="32"/>
          <w:szCs w:val="32"/>
        </w:rPr>
        <w:t>Massa-Carrara traina l’export dell’area</w:t>
      </w:r>
      <w:r>
        <w:rPr>
          <w:rFonts w:ascii="Calibri" w:eastAsia="Calibri" w:hAnsi="Calibri" w:cs="Calibri"/>
          <w:b/>
          <w:bCs/>
          <w:sz w:val="32"/>
          <w:szCs w:val="32"/>
        </w:rPr>
        <w:t xml:space="preserve"> ne</w:t>
      </w:r>
      <w:r w:rsidRPr="00A25799">
        <w:rPr>
          <w:rFonts w:ascii="Calibri" w:eastAsia="Calibri" w:hAnsi="Calibri" w:cs="Calibri"/>
          <w:b/>
          <w:bCs/>
          <w:sz w:val="32"/>
          <w:szCs w:val="32"/>
        </w:rPr>
        <w:t>l primo semestre 2026</w:t>
      </w:r>
      <w:r>
        <w:rPr>
          <w:rFonts w:ascii="Calibri" w:eastAsia="Calibri" w:hAnsi="Calibri" w:cs="Calibri"/>
          <w:b/>
          <w:bCs/>
          <w:sz w:val="32"/>
          <w:szCs w:val="32"/>
        </w:rPr>
        <w:t>.</w:t>
      </w:r>
      <w:r w:rsidRPr="00A25799">
        <w:rPr>
          <w:rFonts w:ascii="Calibri" w:eastAsia="Calibri" w:hAnsi="Calibri" w:cs="Calibri"/>
          <w:b/>
          <w:bCs/>
          <w:sz w:val="32"/>
          <w:szCs w:val="32"/>
        </w:rPr>
        <w:t xml:space="preserve"> Lucca arretra, Pisa si stabilizza</w:t>
      </w:r>
    </w:p>
    <w:p w14:paraId="3081183E" w14:textId="77777777" w:rsidR="00331AE3" w:rsidRDefault="00331AE3" w:rsidP="00331AE3">
      <w:pPr>
        <w:rPr>
          <w:rFonts w:ascii="Calibri" w:eastAsia="Calibri" w:hAnsi="Calibri" w:cs="Calibri"/>
          <w:i/>
          <w:iCs/>
        </w:rPr>
      </w:pPr>
      <w:r w:rsidRPr="00DF550E">
        <w:rPr>
          <w:rFonts w:ascii="Calibri" w:eastAsia="Calibri" w:hAnsi="Calibri" w:cs="Calibri"/>
          <w:i/>
          <w:iCs/>
        </w:rPr>
        <w:t>La meccanica apuana e il farmaceutico spingono le vendite all’estero, in flessione cantieristica</w:t>
      </w:r>
      <w:r>
        <w:rPr>
          <w:rFonts w:ascii="Calibri" w:eastAsia="Calibri" w:hAnsi="Calibri" w:cs="Calibri"/>
          <w:i/>
          <w:iCs/>
        </w:rPr>
        <w:t xml:space="preserve"> </w:t>
      </w:r>
      <w:r w:rsidRPr="00DF550E">
        <w:rPr>
          <w:rFonts w:ascii="Calibri" w:eastAsia="Calibri" w:hAnsi="Calibri" w:cs="Calibri"/>
          <w:i/>
          <w:iCs/>
        </w:rPr>
        <w:t>e cartario.</w:t>
      </w:r>
    </w:p>
    <w:p w14:paraId="638BBF83" w14:textId="77777777" w:rsidR="00331AE3" w:rsidRPr="009A1527" w:rsidRDefault="00331AE3" w:rsidP="00331AE3">
      <w:pPr>
        <w:spacing w:before="240"/>
        <w:rPr>
          <w:rFonts w:ascii="Calibri" w:eastAsia="Calibri" w:hAnsi="Calibri" w:cs="Calibri"/>
        </w:rPr>
      </w:pPr>
      <w:r w:rsidRPr="005C3762">
        <w:rPr>
          <w:rFonts w:ascii="Calibri" w:eastAsia="Calibri" w:hAnsi="Calibri" w:cs="Calibri"/>
          <w:b/>
          <w:bCs/>
        </w:rPr>
        <w:t xml:space="preserve">Viareggio, </w:t>
      </w:r>
      <w:r>
        <w:rPr>
          <w:rFonts w:ascii="Calibri" w:eastAsia="Calibri" w:hAnsi="Calibri" w:cs="Calibri"/>
          <w:b/>
          <w:bCs/>
        </w:rPr>
        <w:t xml:space="preserve">24 </w:t>
      </w:r>
      <w:r w:rsidRPr="005C3762">
        <w:rPr>
          <w:rFonts w:ascii="Calibri" w:eastAsia="Calibri" w:hAnsi="Calibri" w:cs="Calibri"/>
          <w:b/>
          <w:bCs/>
        </w:rPr>
        <w:t>settembre 2026</w:t>
      </w:r>
      <w:r w:rsidRPr="00BC3EC0">
        <w:rPr>
          <w:rFonts w:ascii="Calibri" w:eastAsia="Calibri" w:hAnsi="Calibri" w:cs="Calibri"/>
        </w:rPr>
        <w:t xml:space="preserve">. </w:t>
      </w:r>
      <w:r w:rsidRPr="007830FB">
        <w:rPr>
          <w:rFonts w:ascii="Calibri" w:eastAsia="Calibri" w:hAnsi="Calibri" w:cs="Calibri"/>
        </w:rPr>
        <w:t xml:space="preserve">Nel primo semestre 2026 le esportazioni delle province della Toscana Nord-Ovest hanno raggiunto i 6.373 milioni di euro, in crescita del 13,6% rispetto allo stesso periodo del 2025 e del 10,9% rispetto al primo semestre 2024. La forte crescita è però quasi interamente spiegata dall’eccezionale risultato di Massa-Carrara (+74,9%), determinato soprattutto dall’impennata dell’export </w:t>
      </w:r>
      <w:r>
        <w:rPr>
          <w:rFonts w:ascii="Calibri" w:eastAsia="Calibri" w:hAnsi="Calibri" w:cs="Calibri"/>
        </w:rPr>
        <w:t>della meccanica</w:t>
      </w:r>
      <w:r w:rsidRPr="007830FB">
        <w:rPr>
          <w:rFonts w:ascii="Calibri" w:eastAsia="Calibri" w:hAnsi="Calibri" w:cs="Calibri"/>
        </w:rPr>
        <w:t>. Lucca ha registrato un calo del 2,4% e Pisa una crescita dell’1,3%. Escludendo questo comparto apuano, l’export dell’area sarebbe infatti diminuito dello 0,3%. L’export verso il Medio Oriente è invece diminuito, ma nei dati relativi al primo semestre non emergono ancora effetti evidenti delle tensioni nell’area e, in particolare, della crisi legata allo Stretto di Hormuz. Si tratta di un elemento da monitorare nei prossimi mesi, considerato il rilievo strategico dell’area per i traffici internazionali e i possibili effetti sulle catene logistiche e sui costi di trasporto. Il quadro nazionale è risultato in crescita del 4,5% in valore, con un aumento assai più contenuto in volume (+0,7%), mentre la Toscana si è collocata tra le regioni più dinamiche (+23,8%), sostenuta dall’oro aretino e dalla farmaceutica</w:t>
      </w:r>
      <w:r w:rsidRPr="009A1527">
        <w:rPr>
          <w:rFonts w:ascii="Calibri" w:eastAsia="Calibri" w:hAnsi="Calibri" w:cs="Calibri"/>
        </w:rPr>
        <w:t xml:space="preserve"> fiorentina. Questi, in sintesi, i principali risultati dell’analisi dei dati Istat sul commercio internazionale relativi al primo semestre 2026, elaborati dalla Camera di Commercio della Toscana Nord-Ovest e dall’Istituto Studi e Ricerche (ISR).</w:t>
      </w:r>
    </w:p>
    <w:p w14:paraId="033EFF40" w14:textId="77777777" w:rsidR="00331AE3" w:rsidRPr="009A1527" w:rsidRDefault="00331AE3" w:rsidP="00331AE3">
      <w:pPr>
        <w:spacing w:before="240"/>
        <w:rPr>
          <w:rFonts w:ascii="Calibri" w:eastAsia="Calibri" w:hAnsi="Calibri" w:cs="Calibri"/>
          <w:i/>
          <w:iCs/>
        </w:rPr>
      </w:pPr>
      <w:r w:rsidRPr="009A1527">
        <w:rPr>
          <w:rFonts w:ascii="Calibri" w:eastAsia="Calibri" w:hAnsi="Calibri" w:cs="Calibri"/>
          <w:i/>
          <w:iCs/>
        </w:rPr>
        <w:t xml:space="preserve">“I dati del primo semestre confermano quanto l’export della nostra area dipenda da pochi grandi comparti e da poche grandi commesse </w:t>
      </w:r>
      <w:r w:rsidRPr="00C86D8B">
        <w:rPr>
          <w:rFonts w:ascii="Calibri" w:eastAsia="Calibri" w:hAnsi="Calibri" w:cs="Calibri"/>
        </w:rPr>
        <w:t>– afferma Valter Tamburini, Presidente della Camera di Commercio Toscana Nord-Ovest.</w:t>
      </w:r>
      <w:r w:rsidRPr="009A1527">
        <w:rPr>
          <w:rFonts w:ascii="Calibri" w:eastAsia="Calibri" w:hAnsi="Calibri" w:cs="Calibri"/>
          <w:i/>
          <w:iCs/>
        </w:rPr>
        <w:t xml:space="preserve"> È una forza quando il ciclo è favorevole, ma è anche un elemento di fragilità: per questo il lavoro della Camera continua a essere quello di allargare la base delle imprese esportatrici e di diversificare i mercati di sbocco. Accanto al Piano Export per la singola impresa, che analizza l’azienda, individua i mercati più promettenti e definisce una strategia per conquistarli, offriamo assistenza, formazione e voucher per esportare. La Camera conferma anche quest’anno il proprio impegno a fianco delle imprese nel percorso di internazionalizzazione.”</w:t>
      </w:r>
    </w:p>
    <w:p w14:paraId="22D2FAFD" w14:textId="77777777" w:rsidR="00331AE3" w:rsidRPr="009A1527" w:rsidRDefault="00331AE3" w:rsidP="00331AE3">
      <w:pPr>
        <w:spacing w:before="240"/>
        <w:rPr>
          <w:rFonts w:ascii="Calibri" w:eastAsia="Calibri" w:hAnsi="Calibri" w:cs="Calibri"/>
        </w:rPr>
      </w:pPr>
      <w:r w:rsidRPr="009A1527">
        <w:rPr>
          <w:rFonts w:ascii="Calibri" w:eastAsia="Calibri" w:hAnsi="Calibri" w:cs="Calibri"/>
        </w:rPr>
        <w:t xml:space="preserve">Nel primo semestre 2026 l’export della </w:t>
      </w:r>
      <w:r w:rsidRPr="009A1527">
        <w:rPr>
          <w:rFonts w:ascii="Calibri" w:eastAsia="Calibri" w:hAnsi="Calibri" w:cs="Calibri"/>
          <w:b/>
        </w:rPr>
        <w:t>provincia di Lucca</w:t>
      </w:r>
      <w:r w:rsidRPr="009A1527">
        <w:rPr>
          <w:rFonts w:ascii="Calibri" w:eastAsia="Calibri" w:hAnsi="Calibri" w:cs="Calibri"/>
        </w:rPr>
        <w:t xml:space="preserve"> si è attestato a 2 miliardi e 715 milioni di euro, in flessione del 2,4% rispetto allo stesso periodo </w:t>
      </w:r>
      <w:r w:rsidRPr="007830FB">
        <w:rPr>
          <w:rFonts w:ascii="Calibri" w:eastAsia="Calibri" w:hAnsi="Calibri" w:cs="Calibri"/>
        </w:rPr>
        <w:t>del 2025: è il secondo calo consecutivo nel raffronto tra primi semestri, dopo il record del 2024, ma l’export lucchese resta su livelli storicamente elevati. Il segno negativo dipende in larga parte dalla cantieristica nautica che, pur restando di gran lunga il primo settore provinciale con</w:t>
      </w:r>
      <w:r w:rsidRPr="009A1527">
        <w:rPr>
          <w:rFonts w:ascii="Calibri" w:eastAsia="Calibri" w:hAnsi="Calibri" w:cs="Calibri"/>
        </w:rPr>
        <w:t xml:space="preserve"> 590 milioni di euro e una quota del 21,8%, ha perso il 13,9%.</w:t>
      </w:r>
      <w:r w:rsidRPr="009A1527">
        <w:rPr>
          <w:rFonts w:ascii="Calibri" w:eastAsia="Calibri" w:hAnsi="Calibri" w:cs="Calibri"/>
          <w:color w:val="EE0000"/>
        </w:rPr>
        <w:t xml:space="preserve"> </w:t>
      </w:r>
      <w:r w:rsidRPr="009A1527">
        <w:rPr>
          <w:rFonts w:ascii="Calibri" w:eastAsia="Calibri" w:hAnsi="Calibri" w:cs="Calibri"/>
        </w:rPr>
        <w:t xml:space="preserve">Come di consueto, tale dinamica risente dei tempi di consegna e di fatturazione delle singole imbarcazioni più che di tendenze strutturali della domanda. Al netto della cantieristica l’export provinciale sarebbe risultato in aumento dell’1,3%. In flessione anche il comparto cartario nel suo insieme, sceso a 571 milioni (-11%), e le macchine per l’industria cartaria (249 milioni, -6,9%), mentre è proseguita la contrazione degli oli (142 milioni, -11,6%). In direzione opposta hanno agito i medicinali e preparati farmaceutici, raddoppiati a 163 milioni di euro, le apparecchiature di cablaggio (195 milioni, +20%) e i metalli non ferrosi (161 milioni, +20,4%). Sul fronte dei mercati la Francia si conferma prima destinazione e rafforza la propria posizione (422 milioni, +7,2%), seguita dagli Stati Uniti (286 milioni, +5,5%) e dalla Germania (233 milioni, -3,2%); arretra invece il Regno </w:t>
      </w:r>
      <w:r w:rsidRPr="009A1527">
        <w:rPr>
          <w:rFonts w:ascii="Calibri" w:eastAsia="Calibri" w:hAnsi="Calibri" w:cs="Calibri"/>
        </w:rPr>
        <w:lastRenderedPageBreak/>
        <w:t>Unito (203 milioni, -23,2%), quasi interamente per effetto della nautica. Le importazioni della provincia sono invece tornate a crescere (+1,4%).</w:t>
      </w:r>
    </w:p>
    <w:p w14:paraId="12F3935B" w14:textId="77777777" w:rsidR="00331AE3" w:rsidRPr="00A37917" w:rsidRDefault="00331AE3" w:rsidP="00331AE3">
      <w:pPr>
        <w:spacing w:before="240"/>
        <w:rPr>
          <w:rFonts w:ascii="Calibri" w:eastAsia="Calibri" w:hAnsi="Calibri" w:cs="Calibri"/>
        </w:rPr>
      </w:pPr>
      <w:r w:rsidRPr="009A1527">
        <w:rPr>
          <w:rFonts w:ascii="Calibri" w:eastAsia="Calibri" w:hAnsi="Calibri" w:cs="Calibri"/>
        </w:rPr>
        <w:t xml:space="preserve">La </w:t>
      </w:r>
      <w:r w:rsidRPr="009A1527">
        <w:rPr>
          <w:rFonts w:ascii="Calibri" w:eastAsia="Calibri" w:hAnsi="Calibri" w:cs="Calibri"/>
          <w:b/>
        </w:rPr>
        <w:t>provincia di Massa-Carrara</w:t>
      </w:r>
      <w:r w:rsidRPr="009A1527">
        <w:rPr>
          <w:rFonts w:ascii="Calibri" w:eastAsia="Calibri" w:hAnsi="Calibri" w:cs="Calibri"/>
          <w:bCs/>
        </w:rPr>
        <w:t xml:space="preserve"> segna un forte incremento delle esportazioni nel primo semestre 2026</w:t>
      </w:r>
      <w:r w:rsidRPr="009A1527">
        <w:rPr>
          <w:rFonts w:ascii="Calibri" w:eastAsia="Calibri" w:hAnsi="Calibri" w:cs="Calibri"/>
        </w:rPr>
        <w:t xml:space="preserve">, con una crescita del 74,9% raggiungendo 1 miliardo e 890 milioni di euro. Il risultato conferma ancora una volta il forte legame dell’export locale con il ciclo di fatturazione delle grandi commesse della meccanica: le altre macchine di impiego generale, destinate all’industria chimica, petrolchimica e petrolifera, sono risalite a 855 milioni di euro dopo il crollo del primo semestre 2025, quando si erano fermate a 75 milioni, e da sole rappresentano il 45,3% dell’export provinciale. Al netto di questo comparto la crescita dell’area apuana sarebbe stata del 2,9%. Hanno contribuito alla crescita anche le macchine di impiego generale (431 milioni, +26,7%) e i motori e generatori elettrici, quintuplicati a 72 milioni. Il lapideo, che con 302 milioni di euro vale il 16% dell’export provinciale, è cresciuto sia nel </w:t>
      </w:r>
      <w:r w:rsidRPr="007830FB">
        <w:rPr>
          <w:rFonts w:ascii="Calibri" w:eastAsia="Calibri" w:hAnsi="Calibri" w:cs="Calibri"/>
        </w:rPr>
        <w:t>lavorato (199 milioni, +2,6%) sia nel grezzo (103 milioni, +12,9%). In forte ridimensionamento invece la nautica da diporto, altro settore soggetto ai cicli di fatturazione delle commesse, scesa a 8 milioni di euro contro i 136 del primo semestre 2025, quando il dato era stato sostenuto da consegne eccezionali verso le Isole Cayman, e inferiore anche ai 19 milioni del 2024, in un contesto segnato dalle difficoltà di una delle principali imprese del settore. Sul piano geografico gli Stati Uniti si confermano primo mercato con 761 milioni di euro (+336,5%), superando del 50% anche i valori del primo semestre 2024, seguiti dalla Cina (213 milioni, +256,4%) e</w:t>
      </w:r>
      <w:r w:rsidRPr="009A1527">
        <w:rPr>
          <w:rFonts w:ascii="Calibri" w:eastAsia="Calibri" w:hAnsi="Calibri" w:cs="Calibri"/>
        </w:rPr>
        <w:t xml:space="preserve"> dagli Emirati Arabi Uniti (117 milioni, +79,5%), grazie a meccanica e lapideo. Le importazioni provinciali sono calate dell’8,6% nel complesso.</w:t>
      </w:r>
    </w:p>
    <w:p w14:paraId="2568D391" w14:textId="77777777" w:rsidR="00331AE3" w:rsidRDefault="00331AE3" w:rsidP="00331AE3">
      <w:pPr>
        <w:spacing w:before="240" w:after="240"/>
        <w:rPr>
          <w:rFonts w:ascii="Calibri" w:eastAsia="Calibri" w:hAnsi="Calibri" w:cs="Calibri"/>
        </w:rPr>
      </w:pPr>
      <w:r w:rsidRPr="009A1527">
        <w:rPr>
          <w:rFonts w:ascii="Calibri" w:eastAsia="Calibri" w:hAnsi="Calibri" w:cs="Calibri"/>
        </w:rPr>
        <w:t xml:space="preserve">Nel primo semestre 2026 l’export della </w:t>
      </w:r>
      <w:r w:rsidRPr="009A1527">
        <w:rPr>
          <w:rFonts w:ascii="Calibri" w:eastAsia="Calibri" w:hAnsi="Calibri" w:cs="Calibri"/>
          <w:b/>
        </w:rPr>
        <w:t>provincia di Pisa</w:t>
      </w:r>
      <w:r w:rsidRPr="009A1527">
        <w:rPr>
          <w:rFonts w:ascii="Calibri" w:eastAsia="Calibri" w:hAnsi="Calibri" w:cs="Calibri"/>
        </w:rPr>
        <w:t xml:space="preserve"> è tornato a crescere, sia pure in misura lieve (+1,3%), attestandosi a 1 miliardo e 769 milioni di euro: si tratta di una stabilizzazione più che di una ripresa, ma il quadro settoriale appare meno sbilanciato rispetto a un anno fa. I due comparti principali restano in territorio negativo, con i cicli e motocicli a 374 milioni (-3,5%) e il cuoio a 268 milioni (-5,4%), ma le rispettive flessioni si sono nettamente attenuate e insieme hanno sottratto meno di due punti percentuali al risultato complessivo, contro gli oltre quattro dell’anno precedente. A compensare le perdite hanno contribuito numerosi comparti di dimensione intermedia: il vetro (34 milioni, +70,3%), le macchine per impieghi speciali (37 milioni, +19,1%), l’abbigliamento (55 milioni, +10,7%), il farmaceutico (143 milioni, +6,3%) e le macchine di impiego generale (175 milioni, +3,6%). Restano in difficoltà i mobili (-12,9%), gli altri prodotti chimici (-19,2%) e le bevande (-8,4%). Le esportazioni pisane restano concentrate in Europa, che assorbe il 71,7% del totale: la Germania si conferma primo partner con 221 milioni di euro (-1,3%), seguita dalla Francia (215 milioni, +3,5%), dall’Austria (168 milioni, +4,5%) e dalla Spagna (156 milioni, stabile</w:t>
      </w:r>
      <w:r>
        <w:rPr>
          <w:rFonts w:ascii="Calibri" w:eastAsia="Calibri" w:hAnsi="Calibri" w:cs="Calibri"/>
        </w:rPr>
        <w:t>), mentre gli Stati Uniti hanno recuperato parte del terreno perduto lo scorso anno (139 milioni, +13,1%). Le importazioni provinciali sono diminuite dell’1,5% nel complesso.</w:t>
      </w:r>
    </w:p>
    <w:p w14:paraId="41891C6B" w14:textId="77777777" w:rsidR="00331AE3" w:rsidRDefault="00331AE3" w:rsidP="00331AE3">
      <w:pPr>
        <w:spacing w:before="240" w:after="240"/>
        <w:rPr>
          <w:rFonts w:ascii="Calibri" w:eastAsia="Calibri" w:hAnsi="Calibri" w:cs="Calibri"/>
        </w:rPr>
      </w:pPr>
      <w:r>
        <w:rPr>
          <w:rFonts w:ascii="Calibri" w:eastAsia="Calibri" w:hAnsi="Calibri" w:cs="Calibri"/>
          <w:highlight w:val="white"/>
        </w:rPr>
        <w:t xml:space="preserve">La nota completa di grafici e tabelle per ciascuna delle tre province è allegata a questo comunicato stampa ovvero scaricabile dal sito </w:t>
      </w:r>
      <w:hyperlink r:id="rId7">
        <w:r>
          <w:rPr>
            <w:rFonts w:ascii="Calibri" w:eastAsia="Calibri" w:hAnsi="Calibri" w:cs="Calibri"/>
            <w:color w:val="0000FF"/>
            <w:highlight w:val="white"/>
            <w:u w:val="single"/>
          </w:rPr>
          <w:t>www.isr-ms.it</w:t>
        </w:r>
      </w:hyperlink>
    </w:p>
    <w:p w14:paraId="44141E4C" w14:textId="77777777" w:rsidR="00331AE3" w:rsidRDefault="00331AE3" w:rsidP="00331AE3">
      <w:pPr>
        <w:spacing w:before="120"/>
        <w:rPr>
          <w:rFonts w:ascii="Calibri" w:eastAsia="Calibri" w:hAnsi="Calibri" w:cs="Calibri"/>
          <w:b/>
          <w:bCs/>
          <w:color w:val="000000"/>
          <w:sz w:val="18"/>
          <w:szCs w:val="18"/>
        </w:rPr>
      </w:pPr>
      <w:r>
        <w:rPr>
          <w:rFonts w:ascii="Calibri" w:eastAsia="Calibri" w:hAnsi="Calibri" w:cs="Calibri"/>
          <w:b/>
          <w:bCs/>
          <w:color w:val="000000"/>
          <w:sz w:val="18"/>
          <w:szCs w:val="18"/>
        </w:rPr>
        <w:t>Camera di commercio della Toscana Nord-Ovest</w:t>
      </w:r>
    </w:p>
    <w:p w14:paraId="52DB12E3" w14:textId="77777777" w:rsidR="00331AE3" w:rsidRDefault="00331AE3" w:rsidP="00331AE3">
      <w:pPr>
        <w:rPr>
          <w:rFonts w:ascii="Calibri" w:eastAsia="Calibri" w:hAnsi="Calibri" w:cs="Calibri"/>
          <w:b/>
          <w:bCs/>
          <w:color w:val="000000"/>
          <w:sz w:val="18"/>
          <w:szCs w:val="18"/>
        </w:rPr>
      </w:pPr>
      <w:r>
        <w:rPr>
          <w:rFonts w:ascii="Calibri" w:eastAsia="Calibri" w:hAnsi="Calibri" w:cs="Calibri"/>
          <w:sz w:val="18"/>
          <w:szCs w:val="18"/>
        </w:rPr>
        <w:t>Comunicazione: Alberto Susini</w:t>
      </w:r>
      <w:r>
        <w:rPr>
          <w:rFonts w:ascii="Calibri" w:eastAsia="Calibri" w:hAnsi="Calibri" w:cs="Calibri"/>
          <w:color w:val="000000"/>
          <w:sz w:val="18"/>
          <w:szCs w:val="18"/>
        </w:rPr>
        <w:t>: 050 512294</w:t>
      </w:r>
    </w:p>
    <w:p w14:paraId="39708108" w14:textId="77777777" w:rsidR="00331AE3" w:rsidRDefault="00331AE3" w:rsidP="00331AE3">
      <w:pPr>
        <w:rPr>
          <w:rFonts w:ascii="Calibri" w:eastAsia="Calibri" w:hAnsi="Calibri" w:cs="Calibri"/>
          <w:color w:val="000000"/>
          <w:sz w:val="18"/>
          <w:szCs w:val="18"/>
        </w:rPr>
      </w:pPr>
      <w:r>
        <w:rPr>
          <w:rFonts w:ascii="Calibri" w:eastAsia="Calibri" w:hAnsi="Calibri" w:cs="Calibri"/>
          <w:color w:val="000000"/>
          <w:sz w:val="18"/>
          <w:szCs w:val="18"/>
        </w:rPr>
        <w:t>comunicazione@tno.camcom.it</w:t>
      </w:r>
    </w:p>
    <w:p w14:paraId="016A85F1" w14:textId="2E2656D6" w:rsidR="00622CA1" w:rsidRPr="00331AE3" w:rsidRDefault="00331AE3" w:rsidP="00331AE3">
      <w:pPr>
        <w:pBdr>
          <w:top w:val="nil"/>
          <w:left w:val="nil"/>
          <w:bottom w:val="nil"/>
          <w:right w:val="nil"/>
          <w:between w:val="nil"/>
        </w:pBdr>
        <w:tabs>
          <w:tab w:val="center" w:pos="4819"/>
          <w:tab w:val="right" w:pos="9638"/>
        </w:tabs>
        <w:rPr>
          <w:color w:val="000000"/>
        </w:rPr>
      </w:pPr>
      <w:r>
        <w:rPr>
          <w:rFonts w:ascii="Calibri" w:eastAsia="Calibri" w:hAnsi="Calibri" w:cs="Calibri"/>
          <w:color w:val="000000"/>
          <w:sz w:val="18"/>
          <w:szCs w:val="18"/>
        </w:rPr>
        <w:t>www.tno.camcom.it</w:t>
      </w:r>
    </w:p>
    <w:sectPr w:rsidR="00622CA1" w:rsidRPr="00331AE3" w:rsidSect="00331AE3">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426" w:footer="2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C6BE7" w14:textId="77777777" w:rsidR="00BD3125" w:rsidRDefault="00BD3125">
      <w:r>
        <w:separator/>
      </w:r>
    </w:p>
  </w:endnote>
  <w:endnote w:type="continuationSeparator" w:id="0">
    <w:p w14:paraId="70E431DA" w14:textId="77777777" w:rsidR="00BD3125" w:rsidRDefault="00BD3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4EC48" w14:textId="77777777" w:rsidR="00C41D49" w:rsidRDefault="00C41D4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20"/>
        <w:szCs w:val="20"/>
      </w:rPr>
      <w:id w:val="-164858516"/>
      <w:docPartObj>
        <w:docPartGallery w:val="Page Numbers (Bottom of Page)"/>
        <w:docPartUnique/>
      </w:docPartObj>
    </w:sdtPr>
    <w:sdtEndPr/>
    <w:sdtContent>
      <w:p w14:paraId="79F2EF7E" w14:textId="1ADC7DE6" w:rsidR="00AD7EC0" w:rsidRPr="00AD7EC0" w:rsidRDefault="00AD7EC0">
        <w:pPr>
          <w:pStyle w:val="Pidipagina"/>
          <w:jc w:val="right"/>
          <w:rPr>
            <w:rFonts w:asciiTheme="majorHAnsi" w:hAnsiTheme="majorHAnsi" w:cstheme="majorHAnsi"/>
            <w:sz w:val="20"/>
            <w:szCs w:val="20"/>
          </w:rPr>
        </w:pPr>
        <w:r w:rsidRPr="00AD7EC0">
          <w:rPr>
            <w:rFonts w:asciiTheme="majorHAnsi" w:hAnsiTheme="majorHAnsi" w:cstheme="majorHAnsi"/>
            <w:sz w:val="20"/>
            <w:szCs w:val="20"/>
          </w:rPr>
          <w:fldChar w:fldCharType="begin"/>
        </w:r>
        <w:r w:rsidRPr="00AD7EC0">
          <w:rPr>
            <w:rFonts w:asciiTheme="majorHAnsi" w:hAnsiTheme="majorHAnsi" w:cstheme="majorHAnsi"/>
            <w:sz w:val="20"/>
            <w:szCs w:val="20"/>
          </w:rPr>
          <w:instrText>PAGE   \* MERGEFORMAT</w:instrText>
        </w:r>
        <w:r w:rsidRPr="00AD7EC0">
          <w:rPr>
            <w:rFonts w:asciiTheme="majorHAnsi" w:hAnsiTheme="majorHAnsi" w:cstheme="majorHAnsi"/>
            <w:sz w:val="20"/>
            <w:szCs w:val="20"/>
          </w:rPr>
          <w:fldChar w:fldCharType="separate"/>
        </w:r>
        <w:r w:rsidRPr="00AD7EC0">
          <w:rPr>
            <w:rFonts w:asciiTheme="majorHAnsi" w:hAnsiTheme="majorHAnsi" w:cstheme="majorHAnsi"/>
            <w:sz w:val="20"/>
            <w:szCs w:val="20"/>
          </w:rPr>
          <w:t>2</w:t>
        </w:r>
        <w:r w:rsidRPr="00AD7EC0">
          <w:rPr>
            <w:rFonts w:asciiTheme="majorHAnsi" w:hAnsiTheme="majorHAnsi" w:cstheme="majorHAnsi"/>
            <w:sz w:val="20"/>
            <w:szCs w:val="20"/>
          </w:rPr>
          <w:fldChar w:fldCharType="end"/>
        </w:r>
      </w:p>
    </w:sdtContent>
  </w:sdt>
  <w:p w14:paraId="6016773D" w14:textId="77777777" w:rsidR="00AD7EC0" w:rsidRDefault="00AD7EC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1502A" w14:textId="77777777" w:rsidR="00C41D49" w:rsidRDefault="00C41D4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F854F" w14:textId="77777777" w:rsidR="00BD3125" w:rsidRDefault="00BD3125">
      <w:r>
        <w:separator/>
      </w:r>
    </w:p>
  </w:footnote>
  <w:footnote w:type="continuationSeparator" w:id="0">
    <w:p w14:paraId="69502FA1" w14:textId="77777777" w:rsidR="00BD3125" w:rsidRDefault="00BD3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6A8AA" w14:textId="77777777" w:rsidR="00C41D49" w:rsidRDefault="00C41D4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221C" w14:textId="77777777" w:rsidR="00C41D49" w:rsidRDefault="00C41D4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BCC9A" w14:textId="7C3DF043" w:rsidR="00AD7EC0" w:rsidRDefault="00AD7EC0">
    <w:pPr>
      <w:pStyle w:val="Intestazione"/>
    </w:pPr>
    <w:r>
      <w:rPr>
        <w:noProof/>
      </w:rPr>
      <w:drawing>
        <wp:anchor distT="0" distB="0" distL="114300" distR="114300" simplePos="0" relativeHeight="251659264" behindDoc="0" locked="0" layoutInCell="1" hidden="0" allowOverlap="1" wp14:anchorId="6F3730CD" wp14:editId="3358090E">
          <wp:simplePos x="0" y="0"/>
          <wp:positionH relativeFrom="column">
            <wp:posOffset>0</wp:posOffset>
          </wp:positionH>
          <wp:positionV relativeFrom="paragraph">
            <wp:posOffset>177800</wp:posOffset>
          </wp:positionV>
          <wp:extent cx="2880995" cy="52451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880995" cy="52451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53603D2B" wp14:editId="2E1787B8">
          <wp:simplePos x="0" y="0"/>
          <wp:positionH relativeFrom="column">
            <wp:posOffset>3014345</wp:posOffset>
          </wp:positionH>
          <wp:positionV relativeFrom="paragraph">
            <wp:posOffset>177800</wp:posOffset>
          </wp:positionV>
          <wp:extent cx="2961640" cy="4572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96164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4CB"/>
    <w:rsid w:val="0001505F"/>
    <w:rsid w:val="000549D5"/>
    <w:rsid w:val="00057A37"/>
    <w:rsid w:val="0007498F"/>
    <w:rsid w:val="000B6159"/>
    <w:rsid w:val="000D7635"/>
    <w:rsid w:val="00101F13"/>
    <w:rsid w:val="001405F3"/>
    <w:rsid w:val="001548CE"/>
    <w:rsid w:val="00154CEF"/>
    <w:rsid w:val="001626B9"/>
    <w:rsid w:val="00176D47"/>
    <w:rsid w:val="001806B0"/>
    <w:rsid w:val="00194708"/>
    <w:rsid w:val="001B274E"/>
    <w:rsid w:val="001B4BCF"/>
    <w:rsid w:val="001D0954"/>
    <w:rsid w:val="001D74CE"/>
    <w:rsid w:val="002212F4"/>
    <w:rsid w:val="002233A6"/>
    <w:rsid w:val="00246AE7"/>
    <w:rsid w:val="00280736"/>
    <w:rsid w:val="002958C8"/>
    <w:rsid w:val="002E1368"/>
    <w:rsid w:val="00316630"/>
    <w:rsid w:val="00331AE3"/>
    <w:rsid w:val="00347736"/>
    <w:rsid w:val="00356851"/>
    <w:rsid w:val="003630CA"/>
    <w:rsid w:val="003774A1"/>
    <w:rsid w:val="003927A1"/>
    <w:rsid w:val="003C729D"/>
    <w:rsid w:val="00430F7A"/>
    <w:rsid w:val="004452D4"/>
    <w:rsid w:val="004701FF"/>
    <w:rsid w:val="004762B0"/>
    <w:rsid w:val="004800A9"/>
    <w:rsid w:val="004849CB"/>
    <w:rsid w:val="004B13E4"/>
    <w:rsid w:val="004B665C"/>
    <w:rsid w:val="004C7A84"/>
    <w:rsid w:val="004D4D55"/>
    <w:rsid w:val="0052165D"/>
    <w:rsid w:val="005600B7"/>
    <w:rsid w:val="00563E06"/>
    <w:rsid w:val="00574C0B"/>
    <w:rsid w:val="005B645A"/>
    <w:rsid w:val="005C3A1E"/>
    <w:rsid w:val="005D1D42"/>
    <w:rsid w:val="00601F2C"/>
    <w:rsid w:val="0061628F"/>
    <w:rsid w:val="00622CA1"/>
    <w:rsid w:val="00667223"/>
    <w:rsid w:val="00685C29"/>
    <w:rsid w:val="006969E7"/>
    <w:rsid w:val="006C6456"/>
    <w:rsid w:val="006D18F8"/>
    <w:rsid w:val="006F4615"/>
    <w:rsid w:val="00726F5E"/>
    <w:rsid w:val="00726FA0"/>
    <w:rsid w:val="00775C54"/>
    <w:rsid w:val="008431E0"/>
    <w:rsid w:val="0086649D"/>
    <w:rsid w:val="00877888"/>
    <w:rsid w:val="008A0006"/>
    <w:rsid w:val="008A1EEA"/>
    <w:rsid w:val="008B5399"/>
    <w:rsid w:val="008C573A"/>
    <w:rsid w:val="008F1F9D"/>
    <w:rsid w:val="008F5A4C"/>
    <w:rsid w:val="0090506A"/>
    <w:rsid w:val="00930CB6"/>
    <w:rsid w:val="00932FDD"/>
    <w:rsid w:val="00965340"/>
    <w:rsid w:val="009A301F"/>
    <w:rsid w:val="009B28A9"/>
    <w:rsid w:val="009C3FE5"/>
    <w:rsid w:val="009E4558"/>
    <w:rsid w:val="00A96C60"/>
    <w:rsid w:val="00A97A04"/>
    <w:rsid w:val="00AB1EAF"/>
    <w:rsid w:val="00AD7EC0"/>
    <w:rsid w:val="00B03B2F"/>
    <w:rsid w:val="00B11F6E"/>
    <w:rsid w:val="00B21D56"/>
    <w:rsid w:val="00B432FB"/>
    <w:rsid w:val="00B91DF2"/>
    <w:rsid w:val="00B91EAB"/>
    <w:rsid w:val="00B93430"/>
    <w:rsid w:val="00BA04C8"/>
    <w:rsid w:val="00BA6AB2"/>
    <w:rsid w:val="00BD3125"/>
    <w:rsid w:val="00BF68C5"/>
    <w:rsid w:val="00C41D49"/>
    <w:rsid w:val="00C63124"/>
    <w:rsid w:val="00CA1C90"/>
    <w:rsid w:val="00CF34CB"/>
    <w:rsid w:val="00CF48B7"/>
    <w:rsid w:val="00CF53A6"/>
    <w:rsid w:val="00D037E3"/>
    <w:rsid w:val="00D538C3"/>
    <w:rsid w:val="00D84919"/>
    <w:rsid w:val="00D90949"/>
    <w:rsid w:val="00DB5EB8"/>
    <w:rsid w:val="00DD0334"/>
    <w:rsid w:val="00DE303C"/>
    <w:rsid w:val="00DE36C2"/>
    <w:rsid w:val="00DF2640"/>
    <w:rsid w:val="00E91A1E"/>
    <w:rsid w:val="00EA1DB9"/>
    <w:rsid w:val="00EA3AB0"/>
    <w:rsid w:val="00EA6EA3"/>
    <w:rsid w:val="00EB05D0"/>
    <w:rsid w:val="00F2620D"/>
    <w:rsid w:val="00F32875"/>
    <w:rsid w:val="00F379FD"/>
    <w:rsid w:val="00F41A24"/>
    <w:rsid w:val="00F57C84"/>
    <w:rsid w:val="00F679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353A"/>
  <w15:docId w15:val="{2B0C7CCB-8D9F-4FBC-A899-839C272A7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jc w:val="center"/>
      <w:outlineLvl w:val="0"/>
    </w:pPr>
    <w:rPr>
      <w:b/>
    </w:rPr>
  </w:style>
  <w:style w:type="paragraph" w:styleId="Titolo2">
    <w:name w:val="heading 2"/>
    <w:basedOn w:val="Normale"/>
    <w:next w:val="Normale"/>
    <w:uiPriority w:val="9"/>
    <w:semiHidden/>
    <w:unhideWhenUsed/>
    <w:qFormat/>
    <w:pPr>
      <w:keepNext/>
      <w:outlineLvl w:val="1"/>
    </w:pPr>
    <w:rPr>
      <w:b/>
    </w:rPr>
  </w:style>
  <w:style w:type="paragraph" w:styleId="Titolo3">
    <w:name w:val="heading 3"/>
    <w:basedOn w:val="Normale"/>
    <w:next w:val="Normale"/>
    <w:uiPriority w:val="9"/>
    <w:semiHidden/>
    <w:unhideWhenUsed/>
    <w:qFormat/>
    <w:pPr>
      <w:keepNext/>
      <w:outlineLvl w:val="2"/>
    </w:pPr>
    <w:rPr>
      <w:b/>
      <w:sz w:val="22"/>
      <w:szCs w:val="22"/>
    </w:rPr>
  </w:style>
  <w:style w:type="paragraph" w:styleId="Titolo4">
    <w:name w:val="heading 4"/>
    <w:basedOn w:val="Normale"/>
    <w:next w:val="Normale"/>
    <w:uiPriority w:val="9"/>
    <w:semiHidden/>
    <w:unhideWhenUsed/>
    <w:qFormat/>
    <w:pPr>
      <w:keepNext/>
      <w:outlineLvl w:val="3"/>
    </w:pPr>
    <w:rPr>
      <w:rFonts w:ascii="Verdana" w:eastAsia="Verdana" w:hAnsi="Verdana" w:cs="Verdana"/>
      <w:b/>
      <w:sz w:val="20"/>
      <w:szCs w:val="20"/>
    </w:rPr>
  </w:style>
  <w:style w:type="paragraph" w:styleId="Titolo5">
    <w:name w:val="heading 5"/>
    <w:basedOn w:val="Normale"/>
    <w:next w:val="Normale"/>
    <w:uiPriority w:val="9"/>
    <w:semiHidden/>
    <w:unhideWhenUsed/>
    <w:qFormat/>
    <w:pPr>
      <w:keepNext/>
      <w:jc w:val="center"/>
      <w:outlineLvl w:val="4"/>
    </w:pPr>
    <w:rPr>
      <w:sz w:val="28"/>
      <w:szCs w:val="28"/>
    </w:rPr>
  </w:style>
  <w:style w:type="paragraph" w:styleId="Titolo6">
    <w:name w:val="heading 6"/>
    <w:basedOn w:val="Normale"/>
    <w:next w:val="Normale"/>
    <w:uiPriority w:val="9"/>
    <w:semiHidden/>
    <w:unhideWhenUsed/>
    <w:qFormat/>
    <w:pPr>
      <w:keepNext/>
      <w:jc w:val="left"/>
      <w:outlineLvl w:val="5"/>
    </w:pPr>
    <w:rPr>
      <w:rFonts w:ascii="Arial" w:eastAsia="Arial" w:hAnsi="Arial" w:cs="Arial"/>
      <w:b/>
      <w:color w:val="00000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jc w:val="center"/>
    </w:pPr>
    <w:rPr>
      <w:i/>
      <w:sz w:val="26"/>
      <w:szCs w:val="26"/>
    </w:rPr>
  </w:style>
  <w:style w:type="paragraph" w:styleId="Sottotitolo">
    <w:name w:val="Subtitle"/>
    <w:basedOn w:val="Normale"/>
    <w:next w:val="Normale"/>
    <w:uiPriority w:val="11"/>
    <w:qFormat/>
    <w:pPr>
      <w:jc w:val="center"/>
    </w:pPr>
    <w:rPr>
      <w:b/>
      <w:sz w:val="32"/>
      <w:szCs w:val="32"/>
    </w:rPr>
  </w:style>
  <w:style w:type="character" w:styleId="Collegamentoipertestuale">
    <w:name w:val="Hyperlink"/>
    <w:basedOn w:val="Carpredefinitoparagrafo"/>
    <w:uiPriority w:val="99"/>
    <w:unhideWhenUsed/>
    <w:rsid w:val="00622CA1"/>
    <w:rPr>
      <w:color w:val="0000FF" w:themeColor="hyperlink"/>
      <w:u w:val="single"/>
    </w:rPr>
  </w:style>
  <w:style w:type="character" w:styleId="Menzionenonrisolta">
    <w:name w:val="Unresolved Mention"/>
    <w:basedOn w:val="Carpredefinitoparagrafo"/>
    <w:uiPriority w:val="99"/>
    <w:semiHidden/>
    <w:unhideWhenUsed/>
    <w:rsid w:val="00622CA1"/>
    <w:rPr>
      <w:color w:val="605E5C"/>
      <w:shd w:val="clear" w:color="auto" w:fill="E1DFDD"/>
    </w:rPr>
  </w:style>
  <w:style w:type="paragraph" w:styleId="NormaleWeb">
    <w:name w:val="Normal (Web)"/>
    <w:basedOn w:val="Normale"/>
    <w:uiPriority w:val="99"/>
    <w:semiHidden/>
    <w:unhideWhenUsed/>
    <w:rsid w:val="00347736"/>
  </w:style>
  <w:style w:type="paragraph" w:styleId="Intestazione">
    <w:name w:val="header"/>
    <w:basedOn w:val="Normale"/>
    <w:link w:val="IntestazioneCarattere"/>
    <w:uiPriority w:val="99"/>
    <w:unhideWhenUsed/>
    <w:rsid w:val="00877888"/>
    <w:pPr>
      <w:tabs>
        <w:tab w:val="center" w:pos="4819"/>
        <w:tab w:val="right" w:pos="9638"/>
      </w:tabs>
    </w:pPr>
  </w:style>
  <w:style w:type="character" w:customStyle="1" w:styleId="IntestazioneCarattere">
    <w:name w:val="Intestazione Carattere"/>
    <w:basedOn w:val="Carpredefinitoparagrafo"/>
    <w:link w:val="Intestazione"/>
    <w:uiPriority w:val="99"/>
    <w:rsid w:val="00877888"/>
  </w:style>
  <w:style w:type="paragraph" w:styleId="Pidipagina">
    <w:name w:val="footer"/>
    <w:basedOn w:val="Normale"/>
    <w:link w:val="PidipaginaCarattere"/>
    <w:uiPriority w:val="99"/>
    <w:unhideWhenUsed/>
    <w:rsid w:val="00877888"/>
    <w:pPr>
      <w:tabs>
        <w:tab w:val="center" w:pos="4819"/>
        <w:tab w:val="right" w:pos="9638"/>
      </w:tabs>
    </w:pPr>
  </w:style>
  <w:style w:type="character" w:customStyle="1" w:styleId="PidipaginaCarattere">
    <w:name w:val="Piè di pagina Carattere"/>
    <w:basedOn w:val="Carpredefinitoparagrafo"/>
    <w:link w:val="Pidipagina"/>
    <w:uiPriority w:val="99"/>
    <w:rsid w:val="0087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64152">
      <w:bodyDiv w:val="1"/>
      <w:marLeft w:val="0"/>
      <w:marRight w:val="0"/>
      <w:marTop w:val="0"/>
      <w:marBottom w:val="0"/>
      <w:divBdr>
        <w:top w:val="none" w:sz="0" w:space="0" w:color="auto"/>
        <w:left w:val="none" w:sz="0" w:space="0" w:color="auto"/>
        <w:bottom w:val="none" w:sz="0" w:space="0" w:color="auto"/>
        <w:right w:val="none" w:sz="0" w:space="0" w:color="auto"/>
      </w:divBdr>
    </w:div>
    <w:div w:id="858273117">
      <w:bodyDiv w:val="1"/>
      <w:marLeft w:val="0"/>
      <w:marRight w:val="0"/>
      <w:marTop w:val="0"/>
      <w:marBottom w:val="0"/>
      <w:divBdr>
        <w:top w:val="none" w:sz="0" w:space="0" w:color="auto"/>
        <w:left w:val="none" w:sz="0" w:space="0" w:color="auto"/>
        <w:bottom w:val="none" w:sz="0" w:space="0" w:color="auto"/>
        <w:right w:val="none" w:sz="0" w:space="0" w:color="auto"/>
      </w:divBdr>
    </w:div>
    <w:div w:id="1093357927">
      <w:bodyDiv w:val="1"/>
      <w:marLeft w:val="0"/>
      <w:marRight w:val="0"/>
      <w:marTop w:val="0"/>
      <w:marBottom w:val="0"/>
      <w:divBdr>
        <w:top w:val="none" w:sz="0" w:space="0" w:color="auto"/>
        <w:left w:val="none" w:sz="0" w:space="0" w:color="auto"/>
        <w:bottom w:val="none" w:sz="0" w:space="0" w:color="auto"/>
        <w:right w:val="none" w:sz="0" w:space="0" w:color="auto"/>
      </w:divBdr>
    </w:div>
    <w:div w:id="1486435563">
      <w:bodyDiv w:val="1"/>
      <w:marLeft w:val="0"/>
      <w:marRight w:val="0"/>
      <w:marTop w:val="0"/>
      <w:marBottom w:val="0"/>
      <w:divBdr>
        <w:top w:val="none" w:sz="0" w:space="0" w:color="auto"/>
        <w:left w:val="none" w:sz="0" w:space="0" w:color="auto"/>
        <w:bottom w:val="none" w:sz="0" w:space="0" w:color="auto"/>
        <w:right w:val="none" w:sz="0" w:space="0" w:color="auto"/>
      </w:divBdr>
    </w:div>
    <w:div w:id="1513688426">
      <w:bodyDiv w:val="1"/>
      <w:marLeft w:val="0"/>
      <w:marRight w:val="0"/>
      <w:marTop w:val="0"/>
      <w:marBottom w:val="0"/>
      <w:divBdr>
        <w:top w:val="none" w:sz="0" w:space="0" w:color="auto"/>
        <w:left w:val="none" w:sz="0" w:space="0" w:color="auto"/>
        <w:bottom w:val="none" w:sz="0" w:space="0" w:color="auto"/>
        <w:right w:val="none" w:sz="0" w:space="0" w:color="auto"/>
      </w:divBdr>
    </w:div>
    <w:div w:id="1756590524">
      <w:bodyDiv w:val="1"/>
      <w:marLeft w:val="0"/>
      <w:marRight w:val="0"/>
      <w:marTop w:val="0"/>
      <w:marBottom w:val="0"/>
      <w:divBdr>
        <w:top w:val="none" w:sz="0" w:space="0" w:color="auto"/>
        <w:left w:val="none" w:sz="0" w:space="0" w:color="auto"/>
        <w:bottom w:val="none" w:sz="0" w:space="0" w:color="auto"/>
        <w:right w:val="none" w:sz="0" w:space="0" w:color="auto"/>
      </w:divBdr>
    </w:div>
    <w:div w:id="1951736136">
      <w:bodyDiv w:val="1"/>
      <w:marLeft w:val="0"/>
      <w:marRight w:val="0"/>
      <w:marTop w:val="0"/>
      <w:marBottom w:val="0"/>
      <w:divBdr>
        <w:top w:val="none" w:sz="0" w:space="0" w:color="auto"/>
        <w:left w:val="none" w:sz="0" w:space="0" w:color="auto"/>
        <w:bottom w:val="none" w:sz="0" w:space="0" w:color="auto"/>
        <w:right w:val="none" w:sz="0" w:space="0" w:color="auto"/>
      </w:divBdr>
    </w:div>
    <w:div w:id="2014721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isr-ms.it/export-e-industri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89055-14B1-4175-A4F1-9D64A5DD9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1131</Words>
  <Characters>6451</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Susini Alberto</dc:creator>
  <cp:lastModifiedBy>Ottino Marcella</cp:lastModifiedBy>
  <cp:revision>3</cp:revision>
  <cp:lastPrinted>2026-09-18T05:52:00Z</cp:lastPrinted>
  <dcterms:created xsi:type="dcterms:W3CDTF">2026-09-24T09:00:00Z</dcterms:created>
  <dcterms:modified xsi:type="dcterms:W3CDTF">2026-09-24T09:00:00Z</dcterms:modified>
</cp:coreProperties>
</file>