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4E0BA" w14:textId="46D42444" w:rsidR="00CF34CB" w:rsidRDefault="00C130C7">
      <w:pPr>
        <w:rPr>
          <w:rFonts w:ascii="Calibri" w:eastAsia="Calibri" w:hAnsi="Calibri" w:cs="Calibri"/>
          <w:b/>
          <w:color w:val="808080"/>
          <w:sz w:val="4"/>
          <w:szCs w:val="4"/>
        </w:rPr>
      </w:pPr>
      <w:r>
        <w:rPr>
          <w:rFonts w:ascii="Calibri" w:eastAsia="Calibri" w:hAnsi="Calibri" w:cs="Calibri"/>
          <w:b/>
          <w:color w:val="808080"/>
          <w:sz w:val="44"/>
          <w:szCs w:val="44"/>
        </w:rPr>
        <w:t>Nota di sintesi</w:t>
      </w:r>
    </w:p>
    <w:p w14:paraId="62AE4098" w14:textId="77777777" w:rsidR="00CF34CB" w:rsidRDefault="00CF34CB">
      <w:pPr>
        <w:pBdr>
          <w:bottom w:val="single" w:sz="4" w:space="1" w:color="000000"/>
        </w:pBdr>
        <w:rPr>
          <w:rFonts w:ascii="Calibri" w:eastAsia="Calibri" w:hAnsi="Calibri" w:cs="Calibri"/>
          <w:b/>
          <w:sz w:val="2"/>
          <w:szCs w:val="2"/>
        </w:rPr>
      </w:pPr>
    </w:p>
    <w:p w14:paraId="51F0FF54" w14:textId="77777777" w:rsidR="00CF34CB" w:rsidRDefault="00CF34CB">
      <w:pPr>
        <w:rPr>
          <w:rFonts w:ascii="Calibri" w:eastAsia="Calibri" w:hAnsi="Calibri" w:cs="Calibri"/>
          <w:b/>
          <w:sz w:val="16"/>
          <w:szCs w:val="16"/>
        </w:rPr>
      </w:pPr>
    </w:p>
    <w:p w14:paraId="473EF0C4" w14:textId="6AAD1BA6" w:rsidR="00F57C84" w:rsidRDefault="00E61184" w:rsidP="000B6159">
      <w:pPr>
        <w:spacing w:before="120"/>
        <w:rPr>
          <w:rFonts w:ascii="Calibri" w:eastAsia="Calibri" w:hAnsi="Calibri" w:cs="Calibri"/>
          <w:b/>
          <w:sz w:val="36"/>
          <w:szCs w:val="36"/>
        </w:rPr>
      </w:pPr>
      <w:r>
        <w:rPr>
          <w:rFonts w:ascii="Calibri" w:eastAsia="Calibri" w:hAnsi="Calibri" w:cs="Calibri"/>
          <w:b/>
          <w:sz w:val="36"/>
          <w:szCs w:val="36"/>
        </w:rPr>
        <w:t xml:space="preserve">Rapporto </w:t>
      </w:r>
      <w:r w:rsidR="000B6159" w:rsidRPr="000B6159">
        <w:rPr>
          <w:rFonts w:ascii="Calibri" w:eastAsia="Calibri" w:hAnsi="Calibri" w:cs="Calibri"/>
          <w:b/>
          <w:sz w:val="36"/>
          <w:szCs w:val="36"/>
        </w:rPr>
        <w:t>Lunigiana 202</w:t>
      </w:r>
      <w:r>
        <w:rPr>
          <w:rFonts w:ascii="Calibri" w:eastAsia="Calibri" w:hAnsi="Calibri" w:cs="Calibri"/>
          <w:b/>
          <w:sz w:val="36"/>
          <w:szCs w:val="36"/>
        </w:rPr>
        <w:t>6</w:t>
      </w:r>
    </w:p>
    <w:p w14:paraId="0D991E8E" w14:textId="1DF0EA7C" w:rsidR="00AB1EAF" w:rsidRDefault="00E61184" w:rsidP="000B6159">
      <w:pPr>
        <w:spacing w:before="120"/>
        <w:rPr>
          <w:rFonts w:ascii="Calibri" w:eastAsia="Calibri" w:hAnsi="Calibri" w:cs="Calibri"/>
          <w:bCs/>
          <w:i/>
          <w:sz w:val="28"/>
          <w:szCs w:val="28"/>
        </w:rPr>
      </w:pPr>
      <w:r>
        <w:rPr>
          <w:rFonts w:ascii="Calibri" w:eastAsia="Calibri" w:hAnsi="Calibri" w:cs="Calibri"/>
          <w:bCs/>
          <w:i/>
          <w:sz w:val="28"/>
          <w:szCs w:val="28"/>
        </w:rPr>
        <w:t>Nota di sintesi</w:t>
      </w:r>
    </w:p>
    <w:p w14:paraId="0CA8042A" w14:textId="66909920" w:rsidR="00E61184" w:rsidRDefault="00E61184" w:rsidP="00E61184">
      <w:pPr>
        <w:spacing w:beforeLines="50" w:before="120"/>
        <w:rPr>
          <w:rFonts w:ascii="Calibri" w:hAnsi="Calibri" w:cs="Calibri"/>
          <w:bCs/>
          <w:iCs/>
          <w:noProof/>
        </w:rPr>
      </w:pPr>
      <w:r>
        <w:rPr>
          <w:rFonts w:ascii="Calibri" w:hAnsi="Calibri" w:cs="Calibri"/>
          <w:b/>
          <w:i/>
          <w:noProof/>
        </w:rPr>
        <w:t>Filattiera</w:t>
      </w:r>
      <w:r w:rsidR="00DF2640" w:rsidRPr="00206966">
        <w:rPr>
          <w:rFonts w:ascii="Calibri" w:hAnsi="Calibri" w:cs="Calibri"/>
          <w:b/>
          <w:i/>
          <w:noProof/>
        </w:rPr>
        <w:t xml:space="preserve">, </w:t>
      </w:r>
      <w:r w:rsidRPr="00206966">
        <w:rPr>
          <w:rFonts w:ascii="Calibri" w:hAnsi="Calibri" w:cs="Calibri"/>
          <w:b/>
          <w:i/>
          <w:noProof/>
        </w:rPr>
        <w:t>7</w:t>
      </w:r>
      <w:r w:rsidR="00DF2640" w:rsidRPr="00206966">
        <w:rPr>
          <w:rFonts w:ascii="Calibri" w:hAnsi="Calibri" w:cs="Calibri"/>
          <w:b/>
          <w:i/>
          <w:noProof/>
        </w:rPr>
        <w:t xml:space="preserve"> </w:t>
      </w:r>
      <w:r w:rsidR="00246AE7" w:rsidRPr="00206966">
        <w:rPr>
          <w:rFonts w:ascii="Calibri" w:hAnsi="Calibri" w:cs="Calibri"/>
          <w:b/>
          <w:i/>
          <w:noProof/>
        </w:rPr>
        <w:t>agosto</w:t>
      </w:r>
      <w:r w:rsidR="00DF2640" w:rsidRPr="00206966">
        <w:rPr>
          <w:rFonts w:ascii="Calibri" w:hAnsi="Calibri" w:cs="Calibri"/>
          <w:b/>
          <w:i/>
          <w:noProof/>
        </w:rPr>
        <w:t xml:space="preserve"> 202</w:t>
      </w:r>
      <w:r w:rsidRPr="00206966">
        <w:rPr>
          <w:rFonts w:ascii="Calibri" w:hAnsi="Calibri" w:cs="Calibri"/>
          <w:b/>
          <w:i/>
          <w:noProof/>
        </w:rPr>
        <w:t>6</w:t>
      </w:r>
      <w:r w:rsidR="00F57C84" w:rsidRPr="00206966">
        <w:rPr>
          <w:rFonts w:ascii="Calibri" w:hAnsi="Calibri" w:cs="Calibri"/>
          <w:b/>
          <w:i/>
          <w:noProof/>
        </w:rPr>
        <w:t>.</w:t>
      </w:r>
      <w:r w:rsidR="00DF2640" w:rsidRPr="00206966">
        <w:rPr>
          <w:rFonts w:ascii="Calibri" w:hAnsi="Calibri" w:cs="Calibri"/>
          <w:b/>
          <w:i/>
          <w:noProof/>
        </w:rPr>
        <w:t xml:space="preserve"> </w:t>
      </w:r>
      <w:r w:rsidR="007D4019" w:rsidRPr="007D4019">
        <w:rPr>
          <w:rFonts w:ascii="Calibri" w:hAnsi="Calibri" w:cs="Calibri"/>
          <w:bCs/>
          <w:iCs/>
          <w:noProof/>
        </w:rPr>
        <w:t>Il Rapporto Lunigiana 2026 restituisce il quadro di un'area interna in transizione, caratterizzata da un declino demografico di medio periodo, recentemente attenuatosi ma ancora destinato a proseguire, e da una progressiva riduzione della base imprenditoriale tradizionale, soprattutto nei comparti primario e secondario</w:t>
      </w:r>
      <w:r w:rsidR="00B95E49" w:rsidRPr="00B95E49">
        <w:rPr>
          <w:rFonts w:ascii="Calibri" w:hAnsi="Calibri" w:cs="Calibri"/>
          <w:bCs/>
          <w:iCs/>
          <w:noProof/>
        </w:rPr>
        <w:t>.</w:t>
      </w:r>
      <w:r w:rsidR="00B95E49">
        <w:rPr>
          <w:rFonts w:ascii="Calibri" w:hAnsi="Calibri" w:cs="Calibri"/>
          <w:bCs/>
          <w:iCs/>
          <w:noProof/>
        </w:rPr>
        <w:t xml:space="preserve"> </w:t>
      </w:r>
      <w:r w:rsidRPr="00206966">
        <w:rPr>
          <w:rFonts w:ascii="Calibri" w:hAnsi="Calibri" w:cs="Calibri"/>
          <w:bCs/>
          <w:iCs/>
          <w:noProof/>
        </w:rPr>
        <w:t>A queste dinamiche regressive si contrappongono tuttavia segnali di espansione e vitalità nel comparto turistico e nel mercato immobiliare, che sostengono la progressiva terziarizzazione dell'economia locale. L'apporto della componente straniera emerge come fattore imprescindibile per la tenuta del sistema</w:t>
      </w:r>
      <w:r w:rsidRPr="00E61184">
        <w:rPr>
          <w:rFonts w:ascii="Calibri" w:hAnsi="Calibri" w:cs="Calibri"/>
          <w:bCs/>
          <w:iCs/>
          <w:noProof/>
        </w:rPr>
        <w:t xml:space="preserve"> produttivo e sociale, compensando parzialmente le vulnerabilità sistemiche derivanti dall'invecchiamento della popolazione, dall'elevata dipendenza dai redditi pensionistici e dal continuo deflusso occupazionale delle coorti giovanili verso i poli urbani limitrofi. </w:t>
      </w:r>
    </w:p>
    <w:p w14:paraId="2DB35D51" w14:textId="18158550" w:rsidR="00E61184" w:rsidRDefault="00E61184" w:rsidP="00E61184">
      <w:pPr>
        <w:spacing w:beforeLines="50" w:before="120"/>
        <w:rPr>
          <w:rFonts w:ascii="Calibri" w:hAnsi="Calibri" w:cs="Calibri"/>
          <w:bCs/>
          <w:iCs/>
          <w:noProof/>
        </w:rPr>
      </w:pPr>
      <w:r w:rsidRPr="00E61184">
        <w:rPr>
          <w:rFonts w:ascii="Calibri" w:hAnsi="Calibri" w:cs="Calibri"/>
          <w:b/>
          <w:iCs/>
          <w:noProof/>
        </w:rPr>
        <w:t>Focus sulle dinamiche demografiche e tenuta sociale</w:t>
      </w:r>
    </w:p>
    <w:p w14:paraId="5A0F5BA8" w14:textId="70C4CD4A" w:rsidR="00E61184" w:rsidRDefault="00E61184" w:rsidP="00E61184">
      <w:pPr>
        <w:spacing w:beforeLines="50" w:before="120"/>
        <w:rPr>
          <w:rFonts w:ascii="Calibri" w:hAnsi="Calibri" w:cs="Calibri"/>
          <w:bCs/>
          <w:iCs/>
          <w:noProof/>
        </w:rPr>
      </w:pPr>
      <w:r w:rsidRPr="00E61184">
        <w:rPr>
          <w:rFonts w:ascii="Calibri" w:hAnsi="Calibri" w:cs="Calibri"/>
          <w:bCs/>
          <w:iCs/>
          <w:noProof/>
        </w:rPr>
        <w:t xml:space="preserve">L'analisi demografica evidenzia una contrazione della popolazione residente pari al 6,2 per cento nel decennio 2015-2025, attestandosi a 51.317 unità. Nonostante un lieve recupero nell'ultimo biennio, le proiezioni al 2050 mantengono un'impostazione sfavorevole, anticipando </w:t>
      </w:r>
      <w:r w:rsidRPr="00206966">
        <w:rPr>
          <w:rFonts w:ascii="Calibri" w:hAnsi="Calibri" w:cs="Calibri"/>
          <w:bCs/>
          <w:iCs/>
          <w:noProof/>
        </w:rPr>
        <w:t xml:space="preserve">un'ulteriore flessione della popolazione in età lavorativa. Tale tendenza si riflette in un indice di vecchiaia salito a 335 individui oltre i 64 anni ogni 100 residenti con meno di 15 anni, delineando un invecchiamento strutturale superiore alla media della provincia di Massa-Carrara. Il presidio sociale del territorio è in gran parte delegato </w:t>
      </w:r>
      <w:r w:rsidR="007D4019">
        <w:rPr>
          <w:rFonts w:ascii="Calibri" w:hAnsi="Calibri" w:cs="Calibri"/>
          <w:bCs/>
          <w:iCs/>
          <w:noProof/>
        </w:rPr>
        <w:t>al</w:t>
      </w:r>
      <w:r w:rsidRPr="00206966">
        <w:rPr>
          <w:rFonts w:ascii="Calibri" w:hAnsi="Calibri" w:cs="Calibri"/>
          <w:bCs/>
          <w:iCs/>
          <w:noProof/>
        </w:rPr>
        <w:t xml:space="preserve"> Terzo Settore, che annovera 216 enti iscritti al registro nazionale, con una prevalenza del 63 per cento di associazioni di promozione sociale e del 28 per cento di organizzazioni di volontariato. Sotto il profilo educativo, le scuole lunigianesi registrano un calo del 18,6 per cento degli iscritti alle primarie rispetto all'anno scolastico 2018/2019, mentre l'elevata mobilità degli studenti verso istituti secondari situati al di fuori dell'area denota una criticità nella continuità dell'offerta formativa locale.</w:t>
      </w:r>
    </w:p>
    <w:p w14:paraId="015B12CF" w14:textId="7498099D" w:rsidR="00E61184" w:rsidRPr="00E61184" w:rsidRDefault="00E61184" w:rsidP="00E61184">
      <w:pPr>
        <w:spacing w:beforeLines="50" w:before="120"/>
        <w:rPr>
          <w:rFonts w:ascii="Calibri" w:hAnsi="Calibri" w:cs="Calibri"/>
          <w:b/>
          <w:iCs/>
          <w:noProof/>
        </w:rPr>
      </w:pPr>
      <w:r w:rsidRPr="00E61184">
        <w:rPr>
          <w:rFonts w:ascii="Calibri" w:hAnsi="Calibri" w:cs="Calibri"/>
          <w:b/>
          <w:iCs/>
          <w:noProof/>
        </w:rPr>
        <w:t xml:space="preserve">Demografia </w:t>
      </w:r>
      <w:r w:rsidR="003D7387" w:rsidRPr="003D7387">
        <w:rPr>
          <w:rFonts w:ascii="Calibri" w:hAnsi="Calibri" w:cs="Calibri"/>
          <w:b/>
          <w:iCs/>
          <w:noProof/>
        </w:rPr>
        <w:t>d'impresa, specializzazione produttiva e Silver Economy</w:t>
      </w:r>
    </w:p>
    <w:p w14:paraId="0D6DF418" w14:textId="6F43342D" w:rsidR="003D7387" w:rsidRPr="00B95E49" w:rsidRDefault="003D7387" w:rsidP="00E61184">
      <w:pPr>
        <w:spacing w:beforeLines="50" w:before="120"/>
        <w:rPr>
          <w:rFonts w:ascii="Calibri" w:hAnsi="Calibri" w:cs="Calibri"/>
          <w:bCs/>
          <w:iCs/>
          <w:noProof/>
        </w:rPr>
      </w:pPr>
      <w:r w:rsidRPr="003D7387">
        <w:rPr>
          <w:rFonts w:ascii="Calibri" w:hAnsi="Calibri" w:cs="Calibri"/>
          <w:bCs/>
          <w:iCs/>
          <w:noProof/>
        </w:rPr>
        <w:t xml:space="preserve">Il tessuto produttivo della Lunigiana è interessato da una marcata contrazione, con il numero di imprese attive sceso a 4.875 unità a fine 2025, pari a un calo del 9 per cento rispetto al 2019. Il ridimensionamento colpisce con maggiore intensità l'industria, in flessione del 15,5 per cento, il commercio al dettaglio, diminuito del 14,6 per cento, e le costruzioni, arretrate del 12,1 per cento. Al contrario, si osserva un'espansione nel comparto degli altri servizi, cresciuto del 4,1 per cento. Sotto il profilo occupazionale, seppur con dati aggiornati al 2023, la Lunigiana conta complessivamente quasi 12.000 addetti, esprimendo una forte vocazione per il terziario con 5.074 unità impiegate nei servizi e 2.399 nel commercio. L'industria mostra invece una minore incidenza rispetto al dato provinciale, assorbendo 1.777 addetti, mentre il settore primario occupa 524 unità lavorative. Entrando nel dettaglio delle filiere, la frammentazione appare marcata: i settori a maggior intensità occupazionale risultano la ristorazione, con 778 addetti distribuiti su una media di 3,9 addetti per unità locale, e le costruzioni edilizie, con 653 addetti e una </w:t>
      </w:r>
      <w:r w:rsidRPr="003D7387">
        <w:rPr>
          <w:rFonts w:ascii="Calibri" w:hAnsi="Calibri" w:cs="Calibri"/>
          <w:bCs/>
          <w:iCs/>
          <w:noProof/>
        </w:rPr>
        <w:lastRenderedPageBreak/>
        <w:t>frammentazione ancora più accentuata pari a 1,8 addetti per impresa. Si palesa inoltre una diffusa senescenza del tessuto economico, confermata dall'innalzamento dell'età media dei titolari d'impresa giunta a superare i 53 anni nel 2025, contestualmente a un esiguo numero di imprese giovanili (guidate da under 35), ferme ad appena il 7,4 per cento del totale. Tuttavia, l'economia lunigianese continua a dare occupazione a settori importanti del territorio, come la cosiddetta "silver economy". Il comparto legato all'assistenza sociale e alla disabilità occupa infatti circa 282 addetti e rappresenta, insieme alla carpenteria metallica e ai supermercati, una delle pochissime filiere locali con una solida strutturazione organizzativa, rispondendo alle crescenti necessità di una popolazione sempre più anziana.</w:t>
      </w:r>
    </w:p>
    <w:p w14:paraId="7867F112" w14:textId="77777777" w:rsidR="00E61184" w:rsidRPr="00E61184" w:rsidRDefault="00E61184" w:rsidP="00E61184">
      <w:pPr>
        <w:spacing w:beforeLines="50" w:before="120"/>
        <w:rPr>
          <w:rFonts w:ascii="Calibri" w:hAnsi="Calibri" w:cs="Calibri"/>
          <w:b/>
          <w:iCs/>
          <w:noProof/>
        </w:rPr>
      </w:pPr>
      <w:r w:rsidRPr="00B95E49">
        <w:rPr>
          <w:rFonts w:ascii="Calibri" w:hAnsi="Calibri" w:cs="Calibri"/>
          <w:b/>
          <w:iCs/>
          <w:noProof/>
        </w:rPr>
        <w:t>Il ruolo della componente straniera</w:t>
      </w:r>
    </w:p>
    <w:p w14:paraId="0E567B3B" w14:textId="0562F42E" w:rsidR="00E61184" w:rsidRDefault="00E61184" w:rsidP="00E61184">
      <w:pPr>
        <w:spacing w:beforeLines="50" w:before="120"/>
        <w:rPr>
          <w:rFonts w:ascii="Calibri" w:hAnsi="Calibri" w:cs="Calibri"/>
          <w:bCs/>
          <w:iCs/>
          <w:noProof/>
        </w:rPr>
      </w:pPr>
      <w:r w:rsidRPr="00206966">
        <w:rPr>
          <w:rFonts w:ascii="Calibri" w:hAnsi="Calibri" w:cs="Calibri"/>
          <w:bCs/>
          <w:iCs/>
          <w:noProof/>
        </w:rPr>
        <w:t xml:space="preserve">La tenuta del sistema socio-economico lunigianese dipende in misura strutturale e crescente dall'integrazione della componente straniera. La popolazione immigrata residente è aumentata del 24,3 per cento negli ultimi sei anni, arrivando a pesare per il 10 per cento sul totale, dinamica alimentata da un saldo migratorio con l'estero stabilmente positivo. A livello </w:t>
      </w:r>
      <w:r w:rsidRPr="00B95E49">
        <w:rPr>
          <w:rFonts w:ascii="Calibri" w:hAnsi="Calibri" w:cs="Calibri"/>
          <w:bCs/>
          <w:iCs/>
          <w:noProof/>
        </w:rPr>
        <w:t xml:space="preserve">imprenditoriale, le attività a guida straniera </w:t>
      </w:r>
      <w:r w:rsidR="007D4019">
        <w:rPr>
          <w:rFonts w:ascii="Calibri" w:hAnsi="Calibri" w:cs="Calibri"/>
          <w:bCs/>
          <w:iCs/>
          <w:noProof/>
        </w:rPr>
        <w:t>risultano</w:t>
      </w:r>
      <w:r w:rsidRPr="00B95E49">
        <w:rPr>
          <w:rFonts w:ascii="Calibri" w:hAnsi="Calibri" w:cs="Calibri"/>
          <w:bCs/>
          <w:iCs/>
          <w:noProof/>
        </w:rPr>
        <w:t xml:space="preserve"> 729, in moderata crescita sul 2019</w:t>
      </w:r>
      <w:r w:rsidR="00206966" w:rsidRPr="00B95E49">
        <w:rPr>
          <w:rFonts w:ascii="Calibri" w:hAnsi="Calibri" w:cs="Calibri"/>
          <w:bCs/>
          <w:iCs/>
          <w:noProof/>
        </w:rPr>
        <w:t xml:space="preserve"> </w:t>
      </w:r>
      <w:r w:rsidR="007D4019">
        <w:rPr>
          <w:rFonts w:ascii="Calibri" w:hAnsi="Calibri" w:cs="Calibri"/>
          <w:bCs/>
          <w:iCs/>
          <w:noProof/>
        </w:rPr>
        <w:t xml:space="preserve">(+1%) </w:t>
      </w:r>
      <w:r w:rsidRPr="00B95E49">
        <w:rPr>
          <w:rFonts w:ascii="Calibri" w:hAnsi="Calibri" w:cs="Calibri"/>
          <w:bCs/>
          <w:iCs/>
          <w:noProof/>
        </w:rPr>
        <w:t>con incrementi superiori al 39 per cento nei comparti del turism</w:t>
      </w:r>
      <w:r w:rsidRPr="00206966">
        <w:rPr>
          <w:rFonts w:ascii="Calibri" w:hAnsi="Calibri" w:cs="Calibri"/>
          <w:bCs/>
          <w:iCs/>
          <w:noProof/>
        </w:rPr>
        <w:t xml:space="preserve">o e </w:t>
      </w:r>
      <w:r w:rsidRPr="00B017BE">
        <w:rPr>
          <w:rFonts w:ascii="Calibri" w:hAnsi="Calibri" w:cs="Calibri"/>
          <w:bCs/>
          <w:iCs/>
          <w:noProof/>
        </w:rPr>
        <w:t>degli altri servizi. L'impatto economico risulta ancor più determinante nel lavoro dipendente, dove gli occupati</w:t>
      </w:r>
      <w:r w:rsidRPr="00E61184">
        <w:rPr>
          <w:rFonts w:ascii="Calibri" w:hAnsi="Calibri" w:cs="Calibri"/>
          <w:bCs/>
          <w:iCs/>
          <w:noProof/>
        </w:rPr>
        <w:t xml:space="preserve"> di origine non italiana sono cresciuti del 31 per cento tra il 2019 e il 2023. Questa fondamentale forza lavoro si concentra nell'edilizia, dove oltre un terzo degli addetti è di cittadinanza estera, confermando come tale capitale umano sia essenziale per la continuità operativa delle filiere ad alta intensità di lavoro fisico e manuale.</w:t>
      </w:r>
    </w:p>
    <w:p w14:paraId="1B957925" w14:textId="77777777" w:rsidR="00E61184" w:rsidRPr="00E61184" w:rsidRDefault="00E61184" w:rsidP="00E61184">
      <w:pPr>
        <w:spacing w:beforeLines="50" w:before="120"/>
        <w:rPr>
          <w:rFonts w:ascii="Calibri" w:hAnsi="Calibri" w:cs="Calibri"/>
          <w:b/>
          <w:iCs/>
          <w:noProof/>
        </w:rPr>
      </w:pPr>
      <w:r w:rsidRPr="00E61184">
        <w:rPr>
          <w:rFonts w:ascii="Calibri" w:hAnsi="Calibri" w:cs="Calibri"/>
          <w:b/>
          <w:iCs/>
          <w:noProof/>
        </w:rPr>
        <w:t>Mercato immobiliare, flussi turistici e creazione di valore</w:t>
      </w:r>
    </w:p>
    <w:p w14:paraId="2613DEBA" w14:textId="77777777" w:rsidR="00967EB2" w:rsidRDefault="003D7387" w:rsidP="00E61184">
      <w:pPr>
        <w:spacing w:beforeLines="50" w:before="120"/>
        <w:rPr>
          <w:rFonts w:ascii="Calibri" w:hAnsi="Calibri" w:cs="Calibri"/>
          <w:bCs/>
          <w:iCs/>
          <w:noProof/>
        </w:rPr>
      </w:pPr>
      <w:r w:rsidRPr="003D7387">
        <w:rPr>
          <w:rFonts w:ascii="Calibri" w:hAnsi="Calibri" w:cs="Calibri"/>
          <w:bCs/>
          <w:iCs/>
          <w:noProof/>
        </w:rPr>
        <w:t xml:space="preserve">Il mercato immobiliare residenziale denota un'eccezionale vivacità, con compravendite incrementate del 64 per cento nel periodo 2019-2025, affiancate da un notevole aumento (+70 per cento) nelle transazioni non residenziali, indicatore di una solida domanda di spazi commerciali e produttivi. Nonostante la decisa espansione dei volumi intermediati, i prezzi medi di vendita risultano in flessione del 9 per cento rispetto al 2019, attestandosi a 1.031 euro al metro quadrato nel 2025. Parallelamente, i canoni di locazione hanno registrato una forte spinta rialzista, salendo del 15 per cento fino a 6,9 euro al metro quadrato. Questa "inflazione dei canoni" è correlata all'espansione degli affitti brevi, segmento che ha visto crescere del 16 per cento il numero di alloggi disponibili, generando ricavi lordi per 11,3 milioni di euro, in ascesa del 30 per cento. In sinergia, l'economia turistica ha mostrato un trend espansivo consolidato, con arrivi e presenze cresciuti rispettivamente dell'11 e del 7 per cento sul 2019, superando le 109.000 presenze complessive, trainate soprattutto dall'incremento del 13 per cento della domanda internazionale. L'adeguamento dell'offerta ricettiva ha registrato un balzo del 44 per cento delle strutture extra-alberghiere. Tale vitalità del comparto turistico è supportata e favorita dalla presenza dell'autostrada che attraversa la Lunigiana. L'efficienza di questa arteria è dimostrata dai dati del 2025: il traffico dai caselli di Aulla e Pontremoli ha raggiunto i livelli massimi degli ultimi anni, con 2,4 milioni di entrate (+3,9% dal 2019) e 2,5 milioni di uscite (+5%), confermando il forte legame con la costa ligure-apuana. </w:t>
      </w:r>
    </w:p>
    <w:p w14:paraId="3C8D67DE" w14:textId="755783E3" w:rsidR="00967EB2" w:rsidRDefault="00967EB2" w:rsidP="00E61184">
      <w:pPr>
        <w:spacing w:beforeLines="50" w:before="120"/>
        <w:rPr>
          <w:rFonts w:ascii="Calibri" w:hAnsi="Calibri" w:cs="Calibri"/>
          <w:bCs/>
          <w:iCs/>
          <w:noProof/>
        </w:rPr>
      </w:pPr>
      <w:r w:rsidRPr="00967EB2">
        <w:rPr>
          <w:rFonts w:ascii="Calibri" w:hAnsi="Calibri" w:cs="Calibri"/>
          <w:bCs/>
          <w:iCs/>
          <w:noProof/>
        </w:rPr>
        <w:t xml:space="preserve">Il report evidenzia una profonda distorsione nella capacità di trattenere il valore creato a livello locale. Mentre il comparto manifatturiero lunigianese mostra una produttività media di 55 mila euro per addetto e trasferisce in monte salari una quota percentuale del 41 per </w:t>
      </w:r>
      <w:r w:rsidRPr="00967EB2">
        <w:rPr>
          <w:rFonts w:ascii="Calibri" w:hAnsi="Calibri" w:cs="Calibri"/>
          <w:bCs/>
          <w:iCs/>
          <w:noProof/>
        </w:rPr>
        <w:lastRenderedPageBreak/>
        <w:t>cento della ricchezza, il settore turistico, pur assorbendo un elevato numero di occupati, genera una produttività ridotta, pari a soli 17 mila euro per addetto. Trasferendo il 45 per cento di un basso valore aggiunto, il turismo lunigianese genera intrinsecamente "lavoro povero": il salario medio, penalizzato anche dalla durata limitata della stagione e da una ridotta intensità lavorativa, si ferma a 13 mila euro per addetto, meno della metà di quello industriale. Di conseguenza, la capacità del settore di consolidare la ricchezza sul territorio è fortemente limitata, con il valore trattenuto che scende al 35 per cento. Queste dinamiche delineano un ecosistema lavorativo fragile, bloccato in una trappola qualitativa e retributiva. Nonostante la forte presenza di manodopera giovanile, il comparto soffre di un deskilling patologico, dovuto all'appiattimento su mansioni puramente esecutive che spinge alla fuga i giovani più istruiti. Tali limiti strutturali – salari d'ingresso contratti, stagionalità marcata</w:t>
      </w:r>
      <w:r>
        <w:rPr>
          <w:rFonts w:ascii="Calibri" w:hAnsi="Calibri" w:cs="Calibri"/>
          <w:bCs/>
          <w:iCs/>
          <w:noProof/>
        </w:rPr>
        <w:t xml:space="preserve"> </w:t>
      </w:r>
      <w:r w:rsidRPr="00967EB2">
        <w:rPr>
          <w:rFonts w:ascii="Calibri" w:hAnsi="Calibri" w:cs="Calibri"/>
          <w:bCs/>
          <w:iCs/>
          <w:noProof/>
        </w:rPr>
        <w:t>– trasformano il turismo in un comparto di transito, incapace di offrire prospettive di stabilità a lungo termine per le famiglie del territorio.</w:t>
      </w:r>
    </w:p>
    <w:p w14:paraId="37EEFCF0" w14:textId="77777777" w:rsidR="00E61184" w:rsidRPr="00E61184" w:rsidRDefault="00E61184" w:rsidP="00E61184">
      <w:pPr>
        <w:spacing w:beforeLines="50" w:before="120"/>
        <w:rPr>
          <w:rFonts w:ascii="Calibri" w:hAnsi="Calibri" w:cs="Calibri"/>
          <w:b/>
          <w:iCs/>
          <w:noProof/>
        </w:rPr>
      </w:pPr>
      <w:r w:rsidRPr="00E61184">
        <w:rPr>
          <w:rFonts w:ascii="Calibri" w:hAnsi="Calibri" w:cs="Calibri"/>
          <w:b/>
          <w:iCs/>
          <w:noProof/>
        </w:rPr>
        <w:t>Redditi, infrastrutture e transizione agricola</w:t>
      </w:r>
    </w:p>
    <w:p w14:paraId="03E6D4D0" w14:textId="1B7C45F0" w:rsidR="00E61184" w:rsidRPr="00E61184" w:rsidRDefault="00E61184" w:rsidP="00E61184">
      <w:pPr>
        <w:spacing w:beforeLines="50" w:before="120"/>
        <w:rPr>
          <w:rFonts w:ascii="Calibri" w:hAnsi="Calibri" w:cs="Calibri"/>
          <w:bCs/>
          <w:iCs/>
          <w:noProof/>
        </w:rPr>
      </w:pPr>
      <w:r w:rsidRPr="00E61184">
        <w:rPr>
          <w:rFonts w:ascii="Calibri" w:hAnsi="Calibri" w:cs="Calibri"/>
          <w:bCs/>
          <w:iCs/>
          <w:noProof/>
        </w:rPr>
        <w:t xml:space="preserve">Il quadro reddituale evidenzia un reddito medio imponibile Irpef di </w:t>
      </w:r>
      <w:r w:rsidR="009637BB">
        <w:rPr>
          <w:rFonts w:ascii="Calibri" w:hAnsi="Calibri" w:cs="Calibri"/>
          <w:bCs/>
          <w:iCs/>
          <w:noProof/>
        </w:rPr>
        <w:t>quasi 23 mila e</w:t>
      </w:r>
      <w:r w:rsidRPr="00E61184">
        <w:rPr>
          <w:rFonts w:ascii="Calibri" w:hAnsi="Calibri" w:cs="Calibri"/>
          <w:bCs/>
          <w:iCs/>
          <w:noProof/>
        </w:rPr>
        <w:t>uro nel 2024, in crescita nominale del 22 per cento sul 2019</w:t>
      </w:r>
      <w:r w:rsidR="00A14853">
        <w:rPr>
          <w:rFonts w:ascii="Calibri" w:hAnsi="Calibri" w:cs="Calibri"/>
          <w:bCs/>
          <w:iCs/>
          <w:noProof/>
        </w:rPr>
        <w:t xml:space="preserve"> (</w:t>
      </w:r>
      <w:r w:rsidR="006A3848">
        <w:rPr>
          <w:rFonts w:ascii="Calibri" w:hAnsi="Calibri" w:cs="Calibri"/>
          <w:bCs/>
          <w:iCs/>
          <w:noProof/>
        </w:rPr>
        <w:t>con un inflazione che soprattutto tra il 2021 ed il 2023 ha eroso il potere d’acquisto</w:t>
      </w:r>
      <w:r w:rsidR="00A14853">
        <w:rPr>
          <w:rFonts w:ascii="Calibri" w:hAnsi="Calibri" w:cs="Calibri"/>
          <w:bCs/>
          <w:iCs/>
          <w:noProof/>
        </w:rPr>
        <w:t>)</w:t>
      </w:r>
      <w:r w:rsidRPr="00E61184">
        <w:rPr>
          <w:rFonts w:ascii="Calibri" w:hAnsi="Calibri" w:cs="Calibri"/>
          <w:bCs/>
          <w:iCs/>
          <w:noProof/>
        </w:rPr>
        <w:t xml:space="preserve">, un dato tuttavia distorto dalla forte dipendenza del territorio dalle prestazioni pensionistiche, che rappresentano il 38 per cento della ricchezza complessiva generata. Sul fronte delle dotazioni infrastrutturali, </w:t>
      </w:r>
      <w:r w:rsidR="00967EB2">
        <w:rPr>
          <w:rFonts w:ascii="Calibri" w:hAnsi="Calibri" w:cs="Calibri"/>
          <w:bCs/>
          <w:iCs/>
          <w:noProof/>
        </w:rPr>
        <w:t xml:space="preserve">al netto della presnza dell’autostrada, </w:t>
      </w:r>
      <w:r w:rsidRPr="00E61184">
        <w:rPr>
          <w:rFonts w:ascii="Calibri" w:hAnsi="Calibri" w:cs="Calibri"/>
          <w:bCs/>
          <w:iCs/>
          <w:noProof/>
        </w:rPr>
        <w:t xml:space="preserve">l'area sconta una progressiva desertificazione finanziaria, certificata dalla perdita del 15 per cento degli sportelli bancari, ormai ridotti a sole 23 unità. Anche la copertura digitale, pur in fase di implementazione con </w:t>
      </w:r>
      <w:r w:rsidRPr="00B95E49">
        <w:rPr>
          <w:rFonts w:ascii="Calibri" w:hAnsi="Calibri" w:cs="Calibri"/>
          <w:bCs/>
          <w:iCs/>
          <w:noProof/>
        </w:rPr>
        <w:t>previsioni di raggiungimento del 72 per cento per la rete fissa FTTH nel 2026, sconta storici ritardi rispetto alle aree interne limitrofe. Il settore agricolo attraversa un processo di drastico consolidamento organizzativo</w:t>
      </w:r>
      <w:r w:rsidR="00C360AE" w:rsidRPr="00B95E49">
        <w:rPr>
          <w:rFonts w:ascii="Calibri" w:hAnsi="Calibri" w:cs="Calibri"/>
          <w:bCs/>
          <w:iCs/>
          <w:noProof/>
        </w:rPr>
        <w:t xml:space="preserve"> caratterizzato </w:t>
      </w:r>
      <w:r w:rsidRPr="00B95E49">
        <w:rPr>
          <w:rFonts w:ascii="Calibri" w:hAnsi="Calibri" w:cs="Calibri"/>
          <w:bCs/>
          <w:iCs/>
          <w:noProof/>
        </w:rPr>
        <w:t xml:space="preserve">dalla flessione delle micro-imprese </w:t>
      </w:r>
      <w:r w:rsidR="00196ACD" w:rsidRPr="00B95E49">
        <w:rPr>
          <w:rFonts w:ascii="Calibri" w:hAnsi="Calibri" w:cs="Calibri"/>
          <w:bCs/>
          <w:iCs/>
          <w:noProof/>
        </w:rPr>
        <w:t>“</w:t>
      </w:r>
      <w:r w:rsidRPr="00B95E49">
        <w:rPr>
          <w:rFonts w:ascii="Calibri" w:hAnsi="Calibri" w:cs="Calibri"/>
          <w:bCs/>
          <w:iCs/>
          <w:noProof/>
        </w:rPr>
        <w:t>di sussistenza</w:t>
      </w:r>
      <w:r w:rsidR="00196ACD" w:rsidRPr="00B95E49">
        <w:rPr>
          <w:rFonts w:ascii="Calibri" w:hAnsi="Calibri" w:cs="Calibri"/>
          <w:bCs/>
          <w:iCs/>
          <w:noProof/>
        </w:rPr>
        <w:t>”</w:t>
      </w:r>
      <w:r w:rsidR="00C360AE" w:rsidRPr="00B95E49">
        <w:rPr>
          <w:rFonts w:ascii="Calibri" w:hAnsi="Calibri" w:cs="Calibri"/>
          <w:bCs/>
          <w:iCs/>
          <w:noProof/>
        </w:rPr>
        <w:t>, passate dal 64 per cento del 2017 al 45 per cento del 2024,</w:t>
      </w:r>
      <w:r w:rsidRPr="00B95E49">
        <w:rPr>
          <w:rFonts w:ascii="Calibri" w:hAnsi="Calibri" w:cs="Calibri"/>
          <w:bCs/>
          <w:iCs/>
          <w:noProof/>
        </w:rPr>
        <w:t xml:space="preserve"> a favore di una maggiore concentrazione dei ricavi in aziende strutturate con fatturati superiori ai duecentomila euro. Si </w:t>
      </w:r>
      <w:r w:rsidR="006F69EC" w:rsidRPr="00B95E49">
        <w:rPr>
          <w:rFonts w:ascii="Calibri" w:hAnsi="Calibri" w:cs="Calibri"/>
          <w:bCs/>
          <w:iCs/>
          <w:noProof/>
        </w:rPr>
        <w:t>rafforza</w:t>
      </w:r>
      <w:r w:rsidRPr="00B95E49">
        <w:rPr>
          <w:rFonts w:ascii="Calibri" w:hAnsi="Calibri" w:cs="Calibri"/>
          <w:bCs/>
          <w:iCs/>
          <w:noProof/>
        </w:rPr>
        <w:t xml:space="preserve"> inoltre in modo marcato la transizione ecologica, con le imprese biologiche aumentate del 30 per cento e le relative superfici arrivate a coprire il 21 per cento dell</w:t>
      </w:r>
      <w:r w:rsidR="00A14853">
        <w:rPr>
          <w:rFonts w:ascii="Calibri" w:hAnsi="Calibri" w:cs="Calibri"/>
          <w:bCs/>
          <w:iCs/>
          <w:noProof/>
        </w:rPr>
        <w:t>a superficie</w:t>
      </w:r>
      <w:r w:rsidRPr="00B95E49">
        <w:rPr>
          <w:rFonts w:ascii="Calibri" w:hAnsi="Calibri" w:cs="Calibri"/>
          <w:bCs/>
          <w:iCs/>
          <w:noProof/>
        </w:rPr>
        <w:t xml:space="preserve"> agricola utilizzata, un modello di business sempre più supportato dall'integrazione di attività agrituristiche complementari</w:t>
      </w:r>
      <w:r w:rsidRPr="00E61184">
        <w:rPr>
          <w:rFonts w:ascii="Calibri" w:hAnsi="Calibri" w:cs="Calibri"/>
          <w:bCs/>
          <w:iCs/>
          <w:noProof/>
        </w:rPr>
        <w:t xml:space="preserve">. </w:t>
      </w:r>
    </w:p>
    <w:p w14:paraId="5956C70D" w14:textId="75FF3211" w:rsidR="00E61184" w:rsidRPr="00E61184" w:rsidRDefault="00E61184" w:rsidP="00E61184">
      <w:pPr>
        <w:spacing w:beforeLines="50" w:before="120"/>
        <w:rPr>
          <w:rFonts w:ascii="Calibri" w:hAnsi="Calibri" w:cs="Calibri"/>
          <w:b/>
          <w:iCs/>
          <w:noProof/>
        </w:rPr>
      </w:pPr>
      <w:r w:rsidRPr="00E61184">
        <w:rPr>
          <w:rFonts w:ascii="Calibri" w:hAnsi="Calibri" w:cs="Calibri"/>
          <w:b/>
          <w:iCs/>
          <w:noProof/>
        </w:rPr>
        <w:t>Occupazione giovanile e prospettive</w:t>
      </w:r>
    </w:p>
    <w:p w14:paraId="497EDEC4" w14:textId="71FDD013" w:rsidR="00E61184" w:rsidRPr="00E61184" w:rsidRDefault="00E61184" w:rsidP="00E61184">
      <w:pPr>
        <w:spacing w:beforeLines="50" w:before="120"/>
        <w:rPr>
          <w:rFonts w:ascii="Calibri" w:hAnsi="Calibri" w:cs="Calibri"/>
          <w:bCs/>
          <w:iCs/>
          <w:noProof/>
        </w:rPr>
      </w:pPr>
      <w:r w:rsidRPr="00E61184">
        <w:rPr>
          <w:rFonts w:ascii="Calibri" w:hAnsi="Calibri" w:cs="Calibri"/>
          <w:bCs/>
          <w:iCs/>
          <w:noProof/>
        </w:rPr>
        <w:t>Le prospettive di lungo periodo per le generazioni più giovani evidenziano marcate fragilità legate alle dinamiche del mercato del lavoro. L'integrazione dei giovani di cittadinanza straniera rappresenta attualmente la principale risorsa vitale per invertire il declino demografico, costituendo essi il 15,4 per cento della popolazione compresa tra i 15 e i 29 anni, con un eccezionale tasso di crescita del 42 per cento rispetto al 2019. Tuttavia, il territorio nel suo complesso dimostra un</w:t>
      </w:r>
      <w:r w:rsidR="00A14853">
        <w:rPr>
          <w:rFonts w:ascii="Calibri" w:hAnsi="Calibri" w:cs="Calibri"/>
          <w:bCs/>
          <w:iCs/>
          <w:noProof/>
        </w:rPr>
        <w:t>’</w:t>
      </w:r>
      <w:r w:rsidRPr="00E61184">
        <w:rPr>
          <w:rFonts w:ascii="Calibri" w:hAnsi="Calibri" w:cs="Calibri"/>
          <w:bCs/>
          <w:iCs/>
          <w:noProof/>
        </w:rPr>
        <w:t xml:space="preserve">incapacità di trattenere la forza lavoro giovane e produttiva, come certificato dal basso tasso di </w:t>
      </w:r>
      <w:r w:rsidR="00A14853">
        <w:rPr>
          <w:rFonts w:ascii="Calibri" w:hAnsi="Calibri" w:cs="Calibri"/>
          <w:bCs/>
          <w:iCs/>
          <w:noProof/>
        </w:rPr>
        <w:t>“</w:t>
      </w:r>
      <w:r w:rsidRPr="00E61184">
        <w:rPr>
          <w:rFonts w:ascii="Calibri" w:hAnsi="Calibri" w:cs="Calibri"/>
          <w:bCs/>
          <w:iCs/>
          <w:noProof/>
        </w:rPr>
        <w:t>autocontenimento occupazionale</w:t>
      </w:r>
      <w:r w:rsidR="00A14853">
        <w:rPr>
          <w:rFonts w:ascii="Calibri" w:hAnsi="Calibri" w:cs="Calibri"/>
          <w:bCs/>
          <w:iCs/>
          <w:noProof/>
        </w:rPr>
        <w:t>”</w:t>
      </w:r>
      <w:r w:rsidRPr="00E61184">
        <w:rPr>
          <w:rFonts w:ascii="Calibri" w:hAnsi="Calibri" w:cs="Calibri"/>
          <w:bCs/>
          <w:iCs/>
          <w:noProof/>
        </w:rPr>
        <w:t>. Oltre 6.</w:t>
      </w:r>
      <w:r w:rsidR="00CE7197">
        <w:rPr>
          <w:rFonts w:ascii="Calibri" w:hAnsi="Calibri" w:cs="Calibri"/>
          <w:bCs/>
          <w:iCs/>
          <w:noProof/>
        </w:rPr>
        <w:t>7</w:t>
      </w:r>
      <w:r w:rsidRPr="00E61184">
        <w:rPr>
          <w:rFonts w:ascii="Calibri" w:hAnsi="Calibri" w:cs="Calibri"/>
          <w:bCs/>
          <w:iCs/>
          <w:noProof/>
        </w:rPr>
        <w:t xml:space="preserve">00 residenti, un numero in netto aumento del 18 per cento rispetto alle rilevazioni del 2011, sono quotidianamente costretti al pendolarismo lavorativo verso i poli urbani, industriali e costieri esterni, confermando l'inadeguatezza dell'attuale tessuto produttivo locale nell'offrire opportunità professionali qualificate e stabili in loco. </w:t>
      </w:r>
    </w:p>
    <w:p w14:paraId="1D6733A8" w14:textId="77777777" w:rsidR="005E1C53" w:rsidRDefault="005E1C53" w:rsidP="00E61184">
      <w:pPr>
        <w:spacing w:beforeLines="50" w:before="120"/>
        <w:rPr>
          <w:rFonts w:ascii="Calibri" w:hAnsi="Calibri" w:cs="Calibri"/>
          <w:b/>
          <w:i/>
          <w:noProof/>
        </w:rPr>
      </w:pPr>
    </w:p>
    <w:p w14:paraId="6AD677A3" w14:textId="77777777" w:rsidR="005E1C53" w:rsidRDefault="005E1C53" w:rsidP="00E61184">
      <w:pPr>
        <w:spacing w:beforeLines="50" w:before="120"/>
        <w:rPr>
          <w:rFonts w:ascii="Calibri" w:hAnsi="Calibri" w:cs="Calibri"/>
          <w:b/>
          <w:i/>
          <w:noProof/>
        </w:rPr>
      </w:pPr>
    </w:p>
    <w:p w14:paraId="69E7D99A" w14:textId="1B3567A9" w:rsidR="00196ACD" w:rsidRPr="00196ACD" w:rsidRDefault="00196ACD" w:rsidP="00E61184">
      <w:pPr>
        <w:spacing w:beforeLines="50" w:before="120"/>
        <w:rPr>
          <w:rFonts w:ascii="Calibri" w:hAnsi="Calibri" w:cs="Calibri"/>
          <w:b/>
          <w:i/>
          <w:noProof/>
        </w:rPr>
      </w:pPr>
      <w:r w:rsidRPr="00196ACD">
        <w:rPr>
          <w:rFonts w:ascii="Calibri" w:hAnsi="Calibri" w:cs="Calibri"/>
          <w:b/>
          <w:i/>
          <w:noProof/>
        </w:rPr>
        <w:t>In sintesi</w:t>
      </w:r>
    </w:p>
    <w:p w14:paraId="2334EFAE" w14:textId="5DBEC006" w:rsidR="00E61184" w:rsidRPr="00E61184" w:rsidRDefault="00E61184" w:rsidP="00E61184">
      <w:pPr>
        <w:spacing w:beforeLines="50" w:before="120"/>
        <w:rPr>
          <w:rFonts w:ascii="Calibri" w:hAnsi="Calibri" w:cs="Calibri"/>
          <w:bCs/>
          <w:i/>
          <w:noProof/>
        </w:rPr>
      </w:pPr>
      <w:r w:rsidRPr="00E61184">
        <w:rPr>
          <w:rFonts w:ascii="Calibri" w:hAnsi="Calibri" w:cs="Calibri"/>
          <w:bCs/>
          <w:i/>
          <w:noProof/>
        </w:rPr>
        <w:t xml:space="preserve">L'analisi della Lunigiana delinea un ecosistema in transizione, dove i rischi derivanti dal declino demografico e dall'assottigliamento della base produttiva nei settori industriali e commerciali tradizionali impongono un riposizionamento per le aziende operanti nell'area. Le criticità inerenti all'invecchiamento della popolazione, all'elevata dipendenza dai trasferimenti previdenziali e </w:t>
      </w:r>
      <w:r w:rsidR="00C130C7">
        <w:rPr>
          <w:rFonts w:ascii="Calibri" w:hAnsi="Calibri" w:cs="Calibri"/>
          <w:bCs/>
          <w:i/>
          <w:noProof/>
        </w:rPr>
        <w:t>l’e</w:t>
      </w:r>
      <w:r w:rsidRPr="00E61184">
        <w:rPr>
          <w:rFonts w:ascii="Calibri" w:hAnsi="Calibri" w:cs="Calibri"/>
          <w:bCs/>
          <w:i/>
          <w:noProof/>
        </w:rPr>
        <w:t xml:space="preserve">sodo occupazionale giovanile configurano una prospettiva di contrazione per la domanda interna di beni di consumo e servizi. Tali vulnerabilità di sistema risultano tuttavia parzialmente compensate dalla decisa espansione dei flussi turistici internazionali, dalla liquidità generata dal mercato immobiliare residenziale e dalla riorganizzazione qualitativa della filiera agroalimentare verso modelli sostenibili e biologici, ancorché lo sviluppo turistico palesi limiti strutturali nella distribuzione della ricchezza, generando un elevato grado di </w:t>
      </w:r>
      <w:r w:rsidR="00196ACD">
        <w:rPr>
          <w:rFonts w:ascii="Calibri" w:hAnsi="Calibri" w:cs="Calibri"/>
          <w:bCs/>
          <w:i/>
          <w:noProof/>
        </w:rPr>
        <w:t>“</w:t>
      </w:r>
      <w:r w:rsidRPr="00E61184">
        <w:rPr>
          <w:rFonts w:ascii="Calibri" w:hAnsi="Calibri" w:cs="Calibri"/>
          <w:bCs/>
          <w:i/>
          <w:noProof/>
        </w:rPr>
        <w:t>occupazione povera</w:t>
      </w:r>
      <w:r w:rsidR="00196ACD">
        <w:rPr>
          <w:rFonts w:ascii="Calibri" w:hAnsi="Calibri" w:cs="Calibri"/>
          <w:bCs/>
          <w:i/>
          <w:noProof/>
        </w:rPr>
        <w:t>”</w:t>
      </w:r>
      <w:r w:rsidRPr="00E61184">
        <w:rPr>
          <w:rFonts w:ascii="Calibri" w:hAnsi="Calibri" w:cs="Calibri"/>
          <w:bCs/>
          <w:i/>
          <w:noProof/>
        </w:rPr>
        <w:t xml:space="preserve"> e frammentata che fatica a stabilizzarsi. Alla luce di queste dinamiche e della imprescindibile necessità di impiegare manodopera straniera per garantire la continuità operativa, le strategie dovranno focalizzarsi su un rigoroso risk management del mercato locale</w:t>
      </w:r>
      <w:r w:rsidR="00196ACD">
        <w:rPr>
          <w:rFonts w:ascii="Calibri" w:hAnsi="Calibri" w:cs="Calibri"/>
          <w:bCs/>
          <w:i/>
          <w:noProof/>
        </w:rPr>
        <w:t>: l</w:t>
      </w:r>
      <w:r w:rsidRPr="00E61184">
        <w:rPr>
          <w:rFonts w:ascii="Calibri" w:hAnsi="Calibri" w:cs="Calibri"/>
          <w:bCs/>
          <w:i/>
          <w:noProof/>
        </w:rPr>
        <w:t xml:space="preserve">'allocazione </w:t>
      </w:r>
      <w:r w:rsidR="00196ACD">
        <w:rPr>
          <w:rFonts w:ascii="Calibri" w:hAnsi="Calibri" w:cs="Calibri"/>
          <w:bCs/>
          <w:i/>
          <w:noProof/>
        </w:rPr>
        <w:t>degli investimenti</w:t>
      </w:r>
      <w:r w:rsidRPr="00E61184">
        <w:rPr>
          <w:rFonts w:ascii="Calibri" w:hAnsi="Calibri" w:cs="Calibri"/>
          <w:bCs/>
          <w:i/>
          <w:noProof/>
        </w:rPr>
        <w:t xml:space="preserve"> dovrà prioritariamente focalizzarsi sulla valorizzazione degli asset immobiliari, sull'intercettazione dei flussi legati all'accoglienza extra-alberghiera e sull'integrazione delle nuove vocazioni rurali ad alto valore aggiunto.</w:t>
      </w:r>
    </w:p>
    <w:p w14:paraId="22D04A83" w14:textId="1410C5B5" w:rsidR="008A1BAE" w:rsidRDefault="006F4615" w:rsidP="00CC1B31">
      <w:pPr>
        <w:pBdr>
          <w:top w:val="nil"/>
          <w:left w:val="nil"/>
          <w:bottom w:val="nil"/>
          <w:right w:val="nil"/>
          <w:between w:val="nil"/>
        </w:pBdr>
        <w:spacing w:before="240"/>
        <w:rPr>
          <w:rFonts w:asciiTheme="majorHAnsi" w:eastAsia="Calibri" w:hAnsiTheme="majorHAnsi" w:cstheme="majorHAnsi"/>
          <w:sz w:val="23"/>
          <w:szCs w:val="23"/>
        </w:rPr>
      </w:pPr>
      <w:r>
        <w:rPr>
          <w:rFonts w:asciiTheme="majorHAnsi" w:eastAsia="Calibri" w:hAnsiTheme="majorHAnsi" w:cstheme="majorHAnsi"/>
          <w:sz w:val="23"/>
          <w:szCs w:val="23"/>
        </w:rPr>
        <w:t>Lo slide report</w:t>
      </w:r>
      <w:r w:rsidRPr="001626B9">
        <w:rPr>
          <w:rFonts w:asciiTheme="majorHAnsi" w:eastAsia="Calibri" w:hAnsiTheme="majorHAnsi" w:cstheme="majorHAnsi"/>
          <w:sz w:val="23"/>
          <w:szCs w:val="23"/>
        </w:rPr>
        <w:t xml:space="preserve"> completo</w:t>
      </w:r>
      <w:r>
        <w:rPr>
          <w:rFonts w:asciiTheme="majorHAnsi" w:eastAsia="Calibri" w:hAnsiTheme="majorHAnsi" w:cstheme="majorHAnsi"/>
          <w:sz w:val="23"/>
          <w:szCs w:val="23"/>
        </w:rPr>
        <w:t xml:space="preserve"> </w:t>
      </w:r>
      <w:r w:rsidRPr="001626B9">
        <w:rPr>
          <w:rFonts w:asciiTheme="majorHAnsi" w:eastAsia="Calibri" w:hAnsiTheme="majorHAnsi" w:cstheme="majorHAnsi"/>
          <w:sz w:val="23"/>
          <w:szCs w:val="23"/>
        </w:rPr>
        <w:t xml:space="preserve">è scaricabile dal sito </w:t>
      </w:r>
      <w:hyperlink r:id="rId7">
        <w:r w:rsidRPr="001626B9">
          <w:rPr>
            <w:rFonts w:asciiTheme="majorHAnsi" w:eastAsia="Calibri" w:hAnsiTheme="majorHAnsi" w:cstheme="majorHAnsi"/>
            <w:color w:val="0000FF"/>
            <w:sz w:val="23"/>
            <w:szCs w:val="23"/>
            <w:u w:val="single"/>
          </w:rPr>
          <w:t>www.isr-ms.it</w:t>
        </w:r>
      </w:hyperlink>
      <w:r w:rsidRPr="001626B9">
        <w:rPr>
          <w:rFonts w:asciiTheme="majorHAnsi" w:eastAsia="Calibri" w:hAnsiTheme="majorHAnsi" w:cstheme="majorHAnsi"/>
          <w:sz w:val="23"/>
          <w:szCs w:val="23"/>
        </w:rPr>
        <w:t>.</w:t>
      </w:r>
      <w:bookmarkStart w:id="0" w:name="_gjdgxs" w:colFirst="0" w:colLast="0"/>
      <w:bookmarkEnd w:id="0"/>
    </w:p>
    <w:p w14:paraId="0049F3CC" w14:textId="77777777" w:rsidR="00CC1B31" w:rsidRPr="00CC1B31" w:rsidRDefault="00CC1B31" w:rsidP="00CC1B31">
      <w:pPr>
        <w:pBdr>
          <w:top w:val="nil"/>
          <w:left w:val="nil"/>
          <w:bottom w:val="nil"/>
          <w:right w:val="nil"/>
          <w:between w:val="nil"/>
        </w:pBdr>
        <w:spacing w:before="240"/>
        <w:rPr>
          <w:rFonts w:asciiTheme="majorHAnsi" w:eastAsia="Calibri" w:hAnsiTheme="majorHAnsi" w:cstheme="majorHAnsi"/>
          <w:sz w:val="23"/>
          <w:szCs w:val="23"/>
        </w:rPr>
      </w:pPr>
    </w:p>
    <w:p w14:paraId="3D0704D9" w14:textId="77777777" w:rsidR="008A1BAE" w:rsidRPr="005859A4" w:rsidRDefault="008A1BAE" w:rsidP="008A1BAE">
      <w:pPr>
        <w:tabs>
          <w:tab w:val="center" w:pos="4819"/>
          <w:tab w:val="right" w:pos="9638"/>
        </w:tabs>
        <w:rPr>
          <w:rFonts w:asciiTheme="majorHAnsi" w:eastAsia="Calibri" w:hAnsiTheme="majorHAnsi" w:cstheme="majorHAnsi"/>
          <w:b/>
          <w:bCs/>
          <w:sz w:val="23"/>
          <w:szCs w:val="23"/>
        </w:rPr>
      </w:pPr>
      <w:r w:rsidRPr="005859A4">
        <w:rPr>
          <w:rFonts w:asciiTheme="majorHAnsi" w:eastAsia="Calibri" w:hAnsiTheme="majorHAnsi" w:cstheme="majorHAnsi"/>
          <w:b/>
          <w:bCs/>
          <w:sz w:val="23"/>
          <w:szCs w:val="23"/>
        </w:rPr>
        <w:t>Camera di commercio della Toscana Nord-Ovest</w:t>
      </w:r>
    </w:p>
    <w:p w14:paraId="5151CF99" w14:textId="77777777" w:rsidR="008A1BAE" w:rsidRPr="005859A4" w:rsidRDefault="008A1BAE" w:rsidP="008A1BAE">
      <w:pPr>
        <w:tabs>
          <w:tab w:val="center" w:pos="4819"/>
          <w:tab w:val="right" w:pos="9638"/>
        </w:tabs>
        <w:rPr>
          <w:rFonts w:asciiTheme="majorHAnsi" w:eastAsia="Calibri" w:hAnsiTheme="majorHAnsi" w:cstheme="majorHAnsi"/>
          <w:sz w:val="23"/>
          <w:szCs w:val="23"/>
        </w:rPr>
      </w:pPr>
      <w:r w:rsidRPr="005859A4">
        <w:rPr>
          <w:rFonts w:asciiTheme="majorHAnsi" w:eastAsia="Calibri" w:hAnsiTheme="majorHAnsi" w:cstheme="majorHAnsi"/>
          <w:sz w:val="23"/>
          <w:szCs w:val="23"/>
        </w:rPr>
        <w:t>Comunicazione: Alberto Susini: 050 512.294</w:t>
      </w:r>
    </w:p>
    <w:p w14:paraId="05E7E0A6" w14:textId="77777777" w:rsidR="008A1BAE" w:rsidRPr="005859A4" w:rsidRDefault="008A1BAE" w:rsidP="008A1BAE">
      <w:pPr>
        <w:tabs>
          <w:tab w:val="center" w:pos="4819"/>
          <w:tab w:val="right" w:pos="9638"/>
        </w:tabs>
        <w:rPr>
          <w:rFonts w:asciiTheme="majorHAnsi" w:eastAsia="Calibri" w:hAnsiTheme="majorHAnsi" w:cstheme="majorHAnsi"/>
          <w:sz w:val="23"/>
          <w:szCs w:val="23"/>
        </w:rPr>
      </w:pPr>
      <w:r w:rsidRPr="005859A4">
        <w:rPr>
          <w:rFonts w:asciiTheme="majorHAnsi" w:eastAsia="Calibri" w:hAnsiTheme="majorHAnsi" w:cstheme="majorHAnsi"/>
          <w:sz w:val="23"/>
          <w:szCs w:val="23"/>
        </w:rPr>
        <w:t xml:space="preserve">comunicazione@tno.camcom.it </w:t>
      </w:r>
    </w:p>
    <w:p w14:paraId="33B04309" w14:textId="77777777" w:rsidR="004D19FF" w:rsidRPr="004D19FF" w:rsidRDefault="004D19FF" w:rsidP="004D19FF">
      <w:pPr>
        <w:tabs>
          <w:tab w:val="center" w:pos="4819"/>
          <w:tab w:val="right" w:pos="9638"/>
        </w:tabs>
        <w:rPr>
          <w:rFonts w:asciiTheme="majorHAnsi" w:eastAsia="Calibri" w:hAnsiTheme="majorHAnsi" w:cstheme="majorHAnsi"/>
          <w:sz w:val="23"/>
          <w:szCs w:val="23"/>
        </w:rPr>
      </w:pPr>
      <w:hyperlink r:id="rId8" w:history="1">
        <w:r w:rsidRPr="005859A4">
          <w:rPr>
            <w:rStyle w:val="Collegamentoipertestuale"/>
            <w:rFonts w:asciiTheme="majorHAnsi" w:eastAsia="Calibri" w:hAnsiTheme="majorHAnsi" w:cstheme="majorHAnsi"/>
            <w:sz w:val="23"/>
            <w:szCs w:val="23"/>
          </w:rPr>
          <w:t>www.tno.camcom.it</w:t>
        </w:r>
      </w:hyperlink>
    </w:p>
    <w:p w14:paraId="154A90D5" w14:textId="73D6300A" w:rsidR="008A1BAE" w:rsidRPr="001626B9" w:rsidRDefault="008A1BAE" w:rsidP="008A1BAE">
      <w:pPr>
        <w:tabs>
          <w:tab w:val="center" w:pos="4819"/>
          <w:tab w:val="right" w:pos="9638"/>
        </w:tabs>
        <w:rPr>
          <w:rFonts w:asciiTheme="majorHAnsi" w:eastAsia="Calibri" w:hAnsiTheme="majorHAnsi" w:cstheme="majorHAnsi"/>
          <w:sz w:val="23"/>
          <w:szCs w:val="23"/>
        </w:rPr>
      </w:pPr>
    </w:p>
    <w:sectPr w:rsidR="008A1BAE" w:rsidRPr="001626B9" w:rsidSect="00AD7EC0">
      <w:footerReference w:type="default" r:id="rId9"/>
      <w:headerReference w:type="first" r:id="rId10"/>
      <w:pgSz w:w="11906" w:h="16838"/>
      <w:pgMar w:top="1560" w:right="1559" w:bottom="1418" w:left="1559" w:header="426" w:footer="2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A34A0" w14:textId="77777777" w:rsidR="007E4411" w:rsidRDefault="007E4411">
      <w:r>
        <w:separator/>
      </w:r>
    </w:p>
  </w:endnote>
  <w:endnote w:type="continuationSeparator" w:id="0">
    <w:p w14:paraId="722A3689" w14:textId="77777777" w:rsidR="007E4411" w:rsidRDefault="007E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0"/>
        <w:szCs w:val="20"/>
      </w:rPr>
      <w:id w:val="-164858516"/>
      <w:docPartObj>
        <w:docPartGallery w:val="Page Numbers (Bottom of Page)"/>
        <w:docPartUnique/>
      </w:docPartObj>
    </w:sdtPr>
    <w:sdtEndPr/>
    <w:sdtContent>
      <w:p w14:paraId="79F2EF7E" w14:textId="1ADC7DE6" w:rsidR="00AD7EC0" w:rsidRPr="00AD7EC0" w:rsidRDefault="00AD7EC0">
        <w:pPr>
          <w:pStyle w:val="Pidipagina"/>
          <w:jc w:val="right"/>
          <w:rPr>
            <w:rFonts w:asciiTheme="majorHAnsi" w:hAnsiTheme="majorHAnsi" w:cstheme="majorHAnsi"/>
            <w:sz w:val="20"/>
            <w:szCs w:val="20"/>
          </w:rPr>
        </w:pPr>
        <w:r w:rsidRPr="00AD7EC0">
          <w:rPr>
            <w:rFonts w:asciiTheme="majorHAnsi" w:hAnsiTheme="majorHAnsi" w:cstheme="majorHAnsi"/>
            <w:sz w:val="20"/>
            <w:szCs w:val="20"/>
          </w:rPr>
          <w:fldChar w:fldCharType="begin"/>
        </w:r>
        <w:r w:rsidRPr="00AD7EC0">
          <w:rPr>
            <w:rFonts w:asciiTheme="majorHAnsi" w:hAnsiTheme="majorHAnsi" w:cstheme="majorHAnsi"/>
            <w:sz w:val="20"/>
            <w:szCs w:val="20"/>
          </w:rPr>
          <w:instrText>PAGE   \* MERGEFORMAT</w:instrText>
        </w:r>
        <w:r w:rsidRPr="00AD7EC0">
          <w:rPr>
            <w:rFonts w:asciiTheme="majorHAnsi" w:hAnsiTheme="majorHAnsi" w:cstheme="majorHAnsi"/>
            <w:sz w:val="20"/>
            <w:szCs w:val="20"/>
          </w:rPr>
          <w:fldChar w:fldCharType="separate"/>
        </w:r>
        <w:r w:rsidRPr="00AD7EC0">
          <w:rPr>
            <w:rFonts w:asciiTheme="majorHAnsi" w:hAnsiTheme="majorHAnsi" w:cstheme="majorHAnsi"/>
            <w:sz w:val="20"/>
            <w:szCs w:val="20"/>
          </w:rPr>
          <w:t>2</w:t>
        </w:r>
        <w:r w:rsidRPr="00AD7EC0">
          <w:rPr>
            <w:rFonts w:asciiTheme="majorHAnsi" w:hAnsiTheme="majorHAnsi" w:cstheme="majorHAnsi"/>
            <w:sz w:val="20"/>
            <w:szCs w:val="20"/>
          </w:rPr>
          <w:fldChar w:fldCharType="end"/>
        </w:r>
      </w:p>
    </w:sdtContent>
  </w:sdt>
  <w:p w14:paraId="6016773D" w14:textId="77777777" w:rsidR="00AD7EC0" w:rsidRDefault="00AD7EC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8B52" w14:textId="77777777" w:rsidR="007E4411" w:rsidRDefault="007E4411">
      <w:r>
        <w:separator/>
      </w:r>
    </w:p>
  </w:footnote>
  <w:footnote w:type="continuationSeparator" w:id="0">
    <w:p w14:paraId="0FCAE740" w14:textId="77777777" w:rsidR="007E4411" w:rsidRDefault="007E4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CC9A" w14:textId="7C3DF043" w:rsidR="00AD7EC0" w:rsidRDefault="00AD7EC0">
    <w:pPr>
      <w:pStyle w:val="Intestazione"/>
    </w:pPr>
    <w:r>
      <w:rPr>
        <w:noProof/>
      </w:rPr>
      <w:drawing>
        <wp:anchor distT="0" distB="0" distL="114300" distR="114300" simplePos="0" relativeHeight="251659264" behindDoc="0" locked="0" layoutInCell="1" hidden="0" allowOverlap="1" wp14:anchorId="6F3730CD" wp14:editId="3358090E">
          <wp:simplePos x="0" y="0"/>
          <wp:positionH relativeFrom="column">
            <wp:posOffset>0</wp:posOffset>
          </wp:positionH>
          <wp:positionV relativeFrom="paragraph">
            <wp:posOffset>177800</wp:posOffset>
          </wp:positionV>
          <wp:extent cx="2880995" cy="52451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880995" cy="52451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3603D2B" wp14:editId="2E1787B8">
          <wp:simplePos x="0" y="0"/>
          <wp:positionH relativeFrom="column">
            <wp:posOffset>3014345</wp:posOffset>
          </wp:positionH>
          <wp:positionV relativeFrom="paragraph">
            <wp:posOffset>177800</wp:posOffset>
          </wp:positionV>
          <wp:extent cx="2961640" cy="4572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96164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4CB"/>
    <w:rsid w:val="00031C41"/>
    <w:rsid w:val="00032B90"/>
    <w:rsid w:val="000549D5"/>
    <w:rsid w:val="000B6159"/>
    <w:rsid w:val="001001D2"/>
    <w:rsid w:val="00101F13"/>
    <w:rsid w:val="001548CE"/>
    <w:rsid w:val="00154CEF"/>
    <w:rsid w:val="001626B9"/>
    <w:rsid w:val="00196ACD"/>
    <w:rsid w:val="001D0954"/>
    <w:rsid w:val="001D74CE"/>
    <w:rsid w:val="001E70EA"/>
    <w:rsid w:val="001F5FC0"/>
    <w:rsid w:val="00206966"/>
    <w:rsid w:val="002212F4"/>
    <w:rsid w:val="002233A6"/>
    <w:rsid w:val="00240A08"/>
    <w:rsid w:val="00246AE7"/>
    <w:rsid w:val="00280736"/>
    <w:rsid w:val="002A379D"/>
    <w:rsid w:val="002C6720"/>
    <w:rsid w:val="002E1368"/>
    <w:rsid w:val="0032799D"/>
    <w:rsid w:val="00347736"/>
    <w:rsid w:val="00356851"/>
    <w:rsid w:val="003C729D"/>
    <w:rsid w:val="003D7387"/>
    <w:rsid w:val="00430F7A"/>
    <w:rsid w:val="004440C7"/>
    <w:rsid w:val="004452D4"/>
    <w:rsid w:val="004701FF"/>
    <w:rsid w:val="004849CB"/>
    <w:rsid w:val="004B13E4"/>
    <w:rsid w:val="004B665C"/>
    <w:rsid w:val="004C7A84"/>
    <w:rsid w:val="004D19FF"/>
    <w:rsid w:val="004D4D55"/>
    <w:rsid w:val="0052165D"/>
    <w:rsid w:val="00563E06"/>
    <w:rsid w:val="005859A4"/>
    <w:rsid w:val="005B645A"/>
    <w:rsid w:val="005C3A1E"/>
    <w:rsid w:val="005E1C53"/>
    <w:rsid w:val="005F4CD3"/>
    <w:rsid w:val="005F663A"/>
    <w:rsid w:val="0061628F"/>
    <w:rsid w:val="00622CA1"/>
    <w:rsid w:val="00667223"/>
    <w:rsid w:val="00685C29"/>
    <w:rsid w:val="006969E7"/>
    <w:rsid w:val="006A3848"/>
    <w:rsid w:val="006C6456"/>
    <w:rsid w:val="006F4615"/>
    <w:rsid w:val="006F69EC"/>
    <w:rsid w:val="00707BA7"/>
    <w:rsid w:val="00713135"/>
    <w:rsid w:val="00726F5E"/>
    <w:rsid w:val="00741E27"/>
    <w:rsid w:val="00775C54"/>
    <w:rsid w:val="007D4019"/>
    <w:rsid w:val="007E4411"/>
    <w:rsid w:val="0086649D"/>
    <w:rsid w:val="00877888"/>
    <w:rsid w:val="008A0006"/>
    <w:rsid w:val="008A1BAE"/>
    <w:rsid w:val="008B36D3"/>
    <w:rsid w:val="008B5399"/>
    <w:rsid w:val="008F5A4C"/>
    <w:rsid w:val="0090506A"/>
    <w:rsid w:val="00930CB6"/>
    <w:rsid w:val="00932FDD"/>
    <w:rsid w:val="009637BB"/>
    <w:rsid w:val="00965340"/>
    <w:rsid w:val="00967EB2"/>
    <w:rsid w:val="009A301F"/>
    <w:rsid w:val="009C3FE5"/>
    <w:rsid w:val="009E4558"/>
    <w:rsid w:val="00A14853"/>
    <w:rsid w:val="00A427D1"/>
    <w:rsid w:val="00A96C60"/>
    <w:rsid w:val="00A97A04"/>
    <w:rsid w:val="00AB1EAF"/>
    <w:rsid w:val="00AD7EC0"/>
    <w:rsid w:val="00B017BE"/>
    <w:rsid w:val="00B03B2F"/>
    <w:rsid w:val="00B11F6E"/>
    <w:rsid w:val="00B1638F"/>
    <w:rsid w:val="00B91DF2"/>
    <w:rsid w:val="00B91EAB"/>
    <w:rsid w:val="00B95E49"/>
    <w:rsid w:val="00BA6AB2"/>
    <w:rsid w:val="00BB0ACB"/>
    <w:rsid w:val="00BE6B15"/>
    <w:rsid w:val="00C130C7"/>
    <w:rsid w:val="00C360AE"/>
    <w:rsid w:val="00CC1B31"/>
    <w:rsid w:val="00CD1E1C"/>
    <w:rsid w:val="00CE7197"/>
    <w:rsid w:val="00CF34CB"/>
    <w:rsid w:val="00CF53A6"/>
    <w:rsid w:val="00D037E3"/>
    <w:rsid w:val="00D538C3"/>
    <w:rsid w:val="00D84919"/>
    <w:rsid w:val="00D90949"/>
    <w:rsid w:val="00DB5EB8"/>
    <w:rsid w:val="00DD0334"/>
    <w:rsid w:val="00DE303C"/>
    <w:rsid w:val="00DE36C2"/>
    <w:rsid w:val="00DF2640"/>
    <w:rsid w:val="00E019B0"/>
    <w:rsid w:val="00E171D3"/>
    <w:rsid w:val="00E60DA3"/>
    <w:rsid w:val="00E61184"/>
    <w:rsid w:val="00E91A1E"/>
    <w:rsid w:val="00E96EB6"/>
    <w:rsid w:val="00EA1DB9"/>
    <w:rsid w:val="00EA3AB0"/>
    <w:rsid w:val="00F32875"/>
    <w:rsid w:val="00F379FD"/>
    <w:rsid w:val="00F57C84"/>
    <w:rsid w:val="00F901BF"/>
    <w:rsid w:val="00FA78A0"/>
    <w:rsid w:val="00FD18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353A"/>
  <w15:docId w15:val="{2B0C7CCB-8D9F-4FBC-A899-839C272A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jc w:val="center"/>
      <w:outlineLvl w:val="0"/>
    </w:pPr>
    <w:rPr>
      <w:b/>
    </w:rPr>
  </w:style>
  <w:style w:type="paragraph" w:styleId="Titolo2">
    <w:name w:val="heading 2"/>
    <w:basedOn w:val="Normale"/>
    <w:next w:val="Normale"/>
    <w:uiPriority w:val="9"/>
    <w:semiHidden/>
    <w:unhideWhenUsed/>
    <w:qFormat/>
    <w:pPr>
      <w:keepNext/>
      <w:outlineLvl w:val="1"/>
    </w:pPr>
    <w:rPr>
      <w:b/>
    </w:rPr>
  </w:style>
  <w:style w:type="paragraph" w:styleId="Titolo3">
    <w:name w:val="heading 3"/>
    <w:basedOn w:val="Normale"/>
    <w:next w:val="Normale"/>
    <w:uiPriority w:val="9"/>
    <w:semiHidden/>
    <w:unhideWhenUsed/>
    <w:qFormat/>
    <w:pPr>
      <w:keepNext/>
      <w:outlineLvl w:val="2"/>
    </w:pPr>
    <w:rPr>
      <w:b/>
      <w:sz w:val="22"/>
      <w:szCs w:val="22"/>
    </w:rPr>
  </w:style>
  <w:style w:type="paragraph" w:styleId="Titolo4">
    <w:name w:val="heading 4"/>
    <w:basedOn w:val="Normale"/>
    <w:next w:val="Normale"/>
    <w:uiPriority w:val="9"/>
    <w:semiHidden/>
    <w:unhideWhenUsed/>
    <w:qFormat/>
    <w:pPr>
      <w:keepNext/>
      <w:outlineLvl w:val="3"/>
    </w:pPr>
    <w:rPr>
      <w:rFonts w:ascii="Verdana" w:eastAsia="Verdana" w:hAnsi="Verdana" w:cs="Verdana"/>
      <w:b/>
      <w:sz w:val="20"/>
      <w:szCs w:val="20"/>
    </w:rPr>
  </w:style>
  <w:style w:type="paragraph" w:styleId="Titolo5">
    <w:name w:val="heading 5"/>
    <w:basedOn w:val="Normale"/>
    <w:next w:val="Normale"/>
    <w:uiPriority w:val="9"/>
    <w:semiHidden/>
    <w:unhideWhenUsed/>
    <w:qFormat/>
    <w:pPr>
      <w:keepNext/>
      <w:jc w:val="center"/>
      <w:outlineLvl w:val="4"/>
    </w:pPr>
    <w:rPr>
      <w:sz w:val="28"/>
      <w:szCs w:val="28"/>
    </w:rPr>
  </w:style>
  <w:style w:type="paragraph" w:styleId="Titolo6">
    <w:name w:val="heading 6"/>
    <w:basedOn w:val="Normale"/>
    <w:next w:val="Normale"/>
    <w:uiPriority w:val="9"/>
    <w:semiHidden/>
    <w:unhideWhenUsed/>
    <w:qFormat/>
    <w:pPr>
      <w:keepNext/>
      <w:jc w:val="left"/>
      <w:outlineLvl w:val="5"/>
    </w:pPr>
    <w:rPr>
      <w:rFonts w:ascii="Arial" w:eastAsia="Arial" w:hAnsi="Arial" w:cs="Arial"/>
      <w:b/>
      <w:color w:val="00000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jc w:val="center"/>
    </w:pPr>
    <w:rPr>
      <w:i/>
      <w:sz w:val="26"/>
      <w:szCs w:val="26"/>
    </w:rPr>
  </w:style>
  <w:style w:type="paragraph" w:styleId="Sottotitolo">
    <w:name w:val="Subtitle"/>
    <w:basedOn w:val="Normale"/>
    <w:next w:val="Normale"/>
    <w:uiPriority w:val="11"/>
    <w:qFormat/>
    <w:pPr>
      <w:jc w:val="center"/>
    </w:pPr>
    <w:rPr>
      <w:b/>
      <w:sz w:val="32"/>
      <w:szCs w:val="32"/>
    </w:rPr>
  </w:style>
  <w:style w:type="character" w:styleId="Collegamentoipertestuale">
    <w:name w:val="Hyperlink"/>
    <w:basedOn w:val="Carpredefinitoparagrafo"/>
    <w:uiPriority w:val="99"/>
    <w:unhideWhenUsed/>
    <w:rsid w:val="00622CA1"/>
    <w:rPr>
      <w:color w:val="0000FF" w:themeColor="hyperlink"/>
      <w:u w:val="single"/>
    </w:rPr>
  </w:style>
  <w:style w:type="character" w:styleId="Menzionenonrisolta">
    <w:name w:val="Unresolved Mention"/>
    <w:basedOn w:val="Carpredefinitoparagrafo"/>
    <w:uiPriority w:val="99"/>
    <w:semiHidden/>
    <w:unhideWhenUsed/>
    <w:rsid w:val="00622CA1"/>
    <w:rPr>
      <w:color w:val="605E5C"/>
      <w:shd w:val="clear" w:color="auto" w:fill="E1DFDD"/>
    </w:rPr>
  </w:style>
  <w:style w:type="paragraph" w:styleId="NormaleWeb">
    <w:name w:val="Normal (Web)"/>
    <w:basedOn w:val="Normale"/>
    <w:uiPriority w:val="99"/>
    <w:semiHidden/>
    <w:unhideWhenUsed/>
    <w:rsid w:val="00347736"/>
  </w:style>
  <w:style w:type="paragraph" w:styleId="Intestazione">
    <w:name w:val="header"/>
    <w:basedOn w:val="Normale"/>
    <w:link w:val="IntestazioneCarattere"/>
    <w:uiPriority w:val="99"/>
    <w:unhideWhenUsed/>
    <w:rsid w:val="00877888"/>
    <w:pPr>
      <w:tabs>
        <w:tab w:val="center" w:pos="4819"/>
        <w:tab w:val="right" w:pos="9638"/>
      </w:tabs>
    </w:pPr>
  </w:style>
  <w:style w:type="character" w:customStyle="1" w:styleId="IntestazioneCarattere">
    <w:name w:val="Intestazione Carattere"/>
    <w:basedOn w:val="Carpredefinitoparagrafo"/>
    <w:link w:val="Intestazione"/>
    <w:uiPriority w:val="99"/>
    <w:rsid w:val="00877888"/>
  </w:style>
  <w:style w:type="paragraph" w:styleId="Pidipagina">
    <w:name w:val="footer"/>
    <w:basedOn w:val="Normale"/>
    <w:link w:val="PidipaginaCarattere"/>
    <w:uiPriority w:val="99"/>
    <w:unhideWhenUsed/>
    <w:rsid w:val="00877888"/>
    <w:pPr>
      <w:tabs>
        <w:tab w:val="center" w:pos="4819"/>
        <w:tab w:val="right" w:pos="9638"/>
      </w:tabs>
    </w:pPr>
  </w:style>
  <w:style w:type="character" w:customStyle="1" w:styleId="PidipaginaCarattere">
    <w:name w:val="Piè di pagina Carattere"/>
    <w:basedOn w:val="Carpredefinitoparagrafo"/>
    <w:link w:val="Pidipagina"/>
    <w:uiPriority w:val="99"/>
    <w:rsid w:val="00877888"/>
  </w:style>
  <w:style w:type="character" w:styleId="Rimandocommento">
    <w:name w:val="annotation reference"/>
    <w:basedOn w:val="Carpredefinitoparagrafo"/>
    <w:uiPriority w:val="99"/>
    <w:semiHidden/>
    <w:unhideWhenUsed/>
    <w:rsid w:val="00BE6B15"/>
    <w:rPr>
      <w:sz w:val="16"/>
      <w:szCs w:val="16"/>
    </w:rPr>
  </w:style>
  <w:style w:type="paragraph" w:styleId="Testocommento">
    <w:name w:val="annotation text"/>
    <w:basedOn w:val="Normale"/>
    <w:link w:val="TestocommentoCarattere"/>
    <w:uiPriority w:val="99"/>
    <w:semiHidden/>
    <w:unhideWhenUsed/>
    <w:rsid w:val="00BE6B15"/>
    <w:rPr>
      <w:sz w:val="20"/>
      <w:szCs w:val="20"/>
    </w:rPr>
  </w:style>
  <w:style w:type="character" w:customStyle="1" w:styleId="TestocommentoCarattere">
    <w:name w:val="Testo commento Carattere"/>
    <w:basedOn w:val="Carpredefinitoparagrafo"/>
    <w:link w:val="Testocommento"/>
    <w:uiPriority w:val="99"/>
    <w:semiHidden/>
    <w:rsid w:val="00BE6B15"/>
    <w:rPr>
      <w:sz w:val="20"/>
      <w:szCs w:val="20"/>
    </w:rPr>
  </w:style>
  <w:style w:type="paragraph" w:styleId="Soggettocommento">
    <w:name w:val="annotation subject"/>
    <w:basedOn w:val="Testocommento"/>
    <w:next w:val="Testocommento"/>
    <w:link w:val="SoggettocommentoCarattere"/>
    <w:uiPriority w:val="99"/>
    <w:semiHidden/>
    <w:unhideWhenUsed/>
    <w:rsid w:val="00BE6B15"/>
    <w:rPr>
      <w:b/>
      <w:bCs/>
    </w:rPr>
  </w:style>
  <w:style w:type="character" w:customStyle="1" w:styleId="SoggettocommentoCarattere">
    <w:name w:val="Soggetto commento Carattere"/>
    <w:basedOn w:val="TestocommentoCarattere"/>
    <w:link w:val="Soggettocommento"/>
    <w:uiPriority w:val="99"/>
    <w:semiHidden/>
    <w:rsid w:val="00BE6B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4152">
      <w:bodyDiv w:val="1"/>
      <w:marLeft w:val="0"/>
      <w:marRight w:val="0"/>
      <w:marTop w:val="0"/>
      <w:marBottom w:val="0"/>
      <w:divBdr>
        <w:top w:val="none" w:sz="0" w:space="0" w:color="auto"/>
        <w:left w:val="none" w:sz="0" w:space="0" w:color="auto"/>
        <w:bottom w:val="none" w:sz="0" w:space="0" w:color="auto"/>
        <w:right w:val="none" w:sz="0" w:space="0" w:color="auto"/>
      </w:divBdr>
    </w:div>
    <w:div w:id="858273117">
      <w:bodyDiv w:val="1"/>
      <w:marLeft w:val="0"/>
      <w:marRight w:val="0"/>
      <w:marTop w:val="0"/>
      <w:marBottom w:val="0"/>
      <w:divBdr>
        <w:top w:val="none" w:sz="0" w:space="0" w:color="auto"/>
        <w:left w:val="none" w:sz="0" w:space="0" w:color="auto"/>
        <w:bottom w:val="none" w:sz="0" w:space="0" w:color="auto"/>
        <w:right w:val="none" w:sz="0" w:space="0" w:color="auto"/>
      </w:divBdr>
    </w:div>
    <w:div w:id="1093357927">
      <w:bodyDiv w:val="1"/>
      <w:marLeft w:val="0"/>
      <w:marRight w:val="0"/>
      <w:marTop w:val="0"/>
      <w:marBottom w:val="0"/>
      <w:divBdr>
        <w:top w:val="none" w:sz="0" w:space="0" w:color="auto"/>
        <w:left w:val="none" w:sz="0" w:space="0" w:color="auto"/>
        <w:bottom w:val="none" w:sz="0" w:space="0" w:color="auto"/>
        <w:right w:val="none" w:sz="0" w:space="0" w:color="auto"/>
      </w:divBdr>
    </w:div>
    <w:div w:id="1486435563">
      <w:bodyDiv w:val="1"/>
      <w:marLeft w:val="0"/>
      <w:marRight w:val="0"/>
      <w:marTop w:val="0"/>
      <w:marBottom w:val="0"/>
      <w:divBdr>
        <w:top w:val="none" w:sz="0" w:space="0" w:color="auto"/>
        <w:left w:val="none" w:sz="0" w:space="0" w:color="auto"/>
        <w:bottom w:val="none" w:sz="0" w:space="0" w:color="auto"/>
        <w:right w:val="none" w:sz="0" w:space="0" w:color="auto"/>
      </w:divBdr>
    </w:div>
    <w:div w:id="1513688426">
      <w:bodyDiv w:val="1"/>
      <w:marLeft w:val="0"/>
      <w:marRight w:val="0"/>
      <w:marTop w:val="0"/>
      <w:marBottom w:val="0"/>
      <w:divBdr>
        <w:top w:val="none" w:sz="0" w:space="0" w:color="auto"/>
        <w:left w:val="none" w:sz="0" w:space="0" w:color="auto"/>
        <w:bottom w:val="none" w:sz="0" w:space="0" w:color="auto"/>
        <w:right w:val="none" w:sz="0" w:space="0" w:color="auto"/>
      </w:divBdr>
    </w:div>
    <w:div w:id="1756590524">
      <w:bodyDiv w:val="1"/>
      <w:marLeft w:val="0"/>
      <w:marRight w:val="0"/>
      <w:marTop w:val="0"/>
      <w:marBottom w:val="0"/>
      <w:divBdr>
        <w:top w:val="none" w:sz="0" w:space="0" w:color="auto"/>
        <w:left w:val="none" w:sz="0" w:space="0" w:color="auto"/>
        <w:bottom w:val="none" w:sz="0" w:space="0" w:color="auto"/>
        <w:right w:val="none" w:sz="0" w:space="0" w:color="auto"/>
      </w:divBdr>
    </w:div>
    <w:div w:id="1951736136">
      <w:bodyDiv w:val="1"/>
      <w:marLeft w:val="0"/>
      <w:marRight w:val="0"/>
      <w:marTop w:val="0"/>
      <w:marBottom w:val="0"/>
      <w:divBdr>
        <w:top w:val="none" w:sz="0" w:space="0" w:color="auto"/>
        <w:left w:val="none" w:sz="0" w:space="0" w:color="auto"/>
        <w:bottom w:val="none" w:sz="0" w:space="0" w:color="auto"/>
        <w:right w:val="none" w:sz="0" w:space="0" w:color="auto"/>
      </w:divBdr>
    </w:div>
    <w:div w:id="2014721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no.camcom.it" TargetMode="External"/><Relationship Id="rId3" Type="http://schemas.openxmlformats.org/officeDocument/2006/relationships/settings" Target="settings.xml"/><Relationship Id="rId7" Type="http://schemas.openxmlformats.org/officeDocument/2006/relationships/hyperlink" Target="https://www.isr-ms.it/rapporti-sulleconom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29029-AAB3-4157-93AC-9505A8A8A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1910</Words>
  <Characters>10888</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Susini Alberto</dc:creator>
  <cp:lastModifiedBy>Susini Alberto</cp:lastModifiedBy>
  <cp:revision>7</cp:revision>
  <cp:lastPrinted>2026-07-31T11:02:00Z</cp:lastPrinted>
  <dcterms:created xsi:type="dcterms:W3CDTF">2026-07-30T13:44:00Z</dcterms:created>
  <dcterms:modified xsi:type="dcterms:W3CDTF">2026-08-03T13:43:00Z</dcterms:modified>
</cp:coreProperties>
</file>