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5C3A" w14:textId="77777777" w:rsidR="00CF34CB" w:rsidRDefault="002212F4">
      <w:pPr>
        <w:rPr>
          <w:rFonts w:ascii="Calibri" w:eastAsia="Calibri" w:hAnsi="Calibri" w:cs="Calibri"/>
          <w:b/>
          <w:color w:val="8080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440E373" wp14:editId="7862B620">
            <wp:simplePos x="0" y="0"/>
            <wp:positionH relativeFrom="column">
              <wp:posOffset>-300989</wp:posOffset>
            </wp:positionH>
            <wp:positionV relativeFrom="paragraph">
              <wp:posOffset>-358139</wp:posOffset>
            </wp:positionV>
            <wp:extent cx="2880995" cy="524510"/>
            <wp:effectExtent l="0" t="0" r="0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524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DF1D37F" wp14:editId="414BA24D">
            <wp:simplePos x="0" y="0"/>
            <wp:positionH relativeFrom="column">
              <wp:posOffset>2748280</wp:posOffset>
            </wp:positionH>
            <wp:positionV relativeFrom="paragraph">
              <wp:posOffset>-344804</wp:posOffset>
            </wp:positionV>
            <wp:extent cx="2961640" cy="45720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84E0BA" w14:textId="77777777" w:rsidR="00CF34CB" w:rsidRDefault="002212F4">
      <w:pPr>
        <w:rPr>
          <w:rFonts w:ascii="Calibri" w:eastAsia="Calibri" w:hAnsi="Calibri" w:cs="Calibri"/>
          <w:b/>
          <w:color w:val="808080"/>
          <w:sz w:val="4"/>
          <w:szCs w:val="4"/>
        </w:rPr>
      </w:pPr>
      <w:r>
        <w:rPr>
          <w:rFonts w:ascii="Calibri" w:eastAsia="Calibri" w:hAnsi="Calibri" w:cs="Calibri"/>
          <w:b/>
          <w:color w:val="808080"/>
          <w:sz w:val="44"/>
          <w:szCs w:val="44"/>
        </w:rPr>
        <w:t xml:space="preserve">Comunicato </w:t>
      </w:r>
      <w:r>
        <w:rPr>
          <w:rFonts w:ascii="Calibri" w:eastAsia="Calibri" w:hAnsi="Calibri" w:cs="Calibri"/>
          <w:b/>
          <w:color w:val="7F7F7F"/>
          <w:sz w:val="44"/>
          <w:szCs w:val="44"/>
        </w:rPr>
        <w:t>Stampa</w:t>
      </w:r>
    </w:p>
    <w:p w14:paraId="62AE4098" w14:textId="77777777" w:rsidR="00CF34CB" w:rsidRDefault="00CF34CB">
      <w:pPr>
        <w:pBdr>
          <w:bottom w:val="single" w:sz="4" w:space="1" w:color="000000"/>
        </w:pBdr>
        <w:rPr>
          <w:rFonts w:ascii="Calibri" w:eastAsia="Calibri" w:hAnsi="Calibri" w:cs="Calibri"/>
          <w:b/>
          <w:sz w:val="2"/>
          <w:szCs w:val="2"/>
        </w:rPr>
      </w:pPr>
    </w:p>
    <w:p w14:paraId="59D557E7" w14:textId="2CBCD9F9" w:rsidR="000E5191" w:rsidRDefault="00A465B6" w:rsidP="00B15D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32"/>
          <w:szCs w:val="32"/>
        </w:rPr>
      </w:pPr>
      <w:r w:rsidRPr="00A465B6">
        <w:rPr>
          <w:rFonts w:ascii="Calibri" w:eastAsia="Calibri" w:hAnsi="Calibri" w:cs="Calibri"/>
          <w:b/>
          <w:sz w:val="32"/>
          <w:szCs w:val="32"/>
        </w:rPr>
        <w:t xml:space="preserve">Toscana Nord-Ovest, economia tra trasformazioni e nuove sfide: </w:t>
      </w:r>
      <w:r w:rsidR="000E5191">
        <w:rPr>
          <w:rFonts w:ascii="Calibri" w:eastAsia="Calibri" w:hAnsi="Calibri" w:cs="Calibri"/>
          <w:b/>
          <w:sz w:val="32"/>
          <w:szCs w:val="32"/>
        </w:rPr>
        <w:t xml:space="preserve">il </w:t>
      </w:r>
      <w:r w:rsidR="000E5191" w:rsidRPr="000E5191">
        <w:rPr>
          <w:rFonts w:ascii="Calibri" w:eastAsia="Calibri" w:hAnsi="Calibri" w:cs="Calibri"/>
          <w:b/>
          <w:sz w:val="32"/>
          <w:szCs w:val="32"/>
        </w:rPr>
        <w:t>supporto alle imprese al centro della crescit</w:t>
      </w:r>
      <w:r w:rsidR="000E5191">
        <w:rPr>
          <w:rFonts w:ascii="Calibri" w:eastAsia="Calibri" w:hAnsi="Calibri" w:cs="Calibri"/>
          <w:b/>
          <w:sz w:val="32"/>
          <w:szCs w:val="32"/>
        </w:rPr>
        <w:t xml:space="preserve">a </w:t>
      </w:r>
    </w:p>
    <w:p w14:paraId="73A17C77" w14:textId="516A68A8" w:rsidR="00165A7F" w:rsidRDefault="00165A7F" w:rsidP="00B15D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i/>
          <w:iCs/>
          <w:sz w:val="23"/>
          <w:szCs w:val="23"/>
        </w:rPr>
      </w:pPr>
      <w:r>
        <w:rPr>
          <w:rFonts w:ascii="Calibri" w:eastAsia="Calibri" w:hAnsi="Calibri" w:cs="Calibri"/>
          <w:bCs/>
          <w:i/>
          <w:iCs/>
          <w:sz w:val="23"/>
          <w:szCs w:val="23"/>
        </w:rPr>
        <w:t>P</w:t>
      </w:r>
      <w:r w:rsidRPr="00165A7F">
        <w:rPr>
          <w:rFonts w:ascii="Calibri" w:eastAsia="Calibri" w:hAnsi="Calibri" w:cs="Calibri"/>
          <w:bCs/>
          <w:i/>
          <w:iCs/>
          <w:sz w:val="23"/>
          <w:szCs w:val="23"/>
        </w:rPr>
        <w:t>resentato a Lucca il Rapporto Economia 2026 della Camera di Commercio Toscana Nord-Ovest</w:t>
      </w:r>
    </w:p>
    <w:p w14:paraId="5F56A421" w14:textId="41C7461B" w:rsidR="00165A7F" w:rsidRDefault="00165A7F" w:rsidP="00B15D7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Lucca</w:t>
      </w:r>
      <w:r w:rsidR="002212F4" w:rsidRPr="009248B5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, </w:t>
      </w:r>
      <w:r w:rsidR="00763E04" w:rsidRPr="009248B5">
        <w:rPr>
          <w:rFonts w:ascii="Calibri" w:eastAsia="Calibri" w:hAnsi="Calibri" w:cs="Calibri"/>
          <w:b/>
          <w:i/>
          <w:color w:val="000000"/>
          <w:sz w:val="22"/>
          <w:szCs w:val="22"/>
        </w:rPr>
        <w:t>29</w:t>
      </w:r>
      <w:r w:rsidR="002212F4" w:rsidRPr="009248B5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maggio 202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6</w:t>
      </w:r>
      <w:r w:rsidR="002212F4" w:rsidRPr="009248B5">
        <w:rPr>
          <w:rFonts w:ascii="Calibri" w:eastAsia="Calibri" w:hAnsi="Calibri" w:cs="Calibri"/>
          <w:b/>
          <w:i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</w:t>
      </w:r>
      <w:r w:rsidR="002212F4" w:rsidRPr="009248B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65A7F">
        <w:rPr>
          <w:rFonts w:ascii="Calibri" w:eastAsia="Calibri" w:hAnsi="Calibri" w:cs="Calibri"/>
          <w:color w:val="000000"/>
          <w:sz w:val="22"/>
          <w:szCs w:val="22"/>
        </w:rPr>
        <w:t xml:space="preserve">Si è tenuta oggi a Lucca, presso </w:t>
      </w:r>
      <w:r>
        <w:rPr>
          <w:rFonts w:ascii="Calibri" w:eastAsia="Calibri" w:hAnsi="Calibri" w:cs="Calibri"/>
          <w:color w:val="000000"/>
          <w:sz w:val="22"/>
          <w:szCs w:val="22"/>
        </w:rPr>
        <w:t>il “P</w:t>
      </w:r>
      <w:r w:rsidR="00F90BE2"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lo Tecnologico Lucchese”</w:t>
      </w:r>
      <w:r w:rsidRPr="00165A7F">
        <w:rPr>
          <w:rFonts w:ascii="Calibri" w:eastAsia="Calibri" w:hAnsi="Calibri" w:cs="Calibri"/>
          <w:color w:val="000000"/>
          <w:sz w:val="22"/>
          <w:szCs w:val="22"/>
        </w:rPr>
        <w:t xml:space="preserve">, la presentazione del </w:t>
      </w:r>
      <w:r w:rsidRPr="00165A7F">
        <w:rPr>
          <w:rFonts w:ascii="Calibri" w:eastAsia="Calibri" w:hAnsi="Calibri" w:cs="Calibri"/>
          <w:b/>
          <w:bCs/>
          <w:color w:val="000000"/>
          <w:sz w:val="22"/>
          <w:szCs w:val="22"/>
        </w:rPr>
        <w:t>Rapporto Economia 2026</w:t>
      </w:r>
      <w:r w:rsidRPr="00165A7F">
        <w:rPr>
          <w:rFonts w:ascii="Calibri" w:eastAsia="Calibri" w:hAnsi="Calibri" w:cs="Calibri"/>
          <w:color w:val="000000"/>
          <w:sz w:val="22"/>
          <w:szCs w:val="22"/>
        </w:rPr>
        <w:t xml:space="preserve"> della Camera di Commercio della Toscana Nord-Ovest, realizzato in collaborazione con l’Istituto di Studi e Ricerche (ISR). L’appuntamento annuale ha offerto una lettura aggiornata delle dinamiche economiche delle province di Lucca, Massa-Carrara e Pisa, collocandole all’interno di un quadro internazionale ancora caratterizzato da forte instabilità geopolitica, turbolenze commerciali e crescenti incertezze finanziarie.</w:t>
      </w:r>
      <w:r w:rsidR="00B15D7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3C056B5" w14:textId="77777777" w:rsidR="004E7B3A" w:rsidRDefault="004E7B3A" w:rsidP="004E7B3A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F73A5">
        <w:rPr>
          <w:rFonts w:ascii="Calibri" w:eastAsia="Calibri" w:hAnsi="Calibri" w:cs="Calibri"/>
          <w:color w:val="000000"/>
          <w:sz w:val="22"/>
          <w:szCs w:val="22"/>
        </w:rPr>
        <w:t>L’evento, aperto dai saluti istituzionali del Presidente della Camera di Commercio Valter Tamburin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 w:rsidRPr="003F73A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 w:rsidRPr="003F73A5">
        <w:rPr>
          <w:rFonts w:ascii="Calibri" w:eastAsia="Calibri" w:hAnsi="Calibri" w:cs="Calibri"/>
          <w:color w:val="000000"/>
          <w:sz w:val="22"/>
          <w:szCs w:val="22"/>
        </w:rPr>
        <w:t xml:space="preserve">del Sindaco di Lucca Mario Pardini, è entrato nel vivo con l’analisi dei dati economici </w:t>
      </w:r>
      <w:r>
        <w:rPr>
          <w:rFonts w:ascii="Calibri" w:eastAsia="Calibri" w:hAnsi="Calibri" w:cs="Calibri"/>
          <w:color w:val="000000"/>
          <w:sz w:val="22"/>
          <w:szCs w:val="22"/>
        </w:rPr>
        <w:t>presentati</w:t>
      </w:r>
      <w:r w:rsidRPr="003F73A5">
        <w:rPr>
          <w:rFonts w:ascii="Calibri" w:eastAsia="Calibri" w:hAnsi="Calibri" w:cs="Calibri"/>
          <w:color w:val="000000"/>
          <w:sz w:val="22"/>
          <w:szCs w:val="22"/>
        </w:rPr>
        <w:t xml:space="preserve"> da Massimo Marcesini, Ricercatore dell’Istituto di Studi e Ricerche. </w:t>
      </w:r>
    </w:p>
    <w:p w14:paraId="5BE7FCB7" w14:textId="1EA74DDB" w:rsidR="00461691" w:rsidRPr="00086DA3" w:rsidRDefault="00461691" w:rsidP="008D614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 w:rsidRPr="0011515A">
        <w:rPr>
          <w:rFonts w:ascii="Calibri" w:eastAsia="Calibri" w:hAnsi="Calibri" w:cs="Calibri"/>
          <w:sz w:val="22"/>
          <w:szCs w:val="22"/>
        </w:rPr>
        <w:t xml:space="preserve">Il bilancio del 2025 traccia un quadro economico </w:t>
      </w:r>
      <w:r w:rsidR="001F48D7">
        <w:rPr>
          <w:rFonts w:ascii="Calibri" w:eastAsia="Calibri" w:hAnsi="Calibri" w:cs="Calibri"/>
          <w:sz w:val="22"/>
          <w:szCs w:val="22"/>
        </w:rPr>
        <w:t xml:space="preserve">nel complesso </w:t>
      </w:r>
      <w:r w:rsidRPr="0011515A">
        <w:rPr>
          <w:rFonts w:ascii="Calibri" w:eastAsia="Calibri" w:hAnsi="Calibri" w:cs="Calibri"/>
          <w:sz w:val="22"/>
          <w:szCs w:val="22"/>
        </w:rPr>
        <w:t>debole per l’area della Toscana Nord-Ovest, all'interno di un contesto locale caratterizzato da diffusa prudenza: la crescita più sostenuta si registra nella provincia di Massa-Carrara (+0,7% il PIL), mentre Lucca (+0,3%) e Pisa (+0,2%)</w:t>
      </w:r>
      <w:r w:rsidR="00086DA3" w:rsidRPr="0011515A">
        <w:rPr>
          <w:rFonts w:ascii="Calibri" w:eastAsia="Calibri" w:hAnsi="Calibri" w:cs="Calibri"/>
          <w:sz w:val="22"/>
          <w:szCs w:val="22"/>
        </w:rPr>
        <w:t xml:space="preserve"> registrano un andamento più </w:t>
      </w:r>
      <w:r w:rsidR="0011515A" w:rsidRPr="0011515A">
        <w:rPr>
          <w:rFonts w:ascii="Calibri" w:eastAsia="Calibri" w:hAnsi="Calibri" w:cs="Calibri"/>
          <w:sz w:val="22"/>
          <w:szCs w:val="22"/>
        </w:rPr>
        <w:t>contenuto</w:t>
      </w:r>
      <w:r w:rsidRPr="0011515A">
        <w:rPr>
          <w:rFonts w:ascii="Calibri" w:eastAsia="Calibri" w:hAnsi="Calibri" w:cs="Calibri"/>
          <w:sz w:val="22"/>
          <w:szCs w:val="22"/>
        </w:rPr>
        <w:t xml:space="preserve">. Al di là di un commercio estero sostenuto solo da specifiche filiere, l'anno trascorso mette in luce le fragilità strutturali di un mercato interno </w:t>
      </w:r>
      <w:r w:rsidR="0011515A" w:rsidRPr="0011515A">
        <w:rPr>
          <w:rFonts w:ascii="Calibri" w:eastAsia="Calibri" w:hAnsi="Calibri" w:cs="Calibri"/>
          <w:sz w:val="22"/>
          <w:szCs w:val="22"/>
        </w:rPr>
        <w:t>poco dinamico</w:t>
      </w:r>
      <w:r w:rsidRPr="0011515A">
        <w:rPr>
          <w:rFonts w:ascii="Calibri" w:eastAsia="Calibri" w:hAnsi="Calibri" w:cs="Calibri"/>
          <w:sz w:val="22"/>
          <w:szCs w:val="22"/>
        </w:rPr>
        <w:t xml:space="preserve"> e l</w:t>
      </w:r>
      <w:r w:rsidR="001F48D7">
        <w:rPr>
          <w:rFonts w:ascii="Calibri" w:eastAsia="Calibri" w:hAnsi="Calibri" w:cs="Calibri"/>
          <w:sz w:val="22"/>
          <w:szCs w:val="22"/>
        </w:rPr>
        <w:t>’</w:t>
      </w:r>
      <w:r w:rsidRPr="0011515A">
        <w:rPr>
          <w:rFonts w:ascii="Calibri" w:eastAsia="Calibri" w:hAnsi="Calibri" w:cs="Calibri"/>
          <w:sz w:val="22"/>
          <w:szCs w:val="22"/>
        </w:rPr>
        <w:t>affaticamento di comparti tradizionali strategici — come il sistema moda, la mobilità e il lapideo lavorato. Per il 2026 le prospettive restano fortemente condizionate dalle tensioni internazionali, dall'instabilità legata ai dazi commerciali e dai rincari energetici; fattori d'incertezza che rischiano di impattare sul territorio proprio mentre il tessuto delle micro e piccole imprese è chiamato ad accelerare gli investimenti in innovazione, digitalizzazione e transizione energetica.</w:t>
      </w:r>
    </w:p>
    <w:p w14:paraId="69499512" w14:textId="5E6D33DF" w:rsidR="00086DA3" w:rsidRPr="00086DA3" w:rsidRDefault="00086DA3" w:rsidP="00086D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 w:rsidRPr="00086DA3">
        <w:rPr>
          <w:rFonts w:ascii="Calibri" w:eastAsia="Calibri" w:hAnsi="Calibri" w:cs="Calibri"/>
          <w:sz w:val="22"/>
          <w:szCs w:val="22"/>
        </w:rPr>
        <w:t>A queste complessità si aggiungono le delicate sfide sul fronte del credito e del lavoro. Accanto a una sostanziale tenuta della raccolta bancaria, persistono infatti criticità nell’accesso al credito produttivo, soprattutto per le micro e piccole imprese, più esposte agli effetti dell’aumento del costo del denaro e di una maggiore selettività finanziaria, con una contrazione degli impieghi in alcuni comparti. Per quanto riguarda l'occupazione, si conferma elevato e strutturale il fenomeno del mismatch tra domanda e offerta di lavoro, accompagnato da picchi di sofferenza legati al ricorso alla cassa integrazione in specifiche filiere tradizionali.</w:t>
      </w:r>
    </w:p>
    <w:p w14:paraId="2DD54513" w14:textId="05A17128" w:rsidR="00B15D77" w:rsidRDefault="00165A7F" w:rsidP="00165A7F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Calibri" w:hAnsi="Calibri" w:cs="Calibri"/>
          <w:color w:val="000000"/>
          <w:sz w:val="22"/>
          <w:szCs w:val="22"/>
        </w:rPr>
      </w:pPr>
      <w:r w:rsidRPr="00165A7F">
        <w:rPr>
          <w:rFonts w:ascii="Calibri" w:eastAsia="Calibri" w:hAnsi="Calibri" w:cs="Calibri"/>
          <w:color w:val="000000"/>
          <w:sz w:val="22"/>
          <w:szCs w:val="22"/>
        </w:rPr>
        <w:t>«</w:t>
      </w:r>
      <w:r w:rsidRPr="00B15D77">
        <w:rPr>
          <w:rFonts w:ascii="Calibri" w:eastAsia="Calibri" w:hAnsi="Calibri" w:cs="Calibri"/>
          <w:i/>
          <w:iCs/>
          <w:color w:val="000000"/>
          <w:sz w:val="22"/>
          <w:szCs w:val="22"/>
        </w:rPr>
        <w:t>Il Rapporto che presentiamo oggi</w:t>
      </w:r>
      <w:r w:rsidRPr="00165A7F">
        <w:rPr>
          <w:rFonts w:ascii="Calibri" w:eastAsia="Calibri" w:hAnsi="Calibri" w:cs="Calibri"/>
          <w:color w:val="000000"/>
          <w:sz w:val="22"/>
          <w:szCs w:val="22"/>
        </w:rPr>
        <w:t xml:space="preserve"> – ha dichiarato Valter Tamburini, Presidente della Camera di Commercio della Toscana Nord-Ovest – </w:t>
      </w:r>
      <w:r w:rsidRPr="00B15D77">
        <w:rPr>
          <w:rFonts w:ascii="Calibri" w:eastAsia="Calibri" w:hAnsi="Calibri" w:cs="Calibri"/>
          <w:i/>
          <w:iCs/>
          <w:color w:val="000000"/>
          <w:sz w:val="22"/>
          <w:szCs w:val="22"/>
        </w:rPr>
        <w:t>non è soltanto una fotografia economica del territorio, ma uno strumento di lettura e interpretazione utile per comprendere le trasformazioni in atto e orientare le scelte future. Oggi più che mai il tema del credito assume una valenza strategica</w:t>
      </w:r>
      <w:r w:rsidR="00B15D7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15D77" w:rsidRPr="00B15D77">
        <w:rPr>
          <w:rFonts w:ascii="Calibri" w:eastAsia="Calibri" w:hAnsi="Calibri" w:cs="Calibri"/>
          <w:i/>
          <w:iCs/>
          <w:color w:val="000000"/>
          <w:sz w:val="22"/>
          <w:szCs w:val="22"/>
        </w:rPr>
        <w:t>perch</w:t>
      </w:r>
      <w:r w:rsidR="008D614F"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é </w:t>
      </w:r>
      <w:r w:rsidRPr="00B15D77"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senza adeguate risorse finanziarie diventa difficile investire, innovare e rafforzare la competitività delle imprese. Il rischio, in un contesto caratterizzato da inflazione, tensioni internazionali e possibili irrigidimenti della politica monetaria, è che proprio le realtà più piccole restino escluse dai percorsi di crescita e trasformazione. Capire i cambiamenti quindi non basta, servono strumenti concreti, dialogo tra sistema bancario ed imprese, nuove soluzioni capaci di accompagnare lo sviluppo del territorio per sostenere investimenti, </w:t>
      </w:r>
      <w:r w:rsidR="001F48D7"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innovazione e </w:t>
      </w:r>
      <w:r w:rsidRPr="00B15D77">
        <w:rPr>
          <w:rFonts w:ascii="Calibri" w:eastAsia="Calibri" w:hAnsi="Calibri" w:cs="Calibri"/>
          <w:i/>
          <w:iCs/>
          <w:color w:val="000000"/>
          <w:sz w:val="22"/>
          <w:szCs w:val="22"/>
        </w:rPr>
        <w:t>competitività</w:t>
      </w:r>
      <w:r w:rsidRPr="00165A7F">
        <w:rPr>
          <w:rFonts w:ascii="Calibri" w:eastAsia="Calibri" w:hAnsi="Calibri" w:cs="Calibri"/>
          <w:color w:val="000000"/>
          <w:sz w:val="22"/>
          <w:szCs w:val="22"/>
        </w:rPr>
        <w:t>».</w:t>
      </w:r>
    </w:p>
    <w:p w14:paraId="2538D1EB" w14:textId="77777777" w:rsidR="00A055BC" w:rsidRPr="00A055BC" w:rsidRDefault="00A055BC" w:rsidP="00A055BC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A055BC">
        <w:rPr>
          <w:rFonts w:ascii="Calibri" w:eastAsia="Calibri" w:hAnsi="Calibri" w:cs="Calibri"/>
          <w:b/>
          <w:bCs/>
          <w:color w:val="000000"/>
          <w:sz w:val="22"/>
          <w:szCs w:val="22"/>
        </w:rPr>
        <w:t>Provincia di Lucca</w:t>
      </w:r>
    </w:p>
    <w:p w14:paraId="18001BF0" w14:textId="0A6DBA7D" w:rsidR="00A055BC" w:rsidRPr="00A055BC" w:rsidRDefault="00A055BC" w:rsidP="00A055BC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  <w:color w:val="000000"/>
          <w:sz w:val="22"/>
          <w:szCs w:val="22"/>
        </w:rPr>
      </w:pPr>
      <w:r w:rsidRPr="00A055BC">
        <w:rPr>
          <w:rFonts w:ascii="Calibri" w:eastAsia="Calibri" w:hAnsi="Calibri" w:cs="Calibri"/>
          <w:color w:val="000000"/>
          <w:sz w:val="22"/>
          <w:szCs w:val="22"/>
        </w:rPr>
        <w:t>Nel 2025 l’economia d</w:t>
      </w:r>
      <w:r w:rsidRPr="008A4B66">
        <w:rPr>
          <w:rFonts w:ascii="Calibri" w:eastAsia="Calibri" w:hAnsi="Calibri" w:cs="Calibri"/>
          <w:color w:val="000000"/>
          <w:sz w:val="22"/>
          <w:szCs w:val="22"/>
        </w:rPr>
        <w:t xml:space="preserve">ella provincia di Lucca </w:t>
      </w:r>
      <w:r w:rsidR="00292403" w:rsidRPr="008A4B66">
        <w:rPr>
          <w:rFonts w:ascii="Calibri" w:eastAsia="Calibri" w:hAnsi="Calibri" w:cs="Calibri"/>
          <w:color w:val="000000"/>
          <w:sz w:val="22"/>
          <w:szCs w:val="22"/>
        </w:rPr>
        <w:t xml:space="preserve">è </w:t>
      </w:r>
      <w:r w:rsidRPr="008A4B66">
        <w:rPr>
          <w:rFonts w:ascii="Calibri" w:eastAsia="Calibri" w:hAnsi="Calibri" w:cs="Calibri"/>
          <w:color w:val="000000"/>
          <w:sz w:val="22"/>
          <w:szCs w:val="22"/>
        </w:rPr>
        <w:t>cresc</w:t>
      </w:r>
      <w:r w:rsidR="00292403" w:rsidRPr="008A4B66">
        <w:rPr>
          <w:rFonts w:ascii="Calibri" w:eastAsia="Calibri" w:hAnsi="Calibri" w:cs="Calibri"/>
          <w:color w:val="000000"/>
          <w:sz w:val="22"/>
          <w:szCs w:val="22"/>
        </w:rPr>
        <w:t>iuta</w:t>
      </w:r>
      <w:r w:rsidRPr="008A4B66">
        <w:rPr>
          <w:rFonts w:ascii="Calibri" w:eastAsia="Calibri" w:hAnsi="Calibri" w:cs="Calibri"/>
          <w:color w:val="000000"/>
          <w:sz w:val="22"/>
          <w:szCs w:val="22"/>
        </w:rPr>
        <w:t xml:space="preserve"> dello 0,3%, sotto la media toscana (+0,6%) e nazionale (+0,5%). </w:t>
      </w:r>
      <w:r w:rsidR="00053D2A" w:rsidRPr="00053D2A">
        <w:rPr>
          <w:rFonts w:ascii="Calibri" w:eastAsia="Calibri" w:hAnsi="Calibri" w:cs="Calibri"/>
          <w:color w:val="000000"/>
          <w:sz w:val="22"/>
          <w:szCs w:val="22"/>
        </w:rPr>
        <w:t>A sostenere il bilancio territoriale è</w:t>
      </w:r>
      <w:r w:rsidR="00053D2A">
        <w:rPr>
          <w:rFonts w:ascii="Calibri" w:eastAsia="Calibri" w:hAnsi="Calibri" w:cs="Calibri"/>
          <w:color w:val="000000"/>
          <w:sz w:val="22"/>
          <w:szCs w:val="22"/>
        </w:rPr>
        <w:t xml:space="preserve"> stato</w:t>
      </w:r>
      <w:r w:rsidR="00053D2A" w:rsidRPr="00053D2A">
        <w:rPr>
          <w:rFonts w:ascii="Calibri" w:eastAsia="Calibri" w:hAnsi="Calibri" w:cs="Calibri"/>
          <w:color w:val="000000"/>
          <w:sz w:val="22"/>
          <w:szCs w:val="22"/>
        </w:rPr>
        <w:t xml:space="preserve"> principalmente il comparto manifatturiero (+0,9%)</w:t>
      </w:r>
      <w:r w:rsidR="00053D2A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053D2A" w:rsidRPr="00053D2A">
        <w:rPr>
          <w:rFonts w:ascii="Calibri" w:eastAsia="Calibri" w:hAnsi="Calibri" w:cs="Calibri"/>
          <w:color w:val="000000"/>
          <w:sz w:val="22"/>
          <w:szCs w:val="22"/>
        </w:rPr>
        <w:t xml:space="preserve"> che incide per oltre un quarto sul valore aggiunto provinciale</w:t>
      </w:r>
      <w:r w:rsidR="00053D2A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053D2A" w:rsidRPr="00053D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53D2A" w:rsidRPr="008A4B66">
        <w:rPr>
          <w:rFonts w:ascii="Calibri" w:eastAsia="Calibri" w:hAnsi="Calibri" w:cs="Calibri"/>
          <w:color w:val="000000"/>
          <w:sz w:val="22"/>
          <w:szCs w:val="22"/>
        </w:rPr>
        <w:t xml:space="preserve">sostenuto da alimentare e </w:t>
      </w:r>
      <w:proofErr w:type="spellStart"/>
      <w:r w:rsidR="00053D2A" w:rsidRPr="008A4B66">
        <w:rPr>
          <w:rFonts w:ascii="Calibri" w:eastAsia="Calibri" w:hAnsi="Calibri" w:cs="Calibri"/>
          <w:color w:val="000000"/>
          <w:sz w:val="22"/>
          <w:szCs w:val="22"/>
        </w:rPr>
        <w:t>chimica-farmaceutica</w:t>
      </w:r>
      <w:proofErr w:type="spellEnd"/>
      <w:r w:rsidR="00053D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53D2A" w:rsidRPr="00053D2A">
        <w:rPr>
          <w:rFonts w:ascii="Calibri" w:eastAsia="Calibri" w:hAnsi="Calibri" w:cs="Calibri"/>
          <w:color w:val="000000"/>
          <w:sz w:val="22"/>
          <w:szCs w:val="22"/>
        </w:rPr>
        <w:t>e dalla sostan</w:t>
      </w:r>
      <w:r w:rsidR="00053D2A">
        <w:rPr>
          <w:rFonts w:ascii="Calibri" w:eastAsia="Calibri" w:hAnsi="Calibri" w:cs="Calibri"/>
          <w:color w:val="000000"/>
          <w:sz w:val="22"/>
          <w:szCs w:val="22"/>
        </w:rPr>
        <w:t>z</w:t>
      </w:r>
      <w:r w:rsidR="00053D2A" w:rsidRPr="00053D2A">
        <w:rPr>
          <w:rFonts w:ascii="Calibri" w:eastAsia="Calibri" w:hAnsi="Calibri" w:cs="Calibri"/>
          <w:color w:val="000000"/>
          <w:sz w:val="22"/>
          <w:szCs w:val="22"/>
        </w:rPr>
        <w:t>iale tenuta di pilastri storici quali carta, meccanica strumentale e nautica.</w:t>
      </w:r>
      <w:r w:rsidRPr="008A4B6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53D2A">
        <w:rPr>
          <w:rFonts w:ascii="Calibri" w:eastAsia="Calibri" w:hAnsi="Calibri" w:cs="Calibri"/>
          <w:color w:val="000000"/>
          <w:sz w:val="22"/>
          <w:szCs w:val="22"/>
        </w:rPr>
        <w:t xml:space="preserve">Hanno invece mostrato un </w:t>
      </w:r>
      <w:r w:rsidR="00292403" w:rsidRPr="00F22662">
        <w:rPr>
          <w:rFonts w:ascii="Calibri" w:eastAsia="Calibri" w:hAnsi="Calibri" w:cs="Calibri"/>
          <w:color w:val="000000"/>
          <w:sz w:val="22"/>
          <w:szCs w:val="22"/>
        </w:rPr>
        <w:t xml:space="preserve">rallentamento </w:t>
      </w:r>
      <w:r w:rsidR="00053D2A">
        <w:rPr>
          <w:rFonts w:ascii="Calibri" w:eastAsia="Calibri" w:hAnsi="Calibri" w:cs="Calibri"/>
          <w:color w:val="000000"/>
          <w:sz w:val="22"/>
          <w:szCs w:val="22"/>
        </w:rPr>
        <w:t xml:space="preserve">le </w:t>
      </w:r>
      <w:r w:rsidRPr="00F22662">
        <w:rPr>
          <w:rFonts w:ascii="Calibri" w:eastAsia="Calibri" w:hAnsi="Calibri" w:cs="Calibri"/>
          <w:color w:val="000000"/>
          <w:sz w:val="22"/>
          <w:szCs w:val="22"/>
        </w:rPr>
        <w:t>costruzioni (-0,3%),</w:t>
      </w:r>
      <w:r w:rsidR="00053D2A">
        <w:rPr>
          <w:rFonts w:ascii="Calibri" w:eastAsia="Calibri" w:hAnsi="Calibri" w:cs="Calibri"/>
          <w:color w:val="000000"/>
          <w:sz w:val="22"/>
          <w:szCs w:val="22"/>
        </w:rPr>
        <w:t xml:space="preserve"> i</w:t>
      </w:r>
      <w:r w:rsidRPr="00F22662">
        <w:rPr>
          <w:rFonts w:ascii="Calibri" w:eastAsia="Calibri" w:hAnsi="Calibri" w:cs="Calibri"/>
          <w:color w:val="000000"/>
          <w:sz w:val="22"/>
          <w:szCs w:val="22"/>
        </w:rPr>
        <w:t xml:space="preserve"> servizi (-</w:t>
      </w:r>
      <w:r w:rsidRPr="00F22662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0,1%) e </w:t>
      </w:r>
      <w:r w:rsidR="00053D2A">
        <w:rPr>
          <w:rFonts w:ascii="Calibri" w:eastAsia="Calibri" w:hAnsi="Calibri" w:cs="Calibri"/>
          <w:color w:val="000000"/>
          <w:sz w:val="22"/>
          <w:szCs w:val="22"/>
        </w:rPr>
        <w:t>l’</w:t>
      </w:r>
      <w:r w:rsidRPr="00F22662">
        <w:rPr>
          <w:rFonts w:ascii="Calibri" w:eastAsia="Calibri" w:hAnsi="Calibri" w:cs="Calibri"/>
          <w:color w:val="000000"/>
          <w:sz w:val="22"/>
          <w:szCs w:val="22"/>
        </w:rPr>
        <w:t xml:space="preserve">agricoltura (-2,8%). </w:t>
      </w:r>
      <w:r w:rsidR="00086DA3">
        <w:rPr>
          <w:rFonts w:ascii="Calibri" w:eastAsia="Calibri" w:hAnsi="Calibri" w:cs="Calibri"/>
          <w:color w:val="000000"/>
          <w:sz w:val="22"/>
          <w:szCs w:val="22"/>
        </w:rPr>
        <w:t>Sul fronte estero, l</w:t>
      </w:r>
      <w:r w:rsidRPr="00F22662">
        <w:rPr>
          <w:rFonts w:ascii="Calibri" w:eastAsia="Calibri" w:hAnsi="Calibri" w:cs="Calibri"/>
          <w:color w:val="000000"/>
          <w:sz w:val="22"/>
          <w:szCs w:val="22"/>
        </w:rPr>
        <w:t xml:space="preserve">’export </w:t>
      </w:r>
      <w:r w:rsidR="00292403" w:rsidRPr="00F22662">
        <w:rPr>
          <w:rFonts w:ascii="Calibri" w:eastAsia="Calibri" w:hAnsi="Calibri" w:cs="Calibri"/>
          <w:color w:val="000000"/>
          <w:sz w:val="22"/>
          <w:szCs w:val="22"/>
        </w:rPr>
        <w:t>ha chiuso il</w:t>
      </w:r>
      <w:r w:rsidR="00292403" w:rsidRPr="00D80D45">
        <w:rPr>
          <w:rFonts w:ascii="Calibri" w:eastAsia="Calibri" w:hAnsi="Calibri" w:cs="Calibri"/>
          <w:color w:val="000000"/>
          <w:sz w:val="22"/>
          <w:szCs w:val="22"/>
        </w:rPr>
        <w:t xml:space="preserve"> 2025 in contrazione attestandosi</w:t>
      </w:r>
      <w:r w:rsidRPr="00D80D45">
        <w:rPr>
          <w:rFonts w:ascii="Calibri" w:eastAsia="Calibri" w:hAnsi="Calibri" w:cs="Calibri"/>
          <w:color w:val="000000"/>
          <w:sz w:val="22"/>
          <w:szCs w:val="22"/>
        </w:rPr>
        <w:t xml:space="preserve"> a 5,4 miliardi di euro (-2,6%), </w:t>
      </w:r>
      <w:r w:rsidR="00292403" w:rsidRPr="00053D2A">
        <w:rPr>
          <w:rFonts w:ascii="Calibri" w:eastAsia="Calibri" w:hAnsi="Calibri" w:cs="Calibri"/>
          <w:color w:val="000000"/>
          <w:sz w:val="22"/>
          <w:szCs w:val="22"/>
        </w:rPr>
        <w:t xml:space="preserve">conseguendo comunque il </w:t>
      </w:r>
      <w:r w:rsidRPr="00053D2A">
        <w:rPr>
          <w:rFonts w:ascii="Calibri" w:eastAsia="Calibri" w:hAnsi="Calibri" w:cs="Calibri"/>
          <w:color w:val="000000"/>
          <w:sz w:val="22"/>
          <w:szCs w:val="22"/>
        </w:rPr>
        <w:t>secondo miglior risultato</w:t>
      </w:r>
      <w:r w:rsidR="000F21A4">
        <w:rPr>
          <w:rFonts w:ascii="Calibri" w:eastAsia="Calibri" w:hAnsi="Calibri" w:cs="Calibri"/>
          <w:color w:val="000000"/>
          <w:sz w:val="22"/>
          <w:szCs w:val="22"/>
        </w:rPr>
        <w:t xml:space="preserve"> storico</w:t>
      </w:r>
      <w:r w:rsidRPr="00053D2A">
        <w:rPr>
          <w:rFonts w:ascii="Calibri" w:eastAsia="Calibri" w:hAnsi="Calibri" w:cs="Calibri"/>
          <w:color w:val="000000"/>
          <w:sz w:val="22"/>
          <w:szCs w:val="22"/>
        </w:rPr>
        <w:t xml:space="preserve"> dopo il record del 2024. </w:t>
      </w:r>
      <w:r w:rsidR="00292403" w:rsidRPr="00053D2A">
        <w:rPr>
          <w:rFonts w:ascii="Calibri" w:eastAsia="Calibri" w:hAnsi="Calibri" w:cs="Calibri"/>
          <w:color w:val="000000"/>
          <w:sz w:val="22"/>
          <w:szCs w:val="22"/>
        </w:rPr>
        <w:t>Hanno p</w:t>
      </w:r>
      <w:r w:rsidRPr="00053D2A">
        <w:rPr>
          <w:rFonts w:ascii="Calibri" w:eastAsia="Calibri" w:hAnsi="Calibri" w:cs="Calibri"/>
          <w:color w:val="000000"/>
          <w:sz w:val="22"/>
          <w:szCs w:val="22"/>
        </w:rPr>
        <w:t>esa</w:t>
      </w:r>
      <w:r w:rsidR="00292403" w:rsidRPr="00053D2A">
        <w:rPr>
          <w:rFonts w:ascii="Calibri" w:eastAsia="Calibri" w:hAnsi="Calibri" w:cs="Calibri"/>
          <w:color w:val="000000"/>
          <w:sz w:val="22"/>
          <w:szCs w:val="22"/>
        </w:rPr>
        <w:t>t</w:t>
      </w:r>
      <w:r w:rsidRPr="00053D2A">
        <w:rPr>
          <w:rFonts w:ascii="Calibri" w:eastAsia="Calibri" w:hAnsi="Calibri" w:cs="Calibri"/>
          <w:color w:val="000000"/>
          <w:sz w:val="22"/>
          <w:szCs w:val="22"/>
        </w:rPr>
        <w:t>o il calo degli oli</w:t>
      </w:r>
      <w:r w:rsidR="00C823E0" w:rsidRPr="00053D2A">
        <w:rPr>
          <w:rFonts w:ascii="Calibri" w:eastAsia="Calibri" w:hAnsi="Calibri" w:cs="Calibri"/>
          <w:color w:val="000000"/>
          <w:sz w:val="22"/>
          <w:szCs w:val="22"/>
        </w:rPr>
        <w:t>, specie verso gli Stati Uniti,</w:t>
      </w:r>
      <w:r w:rsidRPr="00053D2A">
        <w:rPr>
          <w:rFonts w:ascii="Calibri" w:eastAsia="Calibri" w:hAnsi="Calibri" w:cs="Calibri"/>
          <w:color w:val="000000"/>
          <w:sz w:val="22"/>
          <w:szCs w:val="22"/>
        </w:rPr>
        <w:t xml:space="preserve"> e dei macchinari per cartiere, mentre la nautica si </w:t>
      </w:r>
      <w:r w:rsidR="00292403" w:rsidRPr="00053D2A">
        <w:rPr>
          <w:rFonts w:ascii="Calibri" w:eastAsia="Calibri" w:hAnsi="Calibri" w:cs="Calibri"/>
          <w:color w:val="000000"/>
          <w:sz w:val="22"/>
          <w:szCs w:val="22"/>
        </w:rPr>
        <w:t xml:space="preserve">è </w:t>
      </w:r>
      <w:r w:rsidRPr="00053D2A">
        <w:rPr>
          <w:rFonts w:ascii="Calibri" w:eastAsia="Calibri" w:hAnsi="Calibri" w:cs="Calibri"/>
          <w:color w:val="000000"/>
          <w:sz w:val="22"/>
          <w:szCs w:val="22"/>
        </w:rPr>
        <w:t>conferma</w:t>
      </w:r>
      <w:r w:rsidR="00292403" w:rsidRPr="00053D2A">
        <w:rPr>
          <w:rFonts w:ascii="Calibri" w:eastAsia="Calibri" w:hAnsi="Calibri" w:cs="Calibri"/>
          <w:color w:val="000000"/>
          <w:sz w:val="22"/>
          <w:szCs w:val="22"/>
        </w:rPr>
        <w:t>ta</w:t>
      </w:r>
      <w:r w:rsidRPr="00053D2A">
        <w:rPr>
          <w:rFonts w:ascii="Calibri" w:eastAsia="Calibri" w:hAnsi="Calibri" w:cs="Calibri"/>
          <w:color w:val="000000"/>
          <w:sz w:val="22"/>
          <w:szCs w:val="22"/>
        </w:rPr>
        <w:t xml:space="preserve"> primo comparto esportatore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(1,3 miliardi, 23,9% del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>totale) e il sistema carta-</w:t>
      </w:r>
      <w:r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cartotecnica </w:t>
      </w:r>
      <w:r w:rsidR="00292403"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ha </w:t>
      </w:r>
      <w:r w:rsidRPr="00F35470">
        <w:rPr>
          <w:rFonts w:ascii="Calibri" w:eastAsia="Calibri" w:hAnsi="Calibri" w:cs="Calibri"/>
          <w:color w:val="000000"/>
          <w:sz w:val="22"/>
          <w:szCs w:val="22"/>
        </w:rPr>
        <w:t>sfiora</w:t>
      </w:r>
      <w:r w:rsidR="00292403" w:rsidRPr="00F35470">
        <w:rPr>
          <w:rFonts w:ascii="Calibri" w:eastAsia="Calibri" w:hAnsi="Calibri" w:cs="Calibri"/>
          <w:color w:val="000000"/>
          <w:sz w:val="22"/>
          <w:szCs w:val="22"/>
        </w:rPr>
        <w:t>to</w:t>
      </w:r>
      <w:r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 1,2 miliardi. Tra le destinazioni</w:t>
      </w:r>
      <w:r w:rsidR="008D614F" w:rsidRPr="00F35470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 gli Stati Uniti </w:t>
      </w:r>
      <w:r w:rsidR="00292403" w:rsidRPr="00F35470">
        <w:rPr>
          <w:rFonts w:ascii="Calibri" w:eastAsia="Calibri" w:hAnsi="Calibri" w:cs="Calibri"/>
          <w:color w:val="000000"/>
          <w:sz w:val="22"/>
          <w:szCs w:val="22"/>
        </w:rPr>
        <w:t>sono</w:t>
      </w:r>
      <w:r w:rsidR="00D50C4C"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92403" w:rsidRPr="00F35470">
        <w:rPr>
          <w:rFonts w:ascii="Calibri" w:eastAsia="Calibri" w:hAnsi="Calibri" w:cs="Calibri"/>
          <w:color w:val="000000"/>
          <w:sz w:val="22"/>
          <w:szCs w:val="22"/>
        </w:rPr>
        <w:t>arretrat</w:t>
      </w:r>
      <w:r w:rsidR="00461DD4"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i </w:t>
      </w:r>
      <w:r w:rsidRPr="00F35470">
        <w:rPr>
          <w:rFonts w:ascii="Calibri" w:eastAsia="Calibri" w:hAnsi="Calibri" w:cs="Calibri"/>
          <w:color w:val="000000"/>
          <w:sz w:val="22"/>
          <w:szCs w:val="22"/>
        </w:rPr>
        <w:t>del 7,7%.</w:t>
      </w:r>
      <w:r w:rsidR="00292403"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Il credito </w:t>
      </w:r>
      <w:r w:rsidR="00292403"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ha </w:t>
      </w:r>
      <w:r w:rsidRPr="00F35470">
        <w:rPr>
          <w:rFonts w:ascii="Calibri" w:eastAsia="Calibri" w:hAnsi="Calibri" w:cs="Calibri"/>
          <w:color w:val="000000"/>
          <w:sz w:val="22"/>
          <w:szCs w:val="22"/>
        </w:rPr>
        <w:t>evidenzia</w:t>
      </w:r>
      <w:r w:rsidR="00292403" w:rsidRPr="00F35470">
        <w:rPr>
          <w:rFonts w:ascii="Calibri" w:eastAsia="Calibri" w:hAnsi="Calibri" w:cs="Calibri"/>
          <w:color w:val="000000"/>
          <w:sz w:val="22"/>
          <w:szCs w:val="22"/>
        </w:rPr>
        <w:t>to</w:t>
      </w:r>
      <w:r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 segnali di prudenza: gli impieghi vivi </w:t>
      </w:r>
      <w:r w:rsidR="00292403" w:rsidRPr="00F35470">
        <w:rPr>
          <w:rFonts w:ascii="Calibri" w:eastAsia="Calibri" w:hAnsi="Calibri" w:cs="Calibri"/>
          <w:color w:val="000000"/>
          <w:sz w:val="22"/>
          <w:szCs w:val="22"/>
        </w:rPr>
        <w:t>hanno raggiunto</w:t>
      </w:r>
      <w:r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 9,7 miliardi di euro (+0,4%), ma i finanziamenti destinati a</w:t>
      </w:r>
      <w:r w:rsidR="00583168"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lle imprese </w:t>
      </w:r>
      <w:r w:rsidR="00292403"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sono </w:t>
      </w:r>
      <w:r w:rsidRPr="00F35470">
        <w:rPr>
          <w:rFonts w:ascii="Calibri" w:eastAsia="Calibri" w:hAnsi="Calibri" w:cs="Calibri"/>
          <w:color w:val="000000"/>
          <w:sz w:val="22"/>
          <w:szCs w:val="22"/>
        </w:rPr>
        <w:t>diminui</w:t>
      </w:r>
      <w:r w:rsidR="00292403" w:rsidRPr="00F35470">
        <w:rPr>
          <w:rFonts w:ascii="Calibri" w:eastAsia="Calibri" w:hAnsi="Calibri" w:cs="Calibri"/>
          <w:color w:val="000000"/>
          <w:sz w:val="22"/>
          <w:szCs w:val="22"/>
        </w:rPr>
        <w:t>ti</w:t>
      </w:r>
      <w:r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 del 2,4%, con una contrazione del 7,2% per l’artigianato. Il tasso di deterioramento del credito </w:t>
      </w:r>
      <w:r w:rsidR="00292403" w:rsidRPr="00F35470">
        <w:rPr>
          <w:rFonts w:ascii="Calibri" w:eastAsia="Calibri" w:hAnsi="Calibri" w:cs="Calibri"/>
          <w:color w:val="000000"/>
          <w:sz w:val="22"/>
          <w:szCs w:val="22"/>
        </w:rPr>
        <w:t>è salito</w:t>
      </w:r>
      <w:r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 all’1,48%, mentre gli sportelli bancari </w:t>
      </w:r>
      <w:r w:rsidR="00292403"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sono scesi </w:t>
      </w:r>
      <w:r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a 154 </w:t>
      </w:r>
      <w:r w:rsidR="00292403"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unità </w:t>
      </w:r>
      <w:r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(-5). Nel mercato del lavoro, gli occupati </w:t>
      </w:r>
      <w:r w:rsidR="00292403"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sono </w:t>
      </w:r>
      <w:r w:rsidRPr="00F35470">
        <w:rPr>
          <w:rFonts w:ascii="Calibri" w:eastAsia="Calibri" w:hAnsi="Calibri" w:cs="Calibri"/>
          <w:color w:val="000000"/>
          <w:sz w:val="22"/>
          <w:szCs w:val="22"/>
        </w:rPr>
        <w:t>cala</w:t>
      </w:r>
      <w:r w:rsidR="00292403" w:rsidRPr="00F35470">
        <w:rPr>
          <w:rFonts w:ascii="Calibri" w:eastAsia="Calibri" w:hAnsi="Calibri" w:cs="Calibri"/>
          <w:color w:val="000000"/>
          <w:sz w:val="22"/>
          <w:szCs w:val="22"/>
        </w:rPr>
        <w:t>ti</w:t>
      </w:r>
      <w:r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 del 2,6% e il tasso di disoccupazione </w:t>
      </w:r>
      <w:r w:rsidR="00053D2A"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è </w:t>
      </w:r>
      <w:r w:rsidR="00292403" w:rsidRPr="00F35470">
        <w:rPr>
          <w:rFonts w:ascii="Calibri" w:eastAsia="Calibri" w:hAnsi="Calibri" w:cs="Calibri"/>
          <w:color w:val="000000"/>
          <w:sz w:val="22"/>
          <w:szCs w:val="22"/>
        </w:rPr>
        <w:t xml:space="preserve">salito </w:t>
      </w:r>
      <w:r w:rsidRPr="00F35470">
        <w:rPr>
          <w:rFonts w:ascii="Calibri" w:eastAsia="Calibri" w:hAnsi="Calibri" w:cs="Calibri"/>
          <w:color w:val="000000"/>
          <w:sz w:val="22"/>
          <w:szCs w:val="22"/>
        </w:rPr>
        <w:t>al 6,5% (dal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4,7% del 2024). </w:t>
      </w:r>
      <w:r w:rsidR="00292403" w:rsidRPr="00DA4DEC">
        <w:rPr>
          <w:rFonts w:ascii="Calibri" w:eastAsia="Calibri" w:hAnsi="Calibri" w:cs="Calibri"/>
          <w:color w:val="000000"/>
          <w:sz w:val="22"/>
          <w:szCs w:val="22"/>
        </w:rPr>
        <w:t>In miglioramento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il mismatch tra domanda e offerta, con la difficoltà di reperimento scesa al 46%, mentre la Cassa Integrazione Guadagni </w:t>
      </w:r>
      <w:r w:rsidR="00292403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è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>diminui</w:t>
      </w:r>
      <w:r w:rsidR="00292403" w:rsidRPr="00DA4DEC">
        <w:rPr>
          <w:rFonts w:ascii="Calibri" w:eastAsia="Calibri" w:hAnsi="Calibri" w:cs="Calibri"/>
          <w:color w:val="000000"/>
          <w:sz w:val="22"/>
          <w:szCs w:val="22"/>
        </w:rPr>
        <w:t>ta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del 35,2%. Il tessuto imprenditoriale </w:t>
      </w:r>
      <w:r w:rsidR="00292403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è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>torna</w:t>
      </w:r>
      <w:r w:rsidR="00292403" w:rsidRPr="00DA4DEC">
        <w:rPr>
          <w:rFonts w:ascii="Calibri" w:eastAsia="Calibri" w:hAnsi="Calibri" w:cs="Calibri"/>
          <w:color w:val="000000"/>
          <w:sz w:val="22"/>
          <w:szCs w:val="22"/>
        </w:rPr>
        <w:t>to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22662" w:rsidRPr="00DA4DEC">
        <w:rPr>
          <w:rFonts w:ascii="Calibri" w:eastAsia="Calibri" w:hAnsi="Calibri" w:cs="Calibri"/>
          <w:color w:val="000000"/>
          <w:sz w:val="22"/>
          <w:szCs w:val="22"/>
        </w:rPr>
        <w:t>a crescere,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con 40.062 imprese registrate e un saldo di </w:t>
      </w:r>
      <w:r w:rsidR="00461DD4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più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>108 unità (+0,3%), m</w:t>
      </w:r>
      <w:r w:rsidR="00F22662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le imprese under 35 </w:t>
      </w:r>
      <w:r w:rsidR="00292403" w:rsidRPr="00DA4DEC">
        <w:rPr>
          <w:rFonts w:ascii="Calibri" w:eastAsia="Calibri" w:hAnsi="Calibri" w:cs="Calibri"/>
          <w:color w:val="000000"/>
          <w:sz w:val="22"/>
          <w:szCs w:val="22"/>
        </w:rPr>
        <w:t>sono diminuite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del 4,9%. Nel commercio, le vendite </w:t>
      </w:r>
      <w:r w:rsidR="00292403" w:rsidRPr="00DA4DEC">
        <w:rPr>
          <w:rFonts w:ascii="Calibri" w:eastAsia="Calibri" w:hAnsi="Calibri" w:cs="Calibri"/>
          <w:color w:val="000000"/>
          <w:sz w:val="22"/>
          <w:szCs w:val="22"/>
        </w:rPr>
        <w:t>sono aumentate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dello 0,7% in valore, ma </w:t>
      </w:r>
      <w:r w:rsidR="00292403" w:rsidRPr="00DA4DEC">
        <w:rPr>
          <w:rFonts w:ascii="Calibri" w:eastAsia="Calibri" w:hAnsi="Calibri" w:cs="Calibri"/>
          <w:color w:val="000000"/>
          <w:sz w:val="22"/>
          <w:szCs w:val="22"/>
        </w:rPr>
        <w:t>calate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del</w:t>
      </w:r>
      <w:r w:rsidR="00461DD4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lo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>0,9% in termini reali</w:t>
      </w:r>
      <w:r w:rsidR="00053D2A">
        <w:rPr>
          <w:rFonts w:ascii="Calibri" w:eastAsia="Calibri" w:hAnsi="Calibri" w:cs="Calibri"/>
          <w:color w:val="000000"/>
          <w:sz w:val="22"/>
          <w:szCs w:val="22"/>
        </w:rPr>
        <w:t>, con le piccole strutture che hanno mostrato le maggiori criticità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. Il turismo </w:t>
      </w:r>
      <w:r w:rsidR="00292403" w:rsidRPr="00DA4DEC">
        <w:rPr>
          <w:rFonts w:ascii="Calibri" w:eastAsia="Calibri" w:hAnsi="Calibri" w:cs="Calibri"/>
          <w:color w:val="000000"/>
          <w:sz w:val="22"/>
          <w:szCs w:val="22"/>
        </w:rPr>
        <w:t>ha riproposto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un equilibrio fragile: gli arrivi </w:t>
      </w:r>
      <w:r w:rsidR="008A4B66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ufficiali </w:t>
      </w:r>
      <w:r w:rsidR="00461DD4" w:rsidRPr="00DA4DEC">
        <w:rPr>
          <w:rFonts w:ascii="Calibri" w:eastAsia="Calibri" w:hAnsi="Calibri" w:cs="Calibri"/>
          <w:color w:val="000000"/>
          <w:sz w:val="22"/>
          <w:szCs w:val="22"/>
        </w:rPr>
        <w:t>sono</w:t>
      </w:r>
      <w:r w:rsidR="00461DD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92403">
        <w:rPr>
          <w:rFonts w:ascii="Calibri" w:eastAsia="Calibri" w:hAnsi="Calibri" w:cs="Calibri"/>
          <w:color w:val="000000"/>
          <w:sz w:val="22"/>
          <w:szCs w:val="22"/>
        </w:rPr>
        <w:t xml:space="preserve">aumentati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dello 0,5%, ma le presenze cala</w:t>
      </w:r>
      <w:r w:rsidR="00292403">
        <w:rPr>
          <w:rFonts w:ascii="Calibri" w:eastAsia="Calibri" w:hAnsi="Calibri" w:cs="Calibri"/>
          <w:color w:val="000000"/>
          <w:sz w:val="22"/>
          <w:szCs w:val="22"/>
        </w:rPr>
        <w:t>te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del</w:t>
      </w:r>
      <w:r w:rsidR="00461DD4">
        <w:rPr>
          <w:rFonts w:ascii="Calibri" w:eastAsia="Calibri" w:hAnsi="Calibri" w:cs="Calibri"/>
          <w:color w:val="000000"/>
          <w:sz w:val="22"/>
          <w:szCs w:val="22"/>
        </w:rPr>
        <w:t>l’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1,6% a 3,33 milioni, sostenute dalla sola componente straniera (+1,5%). La Versilia </w:t>
      </w:r>
      <w:r w:rsidR="00292403">
        <w:rPr>
          <w:rFonts w:ascii="Calibri" w:eastAsia="Calibri" w:hAnsi="Calibri" w:cs="Calibri"/>
          <w:color w:val="000000"/>
          <w:sz w:val="22"/>
          <w:szCs w:val="22"/>
        </w:rPr>
        <w:t xml:space="preserve">ha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registra</w:t>
      </w:r>
      <w:r w:rsidR="00292403">
        <w:rPr>
          <w:rFonts w:ascii="Calibri" w:eastAsia="Calibri" w:hAnsi="Calibri" w:cs="Calibri"/>
          <w:color w:val="000000"/>
          <w:sz w:val="22"/>
          <w:szCs w:val="22"/>
        </w:rPr>
        <w:t>to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una flessione del 5,1%, mentre </w:t>
      </w:r>
      <w:r w:rsidR="00292403">
        <w:rPr>
          <w:rFonts w:ascii="Calibri" w:eastAsia="Calibri" w:hAnsi="Calibri" w:cs="Calibri"/>
          <w:color w:val="000000"/>
          <w:sz w:val="22"/>
          <w:szCs w:val="22"/>
        </w:rPr>
        <w:t xml:space="preserve">è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cresc</w:t>
      </w:r>
      <w:r w:rsidR="00292403">
        <w:rPr>
          <w:rFonts w:ascii="Calibri" w:eastAsia="Calibri" w:hAnsi="Calibri" w:cs="Calibri"/>
          <w:color w:val="000000"/>
          <w:sz w:val="22"/>
          <w:szCs w:val="22"/>
        </w:rPr>
        <w:t>iuta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la Piana di Lucca (+9,4%).</w:t>
      </w:r>
    </w:p>
    <w:p w14:paraId="45288B09" w14:textId="77777777" w:rsidR="00A055BC" w:rsidRPr="00A055BC" w:rsidRDefault="00A055BC" w:rsidP="00A055BC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A055BC">
        <w:rPr>
          <w:rFonts w:ascii="Calibri" w:eastAsia="Calibri" w:hAnsi="Calibri" w:cs="Calibri"/>
          <w:b/>
          <w:bCs/>
          <w:color w:val="000000"/>
          <w:sz w:val="22"/>
          <w:szCs w:val="22"/>
        </w:rPr>
        <w:t>Provincia di Massa-Carrara</w:t>
      </w:r>
    </w:p>
    <w:p w14:paraId="0E254A90" w14:textId="11853DCD" w:rsidR="00363A23" w:rsidRDefault="00A055BC" w:rsidP="00A055BC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  <w:color w:val="000000"/>
          <w:sz w:val="22"/>
          <w:szCs w:val="22"/>
        </w:rPr>
      </w:pP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Nel 2025 l’economia della provincia di Massa-Carrara </w:t>
      </w:r>
      <w:r w:rsidR="009F2B09">
        <w:rPr>
          <w:rFonts w:ascii="Calibri" w:eastAsia="Calibri" w:hAnsi="Calibri" w:cs="Calibri"/>
          <w:color w:val="000000"/>
          <w:sz w:val="22"/>
          <w:szCs w:val="22"/>
        </w:rPr>
        <w:t xml:space="preserve">è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cresc</w:t>
      </w:r>
      <w:r w:rsidR="009F2B09">
        <w:rPr>
          <w:rFonts w:ascii="Calibri" w:eastAsia="Calibri" w:hAnsi="Calibri" w:cs="Calibri"/>
          <w:color w:val="000000"/>
          <w:sz w:val="22"/>
          <w:szCs w:val="22"/>
        </w:rPr>
        <w:t xml:space="preserve">iuta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dello 0,7%, sopra la media toscana (+0,6%) e nazionale (+0,5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%), con un PIL pari </w:t>
      </w:r>
      <w:r w:rsidR="00461DD4" w:rsidRPr="00DA4DEC">
        <w:rPr>
          <w:rFonts w:ascii="Calibri" w:eastAsia="Calibri" w:hAnsi="Calibri" w:cs="Calibri"/>
          <w:color w:val="000000"/>
          <w:sz w:val="22"/>
          <w:szCs w:val="22"/>
        </w:rPr>
        <w:t>al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17% dell’Area Toscana Nord-Ovest. La 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dinamica </w:t>
      </w:r>
      <w:r w:rsidR="00603F18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è stata sostenuta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>d</w:t>
      </w:r>
      <w:r w:rsidR="00603F18" w:rsidRPr="00DA4DEC">
        <w:rPr>
          <w:rFonts w:ascii="Calibri" w:eastAsia="Calibri" w:hAnsi="Calibri" w:cs="Calibri"/>
          <w:color w:val="000000"/>
          <w:sz w:val="22"/>
          <w:szCs w:val="22"/>
        </w:rPr>
        <w:t>a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lle costruzioni (+6,8%) e dall’industria (+0,4%), che 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ha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>recupera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>to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il calo del 2024. Più debole il quadro per servizi (+0,1%) e agricoltura (-5,4%). La produzione manifatturiera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ha chiuso il 2025 in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>cresc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ita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>dello 0,8%, sostenuta da lapideo</w:t>
      </w:r>
      <w:r w:rsidR="00823B58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e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metalmeccanica. La provincia 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ha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>supera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>to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per la prima volta i 3 miliardi di export</w:t>
      </w:r>
      <w:r w:rsidR="00603F18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>+50,4%</w:t>
      </w:r>
      <w:r w:rsidR="00603F18" w:rsidRPr="00DA4DEC">
        <w:rPr>
          <w:rFonts w:ascii="Calibri" w:eastAsia="Calibri" w:hAnsi="Calibri" w:cs="Calibri"/>
          <w:color w:val="000000"/>
          <w:sz w:val="22"/>
          <w:szCs w:val="22"/>
        </w:rPr>
        <w:t>),</w:t>
      </w:r>
      <w:r w:rsidR="00086DA3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un risultato straordinario condizionato favorevolmente dalle tempistiche di f</w:t>
      </w:r>
      <w:r w:rsidR="00086DA3"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atturazione e consegna tipiche della </w:t>
      </w:r>
      <w:r w:rsidR="000F21A4" w:rsidRPr="00E824C9">
        <w:rPr>
          <w:rFonts w:ascii="Calibri" w:eastAsia="Calibri" w:hAnsi="Calibri" w:cs="Calibri"/>
          <w:color w:val="000000"/>
          <w:sz w:val="22"/>
          <w:szCs w:val="22"/>
        </w:rPr>
        <w:t>meccanica</w:t>
      </w:r>
      <w:r w:rsidR="00086DA3"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e della nautica</w:t>
      </w:r>
      <w:r w:rsidR="00EE622A" w:rsidRPr="00E824C9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mentre</w:t>
      </w:r>
      <w:r w:rsidR="009F2B09"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hanno chiuso l’anno</w:t>
      </w:r>
      <w:r w:rsidR="00461DD4"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in flessione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il lapideo lavorato e il materiale grezzo. </w:t>
      </w:r>
      <w:r w:rsidR="009F2B09" w:rsidRPr="00E824C9">
        <w:rPr>
          <w:rFonts w:ascii="Calibri" w:eastAsia="Calibri" w:hAnsi="Calibri" w:cs="Calibri"/>
          <w:color w:val="000000"/>
          <w:sz w:val="22"/>
          <w:szCs w:val="22"/>
        </w:rPr>
        <w:t>In calo le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importazioni </w:t>
      </w:r>
      <w:r w:rsidR="00461DD4" w:rsidRPr="00E824C9">
        <w:rPr>
          <w:rFonts w:ascii="Calibri" w:eastAsia="Calibri" w:hAnsi="Calibri" w:cs="Calibri"/>
          <w:color w:val="000000"/>
          <w:sz w:val="22"/>
          <w:szCs w:val="22"/>
        </w:rPr>
        <w:t>(-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>7,9%</w:t>
      </w:r>
      <w:r w:rsidR="00461DD4" w:rsidRPr="00E824C9">
        <w:rPr>
          <w:rFonts w:ascii="Calibri" w:eastAsia="Calibri" w:hAnsi="Calibri" w:cs="Calibri"/>
          <w:color w:val="000000"/>
          <w:sz w:val="22"/>
          <w:szCs w:val="22"/>
        </w:rPr>
        <w:t>)</w:t>
      </w:r>
      <w:r w:rsidR="00300C9D" w:rsidRPr="00E824C9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a</w:t>
      </w:r>
      <w:r w:rsidR="009F2B09" w:rsidRPr="00E824C9">
        <w:rPr>
          <w:rFonts w:ascii="Calibri" w:eastAsia="Calibri" w:hAnsi="Calibri" w:cs="Calibri"/>
          <w:color w:val="000000"/>
          <w:sz w:val="22"/>
          <w:szCs w:val="22"/>
        </w:rPr>
        <w:t>ttestate a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952 milioni di euro</w:t>
      </w:r>
      <w:r w:rsidR="009F2B09"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in valore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. Il credito </w:t>
      </w:r>
      <w:r w:rsidR="009F2B09"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ha 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>mostra</w:t>
      </w:r>
      <w:r w:rsidR="009F2B09" w:rsidRPr="00E824C9">
        <w:rPr>
          <w:rFonts w:ascii="Calibri" w:eastAsia="Calibri" w:hAnsi="Calibri" w:cs="Calibri"/>
          <w:color w:val="000000"/>
          <w:sz w:val="22"/>
          <w:szCs w:val="22"/>
        </w:rPr>
        <w:t>to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segnali di ripresa</w:t>
      </w:r>
      <w:r w:rsidR="000F21A4" w:rsidRPr="00E824C9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F2B09"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con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gli impieghi vivi sal</w:t>
      </w:r>
      <w:r w:rsidR="009F2B09" w:rsidRPr="00E824C9">
        <w:rPr>
          <w:rFonts w:ascii="Calibri" w:eastAsia="Calibri" w:hAnsi="Calibri" w:cs="Calibri"/>
          <w:color w:val="000000"/>
          <w:sz w:val="22"/>
          <w:szCs w:val="22"/>
        </w:rPr>
        <w:t>iti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a 3,5 miliardi di euro (+2,1%), ma </w:t>
      </w:r>
      <w:r w:rsidR="00E972DB" w:rsidRPr="00E824C9">
        <w:rPr>
          <w:rFonts w:ascii="Calibri" w:eastAsia="Calibri" w:hAnsi="Calibri" w:cs="Calibri"/>
          <w:color w:val="000000"/>
          <w:sz w:val="22"/>
          <w:szCs w:val="22"/>
        </w:rPr>
        <w:t>per le imprese</w:t>
      </w:r>
      <w:r w:rsidR="00E824C9"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(+0,4%)</w:t>
      </w:r>
      <w:r w:rsidR="00E972DB"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la crescita è </w:t>
      </w:r>
      <w:r w:rsidR="009F2B09"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risultata 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polarizzata sul manifatturiero (+12,1%), mentre </w:t>
      </w:r>
      <w:r w:rsidR="00461DD4"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è </w:t>
      </w:r>
      <w:r w:rsidR="009F2B09" w:rsidRPr="00E824C9">
        <w:rPr>
          <w:rFonts w:ascii="Calibri" w:eastAsia="Calibri" w:hAnsi="Calibri" w:cs="Calibri"/>
          <w:color w:val="000000"/>
          <w:sz w:val="22"/>
          <w:szCs w:val="22"/>
        </w:rPr>
        <w:t>proseguit</w:t>
      </w:r>
      <w:r w:rsidR="00461DD4" w:rsidRPr="00E824C9">
        <w:rPr>
          <w:rFonts w:ascii="Calibri" w:eastAsia="Calibri" w:hAnsi="Calibri" w:cs="Calibri"/>
          <w:color w:val="000000"/>
          <w:sz w:val="22"/>
          <w:szCs w:val="22"/>
        </w:rPr>
        <w:t>a</w:t>
      </w:r>
      <w:r w:rsidR="009F2B09"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la contrazione di 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costruzioni (-7,6%) e servizi (-4,7%). </w:t>
      </w:r>
      <w:r w:rsidR="009F2B09" w:rsidRPr="00E824C9">
        <w:rPr>
          <w:rFonts w:ascii="Calibri" w:eastAsia="Calibri" w:hAnsi="Calibri" w:cs="Calibri"/>
          <w:color w:val="000000"/>
          <w:sz w:val="22"/>
          <w:szCs w:val="22"/>
        </w:rPr>
        <w:t>Ancora in difficoltà le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realtà minori</w:t>
      </w:r>
      <w:r w:rsidR="00300C9D" w:rsidRPr="00E824C9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9F2B09"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con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il credito alle imprese sotto i 20 addetti cala</w:t>
      </w:r>
      <w:r w:rsidR="009F2B09" w:rsidRPr="00E824C9">
        <w:rPr>
          <w:rFonts w:ascii="Calibri" w:eastAsia="Calibri" w:hAnsi="Calibri" w:cs="Calibri"/>
          <w:color w:val="000000"/>
          <w:sz w:val="22"/>
          <w:szCs w:val="22"/>
        </w:rPr>
        <w:t>to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del 7,6%. </w:t>
      </w:r>
      <w:r w:rsidR="009F2B09" w:rsidRPr="00E824C9">
        <w:rPr>
          <w:rFonts w:ascii="Calibri" w:eastAsia="Calibri" w:hAnsi="Calibri" w:cs="Calibri"/>
          <w:color w:val="000000"/>
          <w:sz w:val="22"/>
          <w:szCs w:val="22"/>
        </w:rPr>
        <w:t>Ha registrato un m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>igliora</w:t>
      </w:r>
      <w:r w:rsidR="009F2B09" w:rsidRPr="00E824C9">
        <w:rPr>
          <w:rFonts w:ascii="Calibri" w:eastAsia="Calibri" w:hAnsi="Calibri" w:cs="Calibri"/>
          <w:color w:val="000000"/>
          <w:sz w:val="22"/>
          <w:szCs w:val="22"/>
        </w:rPr>
        <w:t>mento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 il tasso di deterioramento, sceso all’1,19%, mentre gli sportelli bancari si </w:t>
      </w:r>
      <w:r w:rsidR="009F2B09" w:rsidRPr="00E824C9">
        <w:rPr>
          <w:rFonts w:ascii="Calibri" w:eastAsia="Calibri" w:hAnsi="Calibri" w:cs="Calibri"/>
          <w:color w:val="000000"/>
          <w:sz w:val="22"/>
          <w:szCs w:val="22"/>
        </w:rPr>
        <w:t xml:space="preserve">sono ridotti </w:t>
      </w:r>
      <w:r w:rsidRPr="00E824C9">
        <w:rPr>
          <w:rFonts w:ascii="Calibri" w:eastAsia="Calibri" w:hAnsi="Calibri" w:cs="Calibri"/>
          <w:color w:val="000000"/>
          <w:sz w:val="22"/>
          <w:szCs w:val="22"/>
        </w:rPr>
        <w:t>a 63 (-4). Nel mercato del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lavoro, gli occupati 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sono scesi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>a 78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>,4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mila unità (-2,9%) e il tasso di disoccupazione 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è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>sal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ito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all’8% (dal 6,2% del 2024). Il mismatch tra domanda e offerta di lavoro 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>si è confermato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elevato e stabile (51%), mentre la Cassa Integrazione Guadagni si 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è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>rid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>otta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del 9,1%. Il tessuto imprenditoriale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D1C62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è rimasto stabile (+0,1%), con un numero di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imprese </w:t>
      </w:r>
      <w:r w:rsidR="002D1C62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attestato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a 20.685, 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>in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crescita le sole società di capitale (+1,9%) e 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in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riduzione le imprese under 35 (-1,7%). Nel commercio, le vendite 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sono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>cresc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>iute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dello 0,9% in valore, ma cala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>te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del</w:t>
      </w:r>
      <w:r w:rsidR="00461DD4" w:rsidRPr="00DA4DEC">
        <w:rPr>
          <w:rFonts w:ascii="Calibri" w:eastAsia="Calibri" w:hAnsi="Calibri" w:cs="Calibri"/>
          <w:color w:val="000000"/>
          <w:sz w:val="22"/>
          <w:szCs w:val="22"/>
        </w:rPr>
        <w:t>lo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0,7% in termini reali, </w:t>
      </w:r>
      <w:r w:rsidR="00EE622A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con le piccole superfici che continuano a mostrare le maggiori criticità.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Il turismo 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ha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>mostra</w:t>
      </w:r>
      <w:r w:rsidR="009F2B09" w:rsidRPr="00DA4DEC">
        <w:rPr>
          <w:rFonts w:ascii="Calibri" w:eastAsia="Calibri" w:hAnsi="Calibri" w:cs="Calibri"/>
          <w:color w:val="000000"/>
          <w:sz w:val="22"/>
          <w:szCs w:val="22"/>
        </w:rPr>
        <w:t>to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 xml:space="preserve"> stabilità</w:t>
      </w:r>
      <w:r w:rsidR="00672E7D">
        <w:rPr>
          <w:rFonts w:ascii="Calibri" w:eastAsia="Calibri" w:hAnsi="Calibri" w:cs="Calibri"/>
          <w:color w:val="000000"/>
          <w:sz w:val="22"/>
          <w:szCs w:val="22"/>
        </w:rPr>
        <w:t xml:space="preserve">, con </w:t>
      </w:r>
      <w:r w:rsidRPr="00DA4DEC">
        <w:rPr>
          <w:rFonts w:ascii="Calibri" w:eastAsia="Calibri" w:hAnsi="Calibri" w:cs="Calibri"/>
          <w:color w:val="000000"/>
          <w:sz w:val="22"/>
          <w:szCs w:val="22"/>
        </w:rPr>
        <w:t>294 mila arriv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i</w:t>
      </w:r>
      <w:r w:rsidR="002D1C62">
        <w:rPr>
          <w:rFonts w:ascii="Calibri" w:eastAsia="Calibri" w:hAnsi="Calibri" w:cs="Calibri"/>
          <w:color w:val="000000"/>
          <w:sz w:val="22"/>
          <w:szCs w:val="22"/>
        </w:rPr>
        <w:t xml:space="preserve"> ufficiali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(+4,1%) e circa 1,07 milioni di presenze (</w:t>
      </w:r>
      <w:r w:rsidR="00461DD4">
        <w:rPr>
          <w:rFonts w:ascii="Calibri" w:eastAsia="Calibri" w:hAnsi="Calibri" w:cs="Calibri"/>
          <w:color w:val="000000"/>
          <w:sz w:val="22"/>
          <w:szCs w:val="22"/>
        </w:rPr>
        <w:t>stabili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), </w:t>
      </w:r>
      <w:r w:rsidR="00381811">
        <w:rPr>
          <w:rFonts w:ascii="Calibri" w:eastAsia="Calibri" w:hAnsi="Calibri" w:cs="Calibri"/>
          <w:color w:val="000000"/>
          <w:sz w:val="22"/>
          <w:szCs w:val="22"/>
        </w:rPr>
        <w:t>sostenuto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d</w:t>
      </w:r>
      <w:r w:rsidR="002D1C62">
        <w:rPr>
          <w:rFonts w:ascii="Calibri" w:eastAsia="Calibri" w:hAnsi="Calibri" w:cs="Calibri"/>
          <w:color w:val="000000"/>
          <w:sz w:val="22"/>
          <w:szCs w:val="22"/>
        </w:rPr>
        <w:t>a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lla componente straniera (+3,1%) e</w:t>
      </w:r>
      <w:r w:rsidR="00381811">
        <w:rPr>
          <w:rFonts w:ascii="Calibri" w:eastAsia="Calibri" w:hAnsi="Calibri" w:cs="Calibri"/>
          <w:color w:val="000000"/>
          <w:sz w:val="22"/>
          <w:szCs w:val="22"/>
        </w:rPr>
        <w:t xml:space="preserve"> da</w:t>
      </w:r>
      <w:r w:rsidR="009F2B09">
        <w:rPr>
          <w:rFonts w:ascii="Calibri" w:eastAsia="Calibri" w:hAnsi="Calibri" w:cs="Calibri"/>
          <w:color w:val="000000"/>
          <w:sz w:val="22"/>
          <w:szCs w:val="22"/>
        </w:rPr>
        <w:t xml:space="preserve">l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dinamismo della Lunigiana (+14,3%), a fronte d</w:t>
      </w:r>
      <w:r w:rsidR="00381811">
        <w:rPr>
          <w:rFonts w:ascii="Calibri" w:eastAsia="Calibri" w:hAnsi="Calibri" w:cs="Calibri"/>
          <w:color w:val="000000"/>
          <w:sz w:val="22"/>
          <w:szCs w:val="22"/>
        </w:rPr>
        <w:t xml:space="preserve">i una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flessione della Riviera apuana (-1,4%). </w:t>
      </w:r>
      <w:r w:rsidR="00363A23">
        <w:rPr>
          <w:rFonts w:ascii="Calibri" w:eastAsia="Calibri" w:hAnsi="Calibri" w:cs="Calibri"/>
          <w:color w:val="000000"/>
          <w:sz w:val="22"/>
          <w:szCs w:val="22"/>
        </w:rPr>
        <w:t>So</w:t>
      </w:r>
      <w:r w:rsidR="00363A23" w:rsidRPr="00363A23">
        <w:rPr>
          <w:rFonts w:ascii="Calibri" w:eastAsia="Calibri" w:hAnsi="Calibri" w:cs="Calibri"/>
          <w:color w:val="000000"/>
          <w:sz w:val="22"/>
          <w:szCs w:val="22"/>
        </w:rPr>
        <w:t>stanziale stabilità per i</w:t>
      </w:r>
      <w:r w:rsidR="00363A23">
        <w:rPr>
          <w:rFonts w:ascii="Calibri" w:eastAsia="Calibri" w:hAnsi="Calibri" w:cs="Calibri"/>
          <w:color w:val="000000"/>
          <w:sz w:val="22"/>
          <w:szCs w:val="22"/>
        </w:rPr>
        <w:t xml:space="preserve"> traffici dal P</w:t>
      </w:r>
      <w:r w:rsidR="00363A23" w:rsidRPr="00363A23">
        <w:rPr>
          <w:rFonts w:ascii="Calibri" w:eastAsia="Calibri" w:hAnsi="Calibri" w:cs="Calibri"/>
          <w:color w:val="000000"/>
          <w:sz w:val="22"/>
          <w:szCs w:val="22"/>
        </w:rPr>
        <w:t>orto di Marina di Carrara (4,83 milioni di tonnellate</w:t>
      </w:r>
      <w:r w:rsidR="00EC2036">
        <w:rPr>
          <w:rFonts w:ascii="Calibri" w:eastAsia="Calibri" w:hAnsi="Calibri" w:cs="Calibri"/>
          <w:color w:val="000000"/>
          <w:sz w:val="22"/>
          <w:szCs w:val="22"/>
        </w:rPr>
        <w:t xml:space="preserve"> nel 2025</w:t>
      </w:r>
      <w:r w:rsidR="00672E7D">
        <w:rPr>
          <w:rFonts w:ascii="Calibri" w:eastAsia="Calibri" w:hAnsi="Calibri" w:cs="Calibri"/>
          <w:color w:val="000000"/>
          <w:sz w:val="22"/>
          <w:szCs w:val="22"/>
        </w:rPr>
        <w:t>)</w:t>
      </w:r>
      <w:r w:rsidR="00363A23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7CEC233" w14:textId="77777777" w:rsidR="00A055BC" w:rsidRPr="00A055BC" w:rsidRDefault="00A055BC" w:rsidP="00A055BC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A055BC">
        <w:rPr>
          <w:rFonts w:ascii="Calibri" w:eastAsia="Calibri" w:hAnsi="Calibri" w:cs="Calibri"/>
          <w:b/>
          <w:bCs/>
          <w:color w:val="000000"/>
          <w:sz w:val="22"/>
          <w:szCs w:val="22"/>
        </w:rPr>
        <w:t>Provincia di Pisa</w:t>
      </w:r>
    </w:p>
    <w:p w14:paraId="39FAC643" w14:textId="30FE713A" w:rsidR="00A055BC" w:rsidRDefault="00A055BC" w:rsidP="00B10DA1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Calibri" w:hAnsi="Calibri" w:cs="Calibri"/>
          <w:color w:val="000000"/>
          <w:sz w:val="22"/>
          <w:szCs w:val="22"/>
        </w:rPr>
      </w:pP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Nel 2025 l’economia della provincia di Pisa 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 xml:space="preserve">è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cresc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>iuta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dello 0,2%, in rallentamento rispetto al 2024 e al di sotto della media toscana e nazionale, con un PIL pari a</w:t>
      </w:r>
      <w:r w:rsidR="00B10DA1">
        <w:rPr>
          <w:rFonts w:ascii="Calibri" w:eastAsia="Calibri" w:hAnsi="Calibri" w:cs="Calibri"/>
          <w:color w:val="000000"/>
          <w:sz w:val="22"/>
          <w:szCs w:val="22"/>
        </w:rPr>
        <w:t>l 45% del totale dell’Area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EE622A">
        <w:rPr>
          <w:rFonts w:ascii="Calibri" w:eastAsia="Calibri" w:hAnsi="Calibri" w:cs="Calibri"/>
          <w:color w:val="000000"/>
          <w:sz w:val="22"/>
          <w:szCs w:val="22"/>
        </w:rPr>
        <w:t>La tenuta del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l’economia provinciale </w:t>
      </w:r>
      <w:r w:rsidR="00EE622A">
        <w:rPr>
          <w:rFonts w:ascii="Calibri" w:eastAsia="Calibri" w:hAnsi="Calibri" w:cs="Calibri"/>
          <w:color w:val="000000"/>
          <w:sz w:val="22"/>
          <w:szCs w:val="22"/>
        </w:rPr>
        <w:t>è dipesa s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oprattutto </w:t>
      </w:r>
      <w:r w:rsidR="00EE622A">
        <w:rPr>
          <w:rFonts w:ascii="Calibri" w:eastAsia="Calibri" w:hAnsi="Calibri" w:cs="Calibri"/>
          <w:color w:val="000000"/>
          <w:sz w:val="22"/>
          <w:szCs w:val="22"/>
        </w:rPr>
        <w:t>da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i servizi (+0,1%), che rappresentano oltre il 70% del valore aggiunto, </w:t>
      </w:r>
      <w:r w:rsidR="00EE622A">
        <w:rPr>
          <w:rFonts w:ascii="Calibri" w:eastAsia="Calibri" w:hAnsi="Calibri" w:cs="Calibri"/>
          <w:color w:val="000000"/>
          <w:sz w:val="22"/>
          <w:szCs w:val="22"/>
        </w:rPr>
        <w:t>affiancati da un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’industria</w:t>
      </w:r>
      <w:r w:rsidR="00EE622A">
        <w:rPr>
          <w:rFonts w:ascii="Calibri" w:eastAsia="Calibri" w:hAnsi="Calibri" w:cs="Calibri"/>
          <w:color w:val="000000"/>
          <w:sz w:val="22"/>
          <w:szCs w:val="22"/>
        </w:rPr>
        <w:t xml:space="preserve"> tornata in positivo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(+0,9%). 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>Hanno</w:t>
      </w:r>
      <w:r w:rsidR="00672E7D">
        <w:rPr>
          <w:rFonts w:ascii="Calibri" w:eastAsia="Calibri" w:hAnsi="Calibri" w:cs="Calibri"/>
          <w:color w:val="000000"/>
          <w:sz w:val="22"/>
          <w:szCs w:val="22"/>
        </w:rPr>
        <w:t xml:space="preserve"> invece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 xml:space="preserve"> confermato dati in f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lessione </w:t>
      </w:r>
      <w:r w:rsidR="00743661">
        <w:rPr>
          <w:rFonts w:ascii="Calibri" w:eastAsia="Calibri" w:hAnsi="Calibri" w:cs="Calibri"/>
          <w:color w:val="000000"/>
          <w:sz w:val="22"/>
          <w:szCs w:val="22"/>
        </w:rPr>
        <w:t xml:space="preserve">le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costruzioni (-2,4%) e </w:t>
      </w:r>
      <w:r w:rsidR="00743661" w:rsidRPr="008D0E19">
        <w:rPr>
          <w:rFonts w:ascii="Calibri" w:eastAsia="Calibri" w:hAnsi="Calibri" w:cs="Calibri"/>
          <w:sz w:val="22"/>
          <w:szCs w:val="22"/>
        </w:rPr>
        <w:t>l’</w:t>
      </w:r>
      <w:r w:rsidRPr="008D0E19">
        <w:rPr>
          <w:rFonts w:ascii="Calibri" w:eastAsia="Calibri" w:hAnsi="Calibri" w:cs="Calibri"/>
          <w:sz w:val="22"/>
          <w:szCs w:val="22"/>
        </w:rPr>
        <w:t>agricoltura (-3,8%)</w:t>
      </w:r>
      <w:r w:rsidR="00EE622A" w:rsidRPr="008D0E19">
        <w:rPr>
          <w:rFonts w:ascii="Calibri" w:eastAsia="Calibri" w:hAnsi="Calibri" w:cs="Calibri"/>
          <w:sz w:val="22"/>
          <w:szCs w:val="22"/>
        </w:rPr>
        <w:t xml:space="preserve">. </w:t>
      </w:r>
      <w:r w:rsidR="008D0E19">
        <w:rPr>
          <w:rFonts w:ascii="Calibri" w:eastAsia="Calibri" w:hAnsi="Calibri" w:cs="Calibri"/>
          <w:sz w:val="22"/>
          <w:szCs w:val="22"/>
        </w:rPr>
        <w:t>L</w:t>
      </w:r>
      <w:r w:rsidRPr="008D0E19">
        <w:rPr>
          <w:rFonts w:ascii="Calibri" w:eastAsia="Calibri" w:hAnsi="Calibri" w:cs="Calibri"/>
          <w:sz w:val="22"/>
          <w:szCs w:val="22"/>
        </w:rPr>
        <w:t xml:space="preserve">’export provinciale </w:t>
      </w:r>
      <w:r w:rsidR="0008769D" w:rsidRPr="008D0E19">
        <w:rPr>
          <w:rFonts w:ascii="Calibri" w:eastAsia="Calibri" w:hAnsi="Calibri" w:cs="Calibri"/>
          <w:sz w:val="22"/>
          <w:szCs w:val="22"/>
        </w:rPr>
        <w:t xml:space="preserve">è </w:t>
      </w:r>
      <w:r w:rsidRPr="008D0E19">
        <w:rPr>
          <w:rFonts w:ascii="Calibri" w:eastAsia="Calibri" w:hAnsi="Calibri" w:cs="Calibri"/>
          <w:sz w:val="22"/>
          <w:szCs w:val="22"/>
        </w:rPr>
        <w:t>torna</w:t>
      </w:r>
      <w:r w:rsidR="0008769D" w:rsidRPr="008D0E19">
        <w:rPr>
          <w:rFonts w:ascii="Calibri" w:eastAsia="Calibri" w:hAnsi="Calibri" w:cs="Calibri"/>
          <w:sz w:val="22"/>
          <w:szCs w:val="22"/>
        </w:rPr>
        <w:t>to</w:t>
      </w:r>
      <w:r w:rsidRPr="008D0E19">
        <w:rPr>
          <w:rFonts w:ascii="Calibri" w:eastAsia="Calibri" w:hAnsi="Calibri" w:cs="Calibri"/>
          <w:sz w:val="22"/>
          <w:szCs w:val="22"/>
        </w:rPr>
        <w:t xml:space="preserve"> a crescere (+2%) raggiungendo</w:t>
      </w:r>
      <w:r w:rsidR="00EE622A" w:rsidRPr="008D0E19">
        <w:rPr>
          <w:rFonts w:ascii="Calibri" w:eastAsia="Calibri" w:hAnsi="Calibri" w:cs="Calibri"/>
          <w:sz w:val="22"/>
          <w:szCs w:val="22"/>
        </w:rPr>
        <w:t xml:space="preserve"> i</w:t>
      </w:r>
      <w:r w:rsidRPr="008D0E19">
        <w:rPr>
          <w:rFonts w:ascii="Calibri" w:eastAsia="Calibri" w:hAnsi="Calibri" w:cs="Calibri"/>
          <w:sz w:val="22"/>
          <w:szCs w:val="22"/>
        </w:rPr>
        <w:t xml:space="preserve"> 3,</w:t>
      </w:r>
      <w:r w:rsidR="00743661" w:rsidRPr="008D0E19">
        <w:rPr>
          <w:rFonts w:ascii="Calibri" w:eastAsia="Calibri" w:hAnsi="Calibri" w:cs="Calibri"/>
          <w:sz w:val="22"/>
          <w:szCs w:val="22"/>
        </w:rPr>
        <w:t>4</w:t>
      </w:r>
      <w:r w:rsidRPr="008D0E19">
        <w:rPr>
          <w:rFonts w:ascii="Calibri" w:eastAsia="Calibri" w:hAnsi="Calibri" w:cs="Calibri"/>
          <w:sz w:val="22"/>
          <w:szCs w:val="22"/>
        </w:rPr>
        <w:t xml:space="preserve"> miliardi di euro, sostenuto da</w:t>
      </w:r>
      <w:r w:rsidR="00743661" w:rsidRPr="008D0E19">
        <w:rPr>
          <w:rFonts w:ascii="Calibri" w:eastAsia="Calibri" w:hAnsi="Calibri" w:cs="Calibri"/>
          <w:sz w:val="22"/>
          <w:szCs w:val="22"/>
        </w:rPr>
        <w:t xml:space="preserve">gli incrementi di </w:t>
      </w:r>
      <w:r w:rsidRPr="008D0E19">
        <w:rPr>
          <w:rFonts w:ascii="Calibri" w:eastAsia="Calibri" w:hAnsi="Calibri" w:cs="Calibri"/>
          <w:sz w:val="22"/>
          <w:szCs w:val="22"/>
        </w:rPr>
        <w:t>farmaceutica e abbigliamento, mentre</w:t>
      </w:r>
      <w:r w:rsidR="0008769D" w:rsidRPr="008D0E19">
        <w:rPr>
          <w:rFonts w:ascii="Calibri" w:eastAsia="Calibri" w:hAnsi="Calibri" w:cs="Calibri"/>
          <w:sz w:val="22"/>
          <w:szCs w:val="22"/>
        </w:rPr>
        <w:t xml:space="preserve"> nei</w:t>
      </w:r>
      <w:r w:rsidRPr="008D0E19">
        <w:rPr>
          <w:rFonts w:ascii="Calibri" w:eastAsia="Calibri" w:hAnsi="Calibri" w:cs="Calibri"/>
          <w:sz w:val="22"/>
          <w:szCs w:val="22"/>
        </w:rPr>
        <w:t xml:space="preserve"> comparti tradizionali</w:t>
      </w:r>
      <w:r w:rsidR="0008769D" w:rsidRPr="008D0E19">
        <w:rPr>
          <w:rFonts w:ascii="Calibri" w:eastAsia="Calibri" w:hAnsi="Calibri" w:cs="Calibri"/>
          <w:sz w:val="22"/>
          <w:szCs w:val="22"/>
        </w:rPr>
        <w:t xml:space="preserve"> si sono co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>nfermate le difficoltà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: cicli e motocicli (-11,2%), pur confermandosi primo settore esportatore (631 milioni di euro), cuoio (-5,8%) e </w:t>
      </w:r>
      <w:r w:rsidRPr="000858E2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calzature (-5,9%). Le importazioni </w:t>
      </w:r>
      <w:r w:rsidR="0008769D" w:rsidRPr="000858E2">
        <w:rPr>
          <w:rFonts w:ascii="Calibri" w:eastAsia="Calibri" w:hAnsi="Calibri" w:cs="Calibri"/>
          <w:color w:val="000000"/>
          <w:sz w:val="22"/>
          <w:szCs w:val="22"/>
        </w:rPr>
        <w:t xml:space="preserve">sono </w:t>
      </w:r>
      <w:r w:rsidRPr="000858E2">
        <w:rPr>
          <w:rFonts w:ascii="Calibri" w:eastAsia="Calibri" w:hAnsi="Calibri" w:cs="Calibri"/>
          <w:color w:val="000000"/>
          <w:sz w:val="22"/>
          <w:szCs w:val="22"/>
        </w:rPr>
        <w:t>aumenta</w:t>
      </w:r>
      <w:r w:rsidR="0008769D" w:rsidRPr="000858E2">
        <w:rPr>
          <w:rFonts w:ascii="Calibri" w:eastAsia="Calibri" w:hAnsi="Calibri" w:cs="Calibri"/>
          <w:color w:val="000000"/>
          <w:sz w:val="22"/>
          <w:szCs w:val="22"/>
        </w:rPr>
        <w:t>te</w:t>
      </w:r>
      <w:r w:rsidRPr="000858E2">
        <w:rPr>
          <w:rFonts w:ascii="Calibri" w:eastAsia="Calibri" w:hAnsi="Calibri" w:cs="Calibri"/>
          <w:color w:val="000000"/>
          <w:sz w:val="22"/>
          <w:szCs w:val="22"/>
        </w:rPr>
        <w:t xml:space="preserve"> del 3,7% a 2,1 miliardi di euro.</w:t>
      </w:r>
      <w:r w:rsidR="00B10DA1" w:rsidRPr="000858E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0858E2">
        <w:rPr>
          <w:rFonts w:ascii="Calibri" w:eastAsia="Calibri" w:hAnsi="Calibri" w:cs="Calibri"/>
          <w:color w:val="000000"/>
          <w:sz w:val="22"/>
          <w:szCs w:val="22"/>
        </w:rPr>
        <w:t xml:space="preserve">Il credito </w:t>
      </w:r>
      <w:r w:rsidR="0008769D" w:rsidRPr="000858E2">
        <w:rPr>
          <w:rFonts w:ascii="Calibri" w:eastAsia="Calibri" w:hAnsi="Calibri" w:cs="Calibri"/>
          <w:color w:val="000000"/>
          <w:sz w:val="22"/>
          <w:szCs w:val="22"/>
        </w:rPr>
        <w:t xml:space="preserve">ha evidenziato </w:t>
      </w:r>
      <w:r w:rsidR="00B10DA1" w:rsidRPr="000858E2">
        <w:rPr>
          <w:rFonts w:ascii="Calibri" w:eastAsia="Calibri" w:hAnsi="Calibri" w:cs="Calibri"/>
          <w:sz w:val="22"/>
          <w:szCs w:val="22"/>
        </w:rPr>
        <w:t xml:space="preserve">una </w:t>
      </w:r>
      <w:r w:rsidR="0008769D" w:rsidRPr="000858E2">
        <w:rPr>
          <w:rFonts w:ascii="Calibri" w:eastAsia="Calibri" w:hAnsi="Calibri" w:cs="Calibri"/>
          <w:sz w:val="22"/>
          <w:szCs w:val="22"/>
        </w:rPr>
        <w:t>sostanziale stabilità</w:t>
      </w:r>
      <w:r w:rsidR="00B10DA1" w:rsidRPr="000858E2">
        <w:rPr>
          <w:rFonts w:ascii="Calibri" w:eastAsia="Calibri" w:hAnsi="Calibri" w:cs="Calibri"/>
          <w:sz w:val="22"/>
          <w:szCs w:val="22"/>
        </w:rPr>
        <w:t xml:space="preserve">, con </w:t>
      </w:r>
      <w:r w:rsidRPr="000858E2">
        <w:rPr>
          <w:rFonts w:ascii="Calibri" w:eastAsia="Calibri" w:hAnsi="Calibri" w:cs="Calibri"/>
          <w:sz w:val="22"/>
          <w:szCs w:val="22"/>
        </w:rPr>
        <w:t xml:space="preserve">gli impieghi vivi </w:t>
      </w:r>
      <w:r w:rsidR="0008769D" w:rsidRPr="000858E2">
        <w:rPr>
          <w:rFonts w:ascii="Calibri" w:eastAsia="Calibri" w:hAnsi="Calibri" w:cs="Calibri"/>
          <w:sz w:val="22"/>
          <w:szCs w:val="22"/>
        </w:rPr>
        <w:t>attestati</w:t>
      </w:r>
      <w:r w:rsidRPr="000858E2">
        <w:rPr>
          <w:rFonts w:ascii="Calibri" w:eastAsia="Calibri" w:hAnsi="Calibri" w:cs="Calibri"/>
          <w:sz w:val="22"/>
          <w:szCs w:val="22"/>
        </w:rPr>
        <w:t xml:space="preserve"> a 9,</w:t>
      </w:r>
      <w:r w:rsidR="00672E7D" w:rsidRPr="000858E2">
        <w:rPr>
          <w:rFonts w:ascii="Calibri" w:eastAsia="Calibri" w:hAnsi="Calibri" w:cs="Calibri"/>
          <w:sz w:val="22"/>
          <w:szCs w:val="22"/>
        </w:rPr>
        <w:t>4</w:t>
      </w:r>
      <w:r w:rsidRPr="000858E2">
        <w:rPr>
          <w:rFonts w:ascii="Calibri" w:eastAsia="Calibri" w:hAnsi="Calibri" w:cs="Calibri"/>
          <w:sz w:val="22"/>
          <w:szCs w:val="22"/>
        </w:rPr>
        <w:t xml:space="preserve"> miliardi di euro (+0,</w:t>
      </w:r>
      <w:r w:rsidR="00596E1D">
        <w:rPr>
          <w:rFonts w:ascii="Calibri" w:eastAsia="Calibri" w:hAnsi="Calibri" w:cs="Calibri"/>
          <w:sz w:val="22"/>
          <w:szCs w:val="22"/>
        </w:rPr>
        <w:t>3</w:t>
      </w:r>
      <w:r w:rsidRPr="000858E2">
        <w:rPr>
          <w:rFonts w:ascii="Calibri" w:eastAsia="Calibri" w:hAnsi="Calibri" w:cs="Calibri"/>
          <w:sz w:val="22"/>
          <w:szCs w:val="22"/>
        </w:rPr>
        <w:t xml:space="preserve">%), ma i finanziamenti </w:t>
      </w:r>
      <w:r w:rsidR="008D7D60" w:rsidRPr="000858E2">
        <w:rPr>
          <w:rFonts w:ascii="Calibri" w:eastAsia="Calibri" w:hAnsi="Calibri" w:cs="Calibri"/>
          <w:sz w:val="22"/>
          <w:szCs w:val="22"/>
        </w:rPr>
        <w:t xml:space="preserve">alle imprese </w:t>
      </w:r>
      <w:r w:rsidR="00672E7D" w:rsidRPr="000858E2">
        <w:rPr>
          <w:rFonts w:ascii="Calibri" w:eastAsia="Calibri" w:hAnsi="Calibri" w:cs="Calibri"/>
          <w:sz w:val="22"/>
          <w:szCs w:val="22"/>
        </w:rPr>
        <w:t>scesi</w:t>
      </w:r>
      <w:r w:rsidRPr="000858E2">
        <w:rPr>
          <w:rFonts w:ascii="Calibri" w:eastAsia="Calibri" w:hAnsi="Calibri" w:cs="Calibri"/>
          <w:sz w:val="22"/>
          <w:szCs w:val="22"/>
        </w:rPr>
        <w:t xml:space="preserve"> del 2,5%, con flessioni nei servizi (-5,5%) e nell’artigianato (-</w:t>
      </w:r>
      <w:r w:rsidR="000858E2" w:rsidRPr="000858E2">
        <w:rPr>
          <w:rFonts w:ascii="Calibri" w:eastAsia="Calibri" w:hAnsi="Calibri" w:cs="Calibri"/>
          <w:sz w:val="22"/>
          <w:szCs w:val="22"/>
        </w:rPr>
        <w:t>8</w:t>
      </w:r>
      <w:r w:rsidRPr="000858E2">
        <w:rPr>
          <w:rFonts w:ascii="Calibri" w:eastAsia="Calibri" w:hAnsi="Calibri" w:cs="Calibri"/>
          <w:sz w:val="22"/>
          <w:szCs w:val="22"/>
        </w:rPr>
        <w:t xml:space="preserve">,8%). </w:t>
      </w:r>
      <w:r w:rsidR="0008769D" w:rsidRPr="000858E2">
        <w:rPr>
          <w:rFonts w:ascii="Calibri" w:eastAsia="Calibri" w:hAnsi="Calibri" w:cs="Calibri"/>
          <w:sz w:val="22"/>
          <w:szCs w:val="22"/>
        </w:rPr>
        <w:t xml:space="preserve">Sono </w:t>
      </w:r>
      <w:r w:rsidR="00A63C62" w:rsidRPr="000858E2">
        <w:rPr>
          <w:rFonts w:ascii="Calibri" w:eastAsia="Calibri" w:hAnsi="Calibri" w:cs="Calibri"/>
          <w:sz w:val="22"/>
          <w:szCs w:val="22"/>
        </w:rPr>
        <w:t xml:space="preserve">invece </w:t>
      </w:r>
      <w:r w:rsidR="0008769D" w:rsidRPr="000858E2">
        <w:rPr>
          <w:rFonts w:ascii="Calibri" w:eastAsia="Calibri" w:hAnsi="Calibri" w:cs="Calibri"/>
          <w:sz w:val="22"/>
          <w:szCs w:val="22"/>
        </w:rPr>
        <w:t>aumentati</w:t>
      </w:r>
      <w:r w:rsidRPr="000858E2">
        <w:rPr>
          <w:rFonts w:ascii="Calibri" w:eastAsia="Calibri" w:hAnsi="Calibri" w:cs="Calibri"/>
          <w:sz w:val="22"/>
          <w:szCs w:val="22"/>
        </w:rPr>
        <w:t xml:space="preserve"> i mutui alle famiglie </w:t>
      </w:r>
      <w:r w:rsidRPr="000858E2">
        <w:rPr>
          <w:rFonts w:ascii="Calibri" w:eastAsia="Calibri" w:hAnsi="Calibri" w:cs="Calibri"/>
          <w:color w:val="000000"/>
          <w:sz w:val="22"/>
          <w:szCs w:val="22"/>
        </w:rPr>
        <w:t xml:space="preserve">(+56% le nuove erogazioni). Il tasso di deterioramento del credito </w:t>
      </w:r>
      <w:r w:rsidR="0008769D" w:rsidRPr="000858E2">
        <w:rPr>
          <w:rFonts w:ascii="Calibri" w:eastAsia="Calibri" w:hAnsi="Calibri" w:cs="Calibri"/>
          <w:color w:val="000000"/>
          <w:sz w:val="22"/>
          <w:szCs w:val="22"/>
        </w:rPr>
        <w:t xml:space="preserve">è </w:t>
      </w:r>
      <w:r w:rsidRPr="000858E2">
        <w:rPr>
          <w:rFonts w:ascii="Calibri" w:eastAsia="Calibri" w:hAnsi="Calibri" w:cs="Calibri"/>
          <w:color w:val="000000"/>
          <w:sz w:val="22"/>
          <w:szCs w:val="22"/>
        </w:rPr>
        <w:t>sal</w:t>
      </w:r>
      <w:r w:rsidR="0008769D" w:rsidRPr="000858E2">
        <w:rPr>
          <w:rFonts w:ascii="Calibri" w:eastAsia="Calibri" w:hAnsi="Calibri" w:cs="Calibri"/>
          <w:color w:val="000000"/>
          <w:sz w:val="22"/>
          <w:szCs w:val="22"/>
        </w:rPr>
        <w:t>ito</w:t>
      </w:r>
      <w:r w:rsidRPr="000858E2">
        <w:rPr>
          <w:rFonts w:ascii="Calibri" w:eastAsia="Calibri" w:hAnsi="Calibri" w:cs="Calibri"/>
          <w:color w:val="000000"/>
          <w:sz w:val="22"/>
          <w:szCs w:val="22"/>
        </w:rPr>
        <w:t xml:space="preserve"> all’1,85%,</w:t>
      </w:r>
      <w:r w:rsidR="00A63C62" w:rsidRPr="000858E2">
        <w:rPr>
          <w:rFonts w:ascii="Calibri" w:eastAsia="Calibri" w:hAnsi="Calibri" w:cs="Calibri"/>
          <w:color w:val="000000"/>
          <w:sz w:val="22"/>
          <w:szCs w:val="22"/>
        </w:rPr>
        <w:t xml:space="preserve"> sopra la media regionale e nazionale, </w:t>
      </w:r>
      <w:r w:rsidRPr="000858E2">
        <w:rPr>
          <w:rFonts w:ascii="Calibri" w:eastAsia="Calibri" w:hAnsi="Calibri" w:cs="Calibri"/>
          <w:color w:val="000000"/>
          <w:sz w:val="22"/>
          <w:szCs w:val="22"/>
        </w:rPr>
        <w:t xml:space="preserve">mentre gli sportelli bancari </w:t>
      </w:r>
      <w:r w:rsidR="0008769D" w:rsidRPr="000858E2">
        <w:rPr>
          <w:rFonts w:ascii="Calibri" w:eastAsia="Calibri" w:hAnsi="Calibri" w:cs="Calibri"/>
          <w:color w:val="000000"/>
          <w:sz w:val="22"/>
          <w:szCs w:val="22"/>
        </w:rPr>
        <w:t xml:space="preserve">sono </w:t>
      </w:r>
      <w:r w:rsidRPr="000858E2">
        <w:rPr>
          <w:rFonts w:ascii="Calibri" w:eastAsia="Calibri" w:hAnsi="Calibri" w:cs="Calibri"/>
          <w:color w:val="000000"/>
          <w:sz w:val="22"/>
          <w:szCs w:val="22"/>
        </w:rPr>
        <w:t>sce</w:t>
      </w:r>
      <w:r w:rsidR="0008769D" w:rsidRPr="000858E2">
        <w:rPr>
          <w:rFonts w:ascii="Calibri" w:eastAsia="Calibri" w:hAnsi="Calibri" w:cs="Calibri"/>
          <w:color w:val="000000"/>
          <w:sz w:val="22"/>
          <w:szCs w:val="22"/>
        </w:rPr>
        <w:t>si</w:t>
      </w:r>
      <w:r w:rsidRPr="000858E2">
        <w:rPr>
          <w:rFonts w:ascii="Calibri" w:eastAsia="Calibri" w:hAnsi="Calibri" w:cs="Calibri"/>
          <w:color w:val="000000"/>
          <w:sz w:val="22"/>
          <w:szCs w:val="22"/>
        </w:rPr>
        <w:t xml:space="preserve"> a 184 (-10). Nel mercato del lavoro, gli occupati </w:t>
      </w:r>
      <w:r w:rsidR="0008769D" w:rsidRPr="000858E2">
        <w:rPr>
          <w:rFonts w:ascii="Calibri" w:eastAsia="Calibri" w:hAnsi="Calibri" w:cs="Calibri"/>
          <w:color w:val="000000"/>
          <w:sz w:val="22"/>
          <w:szCs w:val="22"/>
        </w:rPr>
        <w:t>hanno raggiunto quota</w:t>
      </w:r>
      <w:r w:rsidRPr="000858E2">
        <w:rPr>
          <w:rFonts w:ascii="Calibri" w:eastAsia="Calibri" w:hAnsi="Calibri" w:cs="Calibri"/>
          <w:color w:val="000000"/>
          <w:sz w:val="22"/>
          <w:szCs w:val="22"/>
        </w:rPr>
        <w:t xml:space="preserve"> 191 mila unità (+2,7%), mentre il tasso di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disoccupazione 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>è diminuito fermandosi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al 4,3% (dal 4,8% del 2024). 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>In</w:t>
      </w:r>
      <w:r w:rsidR="00A63C62">
        <w:rPr>
          <w:rFonts w:ascii="Calibri" w:eastAsia="Calibri" w:hAnsi="Calibri" w:cs="Calibri"/>
          <w:color w:val="000000"/>
          <w:sz w:val="22"/>
          <w:szCs w:val="22"/>
        </w:rPr>
        <w:t xml:space="preserve"> lieve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 xml:space="preserve"> peggioramento,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tuttavia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il mismatch tra domanda e offerta, con le assunzioni di difficile reperimento che 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 xml:space="preserve">hanno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raggiun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 xml:space="preserve">to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il 52%. La Cassa Integrazione Guadagni 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 xml:space="preserve">ha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supera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>to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6 milioni di ore (+30,4%), segnalando criticità soprattutto ne</w:t>
      </w:r>
      <w:r w:rsidR="00B10DA1">
        <w:rPr>
          <w:rFonts w:ascii="Calibri" w:eastAsia="Calibri" w:hAnsi="Calibri" w:cs="Calibri"/>
          <w:color w:val="000000"/>
          <w:sz w:val="22"/>
          <w:szCs w:val="22"/>
        </w:rPr>
        <w:t>l cuoio e ne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i motocicli. Il tessuto imprenditoriale 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 xml:space="preserve">ha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mostra</w:t>
      </w:r>
      <w:r w:rsidR="002F6D83">
        <w:rPr>
          <w:rFonts w:ascii="Calibri" w:eastAsia="Calibri" w:hAnsi="Calibri" w:cs="Calibri"/>
          <w:color w:val="000000"/>
          <w:sz w:val="22"/>
          <w:szCs w:val="22"/>
        </w:rPr>
        <w:t>to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una sostanziale tenuta: le imprese registrate </w:t>
      </w:r>
      <w:r w:rsidR="00B10DA1">
        <w:rPr>
          <w:rFonts w:ascii="Calibri" w:eastAsia="Calibri" w:hAnsi="Calibri" w:cs="Calibri"/>
          <w:color w:val="000000"/>
          <w:sz w:val="22"/>
          <w:szCs w:val="22"/>
        </w:rPr>
        <w:t xml:space="preserve">sono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sal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>ite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a 41.002 (+0,6%), trainate dalle società di capitale, mentre le </w:t>
      </w:r>
      <w:r w:rsidRPr="00A63C62">
        <w:rPr>
          <w:rFonts w:ascii="Calibri" w:eastAsia="Calibri" w:hAnsi="Calibri" w:cs="Calibri"/>
          <w:color w:val="000000"/>
          <w:sz w:val="22"/>
          <w:szCs w:val="22"/>
        </w:rPr>
        <w:t>imprese under 35 diminui</w:t>
      </w:r>
      <w:r w:rsidR="0008769D" w:rsidRPr="00A63C62">
        <w:rPr>
          <w:rFonts w:ascii="Calibri" w:eastAsia="Calibri" w:hAnsi="Calibri" w:cs="Calibri"/>
          <w:color w:val="000000"/>
          <w:sz w:val="22"/>
          <w:szCs w:val="22"/>
        </w:rPr>
        <w:t>te</w:t>
      </w:r>
      <w:r w:rsidRPr="00A63C62">
        <w:rPr>
          <w:rFonts w:ascii="Calibri" w:eastAsia="Calibri" w:hAnsi="Calibri" w:cs="Calibri"/>
          <w:color w:val="000000"/>
          <w:sz w:val="22"/>
          <w:szCs w:val="22"/>
        </w:rPr>
        <w:t xml:space="preserve"> del</w:t>
      </w:r>
      <w:r w:rsidR="00672E7D">
        <w:rPr>
          <w:rFonts w:ascii="Calibri" w:eastAsia="Calibri" w:hAnsi="Calibri" w:cs="Calibri"/>
          <w:color w:val="000000"/>
          <w:sz w:val="22"/>
          <w:szCs w:val="22"/>
        </w:rPr>
        <w:t>l’</w:t>
      </w:r>
      <w:r w:rsidRPr="00A63C62">
        <w:rPr>
          <w:rFonts w:ascii="Calibri" w:eastAsia="Calibri" w:hAnsi="Calibri" w:cs="Calibri"/>
          <w:color w:val="000000"/>
          <w:sz w:val="22"/>
          <w:szCs w:val="22"/>
        </w:rPr>
        <w:t>1,7%. Nel commercio, le vendite</w:t>
      </w:r>
      <w:r w:rsidR="00A63C62" w:rsidRPr="00A63C62">
        <w:rPr>
          <w:rFonts w:ascii="Calibri" w:eastAsia="Calibri" w:hAnsi="Calibri" w:cs="Calibri"/>
          <w:color w:val="000000"/>
          <w:sz w:val="22"/>
          <w:szCs w:val="22"/>
        </w:rPr>
        <w:t xml:space="preserve"> al dettaglio</w:t>
      </w:r>
      <w:r w:rsidRPr="00A63C6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8769D" w:rsidRPr="00A63C62">
        <w:rPr>
          <w:rFonts w:ascii="Calibri" w:eastAsia="Calibri" w:hAnsi="Calibri" w:cs="Calibri"/>
          <w:color w:val="000000"/>
          <w:sz w:val="22"/>
          <w:szCs w:val="22"/>
        </w:rPr>
        <w:t xml:space="preserve">sono </w:t>
      </w:r>
      <w:r w:rsidR="00A63C62" w:rsidRPr="00A63C62">
        <w:rPr>
          <w:rFonts w:ascii="Calibri" w:eastAsia="Calibri" w:hAnsi="Calibri" w:cs="Calibri"/>
          <w:color w:val="000000"/>
          <w:sz w:val="22"/>
          <w:szCs w:val="22"/>
        </w:rPr>
        <w:t>cresciute</w:t>
      </w:r>
      <w:r w:rsidRPr="00A63C62">
        <w:rPr>
          <w:rFonts w:ascii="Calibri" w:eastAsia="Calibri" w:hAnsi="Calibri" w:cs="Calibri"/>
          <w:color w:val="000000"/>
          <w:sz w:val="22"/>
          <w:szCs w:val="22"/>
        </w:rPr>
        <w:t xml:space="preserve"> dello 0,7% in valore, ma </w:t>
      </w:r>
      <w:r w:rsidR="00D80D45" w:rsidRPr="00A63C62">
        <w:rPr>
          <w:rFonts w:ascii="Calibri" w:eastAsia="Calibri" w:hAnsi="Calibri" w:cs="Calibri"/>
          <w:color w:val="000000"/>
          <w:sz w:val="22"/>
          <w:szCs w:val="22"/>
        </w:rPr>
        <w:t xml:space="preserve">sono </w:t>
      </w:r>
      <w:r w:rsidRPr="00A63C62">
        <w:rPr>
          <w:rFonts w:ascii="Calibri" w:eastAsia="Calibri" w:hAnsi="Calibri" w:cs="Calibri"/>
          <w:color w:val="000000"/>
          <w:sz w:val="22"/>
          <w:szCs w:val="22"/>
        </w:rPr>
        <w:t>cala</w:t>
      </w:r>
      <w:r w:rsidR="0008769D" w:rsidRPr="00A63C62">
        <w:rPr>
          <w:rFonts w:ascii="Calibri" w:eastAsia="Calibri" w:hAnsi="Calibri" w:cs="Calibri"/>
          <w:color w:val="000000"/>
          <w:sz w:val="22"/>
          <w:szCs w:val="22"/>
        </w:rPr>
        <w:t xml:space="preserve">te </w:t>
      </w:r>
      <w:r w:rsidRPr="00A63C62">
        <w:rPr>
          <w:rFonts w:ascii="Calibri" w:eastAsia="Calibri" w:hAnsi="Calibri" w:cs="Calibri"/>
          <w:color w:val="000000"/>
          <w:sz w:val="22"/>
          <w:szCs w:val="22"/>
        </w:rPr>
        <w:t>del</w:t>
      </w:r>
      <w:r w:rsidR="0008769D" w:rsidRPr="00A63C62">
        <w:rPr>
          <w:rFonts w:ascii="Calibri" w:eastAsia="Calibri" w:hAnsi="Calibri" w:cs="Calibri"/>
          <w:color w:val="000000"/>
          <w:sz w:val="22"/>
          <w:szCs w:val="22"/>
        </w:rPr>
        <w:t>lo</w:t>
      </w:r>
      <w:r w:rsidR="00B10DA1" w:rsidRPr="00A63C6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A63C62">
        <w:rPr>
          <w:rFonts w:ascii="Calibri" w:eastAsia="Calibri" w:hAnsi="Calibri" w:cs="Calibri"/>
          <w:color w:val="000000"/>
          <w:sz w:val="22"/>
          <w:szCs w:val="22"/>
        </w:rPr>
        <w:t xml:space="preserve">0,9% in termini reali, con </w:t>
      </w:r>
      <w:r w:rsidR="00A63C62" w:rsidRPr="00A63C62">
        <w:rPr>
          <w:rFonts w:ascii="Calibri" w:eastAsia="Calibri" w:hAnsi="Calibri" w:cs="Calibri"/>
          <w:color w:val="000000"/>
          <w:sz w:val="22"/>
          <w:szCs w:val="22"/>
        </w:rPr>
        <w:t xml:space="preserve">difficoltà per le piccole </w:t>
      </w:r>
      <w:r w:rsidRPr="00A63C62">
        <w:rPr>
          <w:rFonts w:ascii="Calibri" w:eastAsia="Calibri" w:hAnsi="Calibri" w:cs="Calibri"/>
          <w:color w:val="000000"/>
          <w:sz w:val="22"/>
          <w:szCs w:val="22"/>
        </w:rPr>
        <w:t>superfici.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Il turismo 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 xml:space="preserve">ha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mant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>enuto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una sostanziale stabilità</w:t>
      </w:r>
      <w:r w:rsidR="00B10DA1">
        <w:rPr>
          <w:rFonts w:ascii="Calibri" w:eastAsia="Calibri" w:hAnsi="Calibri" w:cs="Calibri"/>
          <w:color w:val="000000"/>
          <w:sz w:val="22"/>
          <w:szCs w:val="22"/>
        </w:rPr>
        <w:t xml:space="preserve">, con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1,3 milioni di arrivi</w:t>
      </w:r>
      <w:r w:rsidR="0084557B">
        <w:rPr>
          <w:rFonts w:ascii="Calibri" w:eastAsia="Calibri" w:hAnsi="Calibri" w:cs="Calibri"/>
          <w:color w:val="000000"/>
          <w:sz w:val="22"/>
          <w:szCs w:val="22"/>
        </w:rPr>
        <w:t xml:space="preserve"> ufficial</w:t>
      </w:r>
      <w:r w:rsidR="0011245F">
        <w:rPr>
          <w:rFonts w:ascii="Calibri" w:eastAsia="Calibri" w:hAnsi="Calibri" w:cs="Calibri"/>
          <w:color w:val="000000"/>
          <w:sz w:val="22"/>
          <w:szCs w:val="22"/>
        </w:rPr>
        <w:t>i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e 3,5 milioni di presenze</w:t>
      </w:r>
      <w:r w:rsidR="00603F1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(-1%), sostenut</w:t>
      </w:r>
      <w:r w:rsidR="0011245F">
        <w:rPr>
          <w:rFonts w:ascii="Calibri" w:eastAsia="Calibri" w:hAnsi="Calibri" w:cs="Calibri"/>
          <w:color w:val="000000"/>
          <w:sz w:val="22"/>
          <w:szCs w:val="22"/>
        </w:rPr>
        <w:t>o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dalla componente straniera (+0,8%) a fronte del calo di quella </w:t>
      </w:r>
      <w:r w:rsidR="00A63C62">
        <w:rPr>
          <w:rFonts w:ascii="Calibri" w:eastAsia="Calibri" w:hAnsi="Calibri" w:cs="Calibri"/>
          <w:color w:val="000000"/>
          <w:sz w:val="22"/>
          <w:szCs w:val="22"/>
        </w:rPr>
        <w:t>nazionale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(-3,7%). 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 xml:space="preserve">Netta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la crescita dell’Aeroporto Galilei</w:t>
      </w:r>
      <w:r w:rsidR="00A63C62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che nel 2025 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 xml:space="preserve">ha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sfiora</w:t>
      </w:r>
      <w:r w:rsidR="0008769D">
        <w:rPr>
          <w:rFonts w:ascii="Calibri" w:eastAsia="Calibri" w:hAnsi="Calibri" w:cs="Calibri"/>
          <w:color w:val="000000"/>
          <w:sz w:val="22"/>
          <w:szCs w:val="22"/>
        </w:rPr>
        <w:t>to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 xml:space="preserve"> i 6 milioni di passeggeri (+7,8%)</w:t>
      </w:r>
      <w:r w:rsidR="00A63C62">
        <w:rPr>
          <w:rFonts w:ascii="Calibri" w:eastAsia="Calibri" w:hAnsi="Calibri" w:cs="Calibri"/>
          <w:color w:val="000000"/>
          <w:sz w:val="22"/>
          <w:szCs w:val="22"/>
        </w:rPr>
        <w:t xml:space="preserve"> registrando il </w:t>
      </w:r>
      <w:r w:rsidRPr="00A055BC">
        <w:rPr>
          <w:rFonts w:ascii="Calibri" w:eastAsia="Calibri" w:hAnsi="Calibri" w:cs="Calibri"/>
          <w:color w:val="000000"/>
          <w:sz w:val="22"/>
          <w:szCs w:val="22"/>
        </w:rPr>
        <w:t>miglior risultato di sempre.</w:t>
      </w:r>
    </w:p>
    <w:p w14:paraId="1C974217" w14:textId="77777777" w:rsidR="004E7B3A" w:rsidRPr="009248B5" w:rsidRDefault="004E7B3A" w:rsidP="004E7B3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D20F6C">
        <w:rPr>
          <w:rFonts w:ascii="Calibri" w:eastAsia="Calibri" w:hAnsi="Calibri" w:cs="Calibri"/>
          <w:b/>
          <w:bCs/>
          <w:color w:val="000000"/>
          <w:sz w:val="22"/>
          <w:szCs w:val="22"/>
        </w:rPr>
        <w:t>La tavola rotonda: credito alle imprese, dalle criticità alle soluzioni operative</w:t>
      </w:r>
    </w:p>
    <w:p w14:paraId="6AAC6FCF" w14:textId="77777777" w:rsidR="003F73A5" w:rsidRDefault="003F73A5" w:rsidP="00D050F7">
      <w:pP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  <w:r w:rsidRPr="003F73A5">
        <w:rPr>
          <w:rFonts w:ascii="Calibri" w:eastAsia="Calibri" w:hAnsi="Calibri" w:cs="Calibri"/>
          <w:color w:val="000000"/>
          <w:sz w:val="22"/>
          <w:szCs w:val="22"/>
        </w:rPr>
        <w:t xml:space="preserve">La presentazione del Rapporto Economia 2026 ha offerto l’opportunità di approfondire il focus centrale dell’edizione di quest’anno: il credito come leva per sostenere investimenti, innovazione e competitività del sistema produttivo locale. </w:t>
      </w:r>
    </w:p>
    <w:p w14:paraId="3CEC3248" w14:textId="14D42260" w:rsidR="003F73A5" w:rsidRDefault="004E7B3A" w:rsidP="00FF101B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Dopo l’introduzione del dott. </w:t>
      </w:r>
      <w:r w:rsidRPr="003F73A5">
        <w:rPr>
          <w:rFonts w:ascii="Calibri" w:eastAsia="Calibri" w:hAnsi="Calibri" w:cs="Calibri"/>
          <w:color w:val="000000"/>
          <w:sz w:val="22"/>
          <w:szCs w:val="22"/>
        </w:rPr>
        <w:t>Giuliano Dini, già Direttore della filiale di Lucca della Banca d’Italia, che ha offerto una lettura del quadro finanziario e delle principali dinamiche del credito nella Toscana Nord-Ovest</w:t>
      </w:r>
      <w:r w:rsidR="00FF101B">
        <w:rPr>
          <w:rFonts w:ascii="Calibri" w:eastAsia="Calibri" w:hAnsi="Calibri" w:cs="Calibri"/>
          <w:color w:val="000000"/>
          <w:sz w:val="22"/>
          <w:szCs w:val="22"/>
        </w:rPr>
        <w:t xml:space="preserve">, si è tenuta </w:t>
      </w:r>
      <w:r w:rsidR="003F73A5" w:rsidRPr="003F73A5">
        <w:rPr>
          <w:rFonts w:ascii="Calibri" w:eastAsia="Calibri" w:hAnsi="Calibri" w:cs="Calibri"/>
          <w:color w:val="000000"/>
          <w:sz w:val="22"/>
          <w:szCs w:val="22"/>
        </w:rPr>
        <w:t xml:space="preserve">una tavola rotonda moderata dal giornalista di NoiTV Paolo Stefanini. Il confronto ha visto un costruttivo scambio di prospettive tra Sergio Chericoni, Presidente dell’Istituto di Studi e Ricerche, Paola Ferretti, Docente di Economia degli Intermediari Finanziari dell’Università di Pisa ed ex Consigliere di Banco BPM, Danilo Maiocchi, Direttore Generale di </w:t>
      </w:r>
      <w:proofErr w:type="spellStart"/>
      <w:r w:rsidR="003F73A5" w:rsidRPr="003F73A5">
        <w:rPr>
          <w:rFonts w:ascii="Calibri" w:eastAsia="Calibri" w:hAnsi="Calibri" w:cs="Calibri"/>
          <w:color w:val="000000"/>
          <w:sz w:val="22"/>
          <w:szCs w:val="22"/>
        </w:rPr>
        <w:t>Innexta</w:t>
      </w:r>
      <w:proofErr w:type="spellEnd"/>
      <w:r w:rsidR="003F73A5" w:rsidRPr="003F73A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3F73A5" w:rsidRPr="003F73A5">
        <w:rPr>
          <w:rFonts w:ascii="Calibri" w:eastAsia="Calibri" w:hAnsi="Calibri" w:cs="Calibri"/>
          <w:color w:val="000000"/>
          <w:sz w:val="22"/>
          <w:szCs w:val="22"/>
        </w:rPr>
        <w:t>Scrl</w:t>
      </w:r>
      <w:proofErr w:type="spellEnd"/>
      <w:r w:rsidR="003F73A5" w:rsidRPr="003F73A5">
        <w:rPr>
          <w:rFonts w:ascii="Calibri" w:eastAsia="Calibri" w:hAnsi="Calibri" w:cs="Calibri"/>
          <w:color w:val="000000"/>
          <w:sz w:val="22"/>
          <w:szCs w:val="22"/>
        </w:rPr>
        <w:t xml:space="preserve">, e Marco Marchi, Presidente dell’Ordine dei Dottori Commercialisti e degli Esperti Contabili di Lucca. Al centro del dibattito sono state poste le criticità nell’accesso al credito per le micro, piccole e medie imprese e l’evoluzione del rapporto tra banche e imprese, con un focus sul tema delle garanzie e sulle nuove forme di accompagnamento finanziario. Spazio è stato dato anche alle opportunità offerte dalla finanza innovativa, dalla digitalizzazione dei servizi e dagli strumenti a supporto degli investimenti per la sostenibilità, la transizione digitale e la crescita dimensionale delle aziende. </w:t>
      </w:r>
    </w:p>
    <w:p w14:paraId="08A3FDDD" w14:textId="739F2F73" w:rsidR="003F73A5" w:rsidRDefault="003F73A5" w:rsidP="00D050F7">
      <w:pP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  <w:r w:rsidRPr="003F73A5">
        <w:rPr>
          <w:rFonts w:ascii="Calibri" w:eastAsia="Calibri" w:hAnsi="Calibri" w:cs="Calibri"/>
          <w:color w:val="000000"/>
          <w:sz w:val="22"/>
          <w:szCs w:val="22"/>
        </w:rPr>
        <w:t xml:space="preserve">In chiusura dei lavori, il Presidente della Camera di Commercio, Valter Tamburini, ha richiamato con forza la necessità di rafforzare e consolidare il dialogo sinergico tra le istituzioni, il sistema bancario, il mondo delle professioni e il tessuto imprenditoriale, affinché il credito possa tornare a rappresentare una leva concreta ed efficace per lo sviluppo economico di tutto il territorio.  </w:t>
      </w:r>
    </w:p>
    <w:p w14:paraId="71925C6B" w14:textId="77777777" w:rsidR="00AA70CB" w:rsidRPr="009248B5" w:rsidRDefault="00AA70CB" w:rsidP="00AA70C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9248B5">
        <w:rPr>
          <w:rFonts w:asciiTheme="majorHAnsi" w:eastAsia="Calibri" w:hAnsiTheme="majorHAnsi" w:cstheme="majorHAnsi"/>
          <w:sz w:val="21"/>
          <w:szCs w:val="21"/>
        </w:rPr>
        <w:t xml:space="preserve">In allegato a questo comunicato la sintesi del rapporto e le slides presentate durante l'evento. Il rapporto completo è scaricabile dal sito </w:t>
      </w:r>
      <w:hyperlink r:id="rId10">
        <w:r w:rsidRPr="009248B5">
          <w:rPr>
            <w:rFonts w:asciiTheme="majorHAnsi" w:eastAsia="Calibri" w:hAnsiTheme="majorHAnsi" w:cstheme="majorHAnsi"/>
            <w:color w:val="0000FF"/>
            <w:sz w:val="21"/>
            <w:szCs w:val="21"/>
            <w:u w:val="single"/>
          </w:rPr>
          <w:t>www.isr-ms.it</w:t>
        </w:r>
      </w:hyperlink>
      <w:r w:rsidRPr="009248B5">
        <w:rPr>
          <w:rFonts w:asciiTheme="majorHAnsi" w:eastAsia="Calibri" w:hAnsiTheme="majorHAnsi" w:cstheme="majorHAnsi"/>
          <w:sz w:val="21"/>
          <w:szCs w:val="21"/>
        </w:rPr>
        <w:t>.</w:t>
      </w:r>
    </w:p>
    <w:p w14:paraId="3C8BDCFA" w14:textId="23828F50" w:rsidR="00CF34CB" w:rsidRPr="00CC2AA6" w:rsidRDefault="002212F4" w:rsidP="00CC2AA6">
      <w:pPr>
        <w:spacing w:before="120"/>
        <w:rPr>
          <w:rFonts w:asciiTheme="majorHAnsi" w:eastAsia="Calibri" w:hAnsiTheme="majorHAnsi" w:cstheme="majorHAnsi"/>
          <w:b/>
          <w:color w:val="000000"/>
          <w:sz w:val="21"/>
          <w:szCs w:val="21"/>
        </w:rPr>
      </w:pPr>
      <w:r w:rsidRPr="009248B5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Camera di </w:t>
      </w:r>
      <w:r w:rsidR="00FB4E15" w:rsidRPr="009248B5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C</w:t>
      </w:r>
      <w:r w:rsidRPr="009248B5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ommercio della Toscana Nord-Ovest</w:t>
      </w:r>
    </w:p>
    <w:p w14:paraId="59B116AE" w14:textId="0722920C" w:rsidR="00CC2AA6" w:rsidRPr="00CC2AA6" w:rsidRDefault="00CC2AA6" w:rsidP="00CC2AA6">
      <w:pP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  <w:r w:rsidRPr="00CC2AA6">
        <w:rPr>
          <w:rFonts w:ascii="Calibri" w:eastAsia="Calibri" w:hAnsi="Calibri" w:cs="Calibri"/>
          <w:color w:val="000000"/>
          <w:sz w:val="22"/>
          <w:szCs w:val="22"/>
        </w:rPr>
        <w:t>Comunicazione: Alberto Susini 050 512.294</w:t>
      </w:r>
    </w:p>
    <w:p w14:paraId="63ADE276" w14:textId="3D332DAF" w:rsidR="00041C50" w:rsidRDefault="00CC2AA6" w:rsidP="00B01E74">
      <w:pPr>
        <w:rPr>
          <w:rFonts w:asciiTheme="majorHAnsi" w:eastAsia="Calibri" w:hAnsiTheme="majorHAnsi" w:cstheme="majorHAnsi"/>
          <w:color w:val="000000"/>
          <w:sz w:val="21"/>
          <w:szCs w:val="21"/>
        </w:rPr>
      </w:pPr>
      <w:hyperlink r:id="rId11" w:history="1">
        <w:r w:rsidRPr="00487437">
          <w:rPr>
            <w:rStyle w:val="Collegamentoipertestuale"/>
            <w:rFonts w:asciiTheme="majorHAnsi" w:eastAsia="Calibri" w:hAnsiTheme="majorHAnsi" w:cstheme="majorHAnsi"/>
            <w:sz w:val="21"/>
            <w:szCs w:val="21"/>
          </w:rPr>
          <w:t>comunicazione@tno.camcom.it</w:t>
        </w:r>
      </w:hyperlink>
      <w:r w:rsidR="00B01E74" w:rsidRPr="009248B5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 </w:t>
      </w:r>
    </w:p>
    <w:p w14:paraId="62D3D936" w14:textId="35E66B44" w:rsidR="00CF34CB" w:rsidRPr="009248B5" w:rsidRDefault="002212F4" w:rsidP="00B01E74">
      <w:pPr>
        <w:rPr>
          <w:rFonts w:asciiTheme="majorHAnsi" w:eastAsia="Calibri" w:hAnsiTheme="majorHAnsi" w:cstheme="majorHAnsi"/>
          <w:sz w:val="21"/>
          <w:szCs w:val="21"/>
        </w:rPr>
      </w:pPr>
      <w:r w:rsidRPr="009248B5">
        <w:rPr>
          <w:rFonts w:asciiTheme="majorHAnsi" w:eastAsia="Calibri" w:hAnsiTheme="majorHAnsi" w:cstheme="majorHAnsi"/>
          <w:color w:val="000000"/>
          <w:sz w:val="21"/>
          <w:szCs w:val="21"/>
        </w:rPr>
        <w:t>www.tno.camcom.it</w:t>
      </w:r>
    </w:p>
    <w:sectPr w:rsidR="00CF34CB" w:rsidRPr="009248B5">
      <w:headerReference w:type="default" r:id="rId12"/>
      <w:pgSz w:w="11906" w:h="16838"/>
      <w:pgMar w:top="993" w:right="1559" w:bottom="709" w:left="1559" w:header="426" w:footer="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544A" w14:textId="77777777" w:rsidR="00BF7255" w:rsidRDefault="00BF7255">
      <w:r>
        <w:separator/>
      </w:r>
    </w:p>
  </w:endnote>
  <w:endnote w:type="continuationSeparator" w:id="0">
    <w:p w14:paraId="3AA85E13" w14:textId="77777777" w:rsidR="00BF7255" w:rsidRDefault="00BF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4393" w14:textId="77777777" w:rsidR="00BF7255" w:rsidRDefault="00BF7255">
      <w:r>
        <w:separator/>
      </w:r>
    </w:p>
  </w:footnote>
  <w:footnote w:type="continuationSeparator" w:id="0">
    <w:p w14:paraId="1E6E1C38" w14:textId="77777777" w:rsidR="00BF7255" w:rsidRDefault="00BF7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17ED" w14:textId="77777777" w:rsidR="00CF34CB" w:rsidRDefault="002212F4">
    <w:r>
      <w:rPr>
        <w:rFonts w:ascii="Calibri" w:eastAsia="Calibri" w:hAnsi="Calibri" w:cs="Calibri"/>
        <w:b/>
        <w:color w:val="808080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F0A"/>
    <w:multiLevelType w:val="multilevel"/>
    <w:tmpl w:val="0BDC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4212C"/>
    <w:multiLevelType w:val="multilevel"/>
    <w:tmpl w:val="A1FE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E3CF7"/>
    <w:multiLevelType w:val="multilevel"/>
    <w:tmpl w:val="2BBC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990049">
    <w:abstractNumId w:val="1"/>
  </w:num>
  <w:num w:numId="2" w16cid:durableId="1488353454">
    <w:abstractNumId w:val="2"/>
  </w:num>
  <w:num w:numId="3" w16cid:durableId="210660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CB"/>
    <w:rsid w:val="0003106F"/>
    <w:rsid w:val="00041C50"/>
    <w:rsid w:val="00053D2A"/>
    <w:rsid w:val="000858E2"/>
    <w:rsid w:val="00086DA3"/>
    <w:rsid w:val="0008769D"/>
    <w:rsid w:val="000C733C"/>
    <w:rsid w:val="000E5191"/>
    <w:rsid w:val="000F21A4"/>
    <w:rsid w:val="00105090"/>
    <w:rsid w:val="00106C45"/>
    <w:rsid w:val="00111395"/>
    <w:rsid w:val="0011245F"/>
    <w:rsid w:val="0011515A"/>
    <w:rsid w:val="00154062"/>
    <w:rsid w:val="00165A7F"/>
    <w:rsid w:val="001F48D7"/>
    <w:rsid w:val="002212F4"/>
    <w:rsid w:val="002233A6"/>
    <w:rsid w:val="002332C9"/>
    <w:rsid w:val="002362B3"/>
    <w:rsid w:val="002436FA"/>
    <w:rsid w:val="002445D2"/>
    <w:rsid w:val="002471FC"/>
    <w:rsid w:val="00292403"/>
    <w:rsid w:val="002A15A8"/>
    <w:rsid w:val="002D1C62"/>
    <w:rsid w:val="002E658C"/>
    <w:rsid w:val="002F31CD"/>
    <w:rsid w:val="002F6D83"/>
    <w:rsid w:val="002F7BCA"/>
    <w:rsid w:val="00300C9D"/>
    <w:rsid w:val="003136DA"/>
    <w:rsid w:val="0032284D"/>
    <w:rsid w:val="00334F69"/>
    <w:rsid w:val="00335714"/>
    <w:rsid w:val="00355E1B"/>
    <w:rsid w:val="0036232A"/>
    <w:rsid w:val="00363A23"/>
    <w:rsid w:val="00364E37"/>
    <w:rsid w:val="00381811"/>
    <w:rsid w:val="00394F55"/>
    <w:rsid w:val="003A44FA"/>
    <w:rsid w:val="003C0F5E"/>
    <w:rsid w:val="003C1FF8"/>
    <w:rsid w:val="003D0229"/>
    <w:rsid w:val="003D38E5"/>
    <w:rsid w:val="003E4187"/>
    <w:rsid w:val="003F08BA"/>
    <w:rsid w:val="003F73A5"/>
    <w:rsid w:val="00401333"/>
    <w:rsid w:val="00445339"/>
    <w:rsid w:val="00451F99"/>
    <w:rsid w:val="00461691"/>
    <w:rsid w:val="00461DD4"/>
    <w:rsid w:val="00474E60"/>
    <w:rsid w:val="004B665C"/>
    <w:rsid w:val="004B7BE4"/>
    <w:rsid w:val="004E7B3A"/>
    <w:rsid w:val="00531F7E"/>
    <w:rsid w:val="00537C97"/>
    <w:rsid w:val="00583168"/>
    <w:rsid w:val="00596E1D"/>
    <w:rsid w:val="005B645A"/>
    <w:rsid w:val="005D05AE"/>
    <w:rsid w:val="005F69C9"/>
    <w:rsid w:val="00603F18"/>
    <w:rsid w:val="0061422C"/>
    <w:rsid w:val="0061628F"/>
    <w:rsid w:val="00667223"/>
    <w:rsid w:val="00672E7D"/>
    <w:rsid w:val="006B1B43"/>
    <w:rsid w:val="006B2BBE"/>
    <w:rsid w:val="006E5C5A"/>
    <w:rsid w:val="006E7783"/>
    <w:rsid w:val="006F6B33"/>
    <w:rsid w:val="00730A8C"/>
    <w:rsid w:val="00743661"/>
    <w:rsid w:val="00763E04"/>
    <w:rsid w:val="00785C6D"/>
    <w:rsid w:val="00792C1B"/>
    <w:rsid w:val="007952E8"/>
    <w:rsid w:val="007F4D05"/>
    <w:rsid w:val="00822211"/>
    <w:rsid w:val="00823B58"/>
    <w:rsid w:val="0084557B"/>
    <w:rsid w:val="00874A1F"/>
    <w:rsid w:val="0087704F"/>
    <w:rsid w:val="00886AE2"/>
    <w:rsid w:val="008A4B66"/>
    <w:rsid w:val="008D0E19"/>
    <w:rsid w:val="008D614F"/>
    <w:rsid w:val="008D7D60"/>
    <w:rsid w:val="0091471D"/>
    <w:rsid w:val="009248B5"/>
    <w:rsid w:val="00936427"/>
    <w:rsid w:val="00970972"/>
    <w:rsid w:val="00980561"/>
    <w:rsid w:val="009B6B55"/>
    <w:rsid w:val="009C1927"/>
    <w:rsid w:val="009E577F"/>
    <w:rsid w:val="009F116F"/>
    <w:rsid w:val="009F2B09"/>
    <w:rsid w:val="00A049F7"/>
    <w:rsid w:val="00A055BC"/>
    <w:rsid w:val="00A40F19"/>
    <w:rsid w:val="00A465B6"/>
    <w:rsid w:val="00A63C62"/>
    <w:rsid w:val="00A816D1"/>
    <w:rsid w:val="00A96C60"/>
    <w:rsid w:val="00AA70CB"/>
    <w:rsid w:val="00AB0D6C"/>
    <w:rsid w:val="00AC342B"/>
    <w:rsid w:val="00AE782F"/>
    <w:rsid w:val="00AF62DB"/>
    <w:rsid w:val="00B01E74"/>
    <w:rsid w:val="00B10DA1"/>
    <w:rsid w:val="00B1329C"/>
    <w:rsid w:val="00B15D77"/>
    <w:rsid w:val="00B224CB"/>
    <w:rsid w:val="00B23524"/>
    <w:rsid w:val="00B36B42"/>
    <w:rsid w:val="00B537F0"/>
    <w:rsid w:val="00B73D72"/>
    <w:rsid w:val="00BA47FE"/>
    <w:rsid w:val="00BF7255"/>
    <w:rsid w:val="00C0487D"/>
    <w:rsid w:val="00C3196C"/>
    <w:rsid w:val="00C575E8"/>
    <w:rsid w:val="00C73210"/>
    <w:rsid w:val="00C823E0"/>
    <w:rsid w:val="00C95CA9"/>
    <w:rsid w:val="00CC2AA6"/>
    <w:rsid w:val="00CF34CB"/>
    <w:rsid w:val="00D050F7"/>
    <w:rsid w:val="00D074B1"/>
    <w:rsid w:val="00D20F6C"/>
    <w:rsid w:val="00D50C4C"/>
    <w:rsid w:val="00D5748F"/>
    <w:rsid w:val="00D80D45"/>
    <w:rsid w:val="00DA4DEC"/>
    <w:rsid w:val="00DE7539"/>
    <w:rsid w:val="00E13826"/>
    <w:rsid w:val="00E2414D"/>
    <w:rsid w:val="00E574C1"/>
    <w:rsid w:val="00E6135D"/>
    <w:rsid w:val="00E662F5"/>
    <w:rsid w:val="00E824C9"/>
    <w:rsid w:val="00E82518"/>
    <w:rsid w:val="00E938C2"/>
    <w:rsid w:val="00E972DB"/>
    <w:rsid w:val="00EA528E"/>
    <w:rsid w:val="00EC2036"/>
    <w:rsid w:val="00EC7651"/>
    <w:rsid w:val="00EE622A"/>
    <w:rsid w:val="00F22662"/>
    <w:rsid w:val="00F32492"/>
    <w:rsid w:val="00F35470"/>
    <w:rsid w:val="00F90BE2"/>
    <w:rsid w:val="00F95A4B"/>
    <w:rsid w:val="00FB4E15"/>
    <w:rsid w:val="00FB7988"/>
    <w:rsid w:val="00F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353A"/>
  <w15:docId w15:val="{2B0C7CCB-8D9F-4FBC-A899-839C272A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outlineLvl w:val="2"/>
    </w:pPr>
    <w:rPr>
      <w:b/>
      <w:sz w:val="22"/>
      <w:szCs w:val="22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outlineLvl w:val="3"/>
    </w:pPr>
    <w:rPr>
      <w:rFonts w:ascii="Verdana" w:eastAsia="Verdana" w:hAnsi="Verdana" w:cs="Verdana"/>
      <w:b/>
      <w:sz w:val="20"/>
      <w:szCs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left"/>
      <w:outlineLvl w:val="5"/>
    </w:pPr>
    <w:rPr>
      <w:rFonts w:ascii="Arial" w:eastAsia="Arial" w:hAnsi="Arial" w:cs="Arial"/>
      <w:b/>
      <w:color w:val="00000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i/>
      <w:sz w:val="26"/>
      <w:szCs w:val="26"/>
    </w:rPr>
  </w:style>
  <w:style w:type="paragraph" w:styleId="Sottotitolo">
    <w:name w:val="Subtitle"/>
    <w:basedOn w:val="Normale"/>
    <w:next w:val="Normale"/>
    <w:uiPriority w:val="11"/>
    <w:qFormat/>
    <w:pPr>
      <w:jc w:val="center"/>
    </w:pPr>
    <w:rPr>
      <w:b/>
      <w:sz w:val="32"/>
      <w:szCs w:val="32"/>
    </w:rPr>
  </w:style>
  <w:style w:type="paragraph" w:styleId="NormaleWeb">
    <w:name w:val="Normal (Web)"/>
    <w:basedOn w:val="Normale"/>
    <w:uiPriority w:val="99"/>
    <w:semiHidden/>
    <w:unhideWhenUsed/>
    <w:rsid w:val="0036232A"/>
  </w:style>
  <w:style w:type="character" w:styleId="Collegamentoipertestuale">
    <w:name w:val="Hyperlink"/>
    <w:basedOn w:val="Carpredefinitoparagrafo"/>
    <w:uiPriority w:val="99"/>
    <w:unhideWhenUsed/>
    <w:rsid w:val="00B01E7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1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zione@tno.camcom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sr-ms.it/rapporti-sulleconomi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B386-A572-408F-A855-D7E14C55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Susini Alberto</dc:creator>
  <cp:lastModifiedBy>Ottino Marcella</cp:lastModifiedBy>
  <cp:revision>37</cp:revision>
  <cp:lastPrinted>2026-05-27T07:20:00Z</cp:lastPrinted>
  <dcterms:created xsi:type="dcterms:W3CDTF">2026-05-27T10:38:00Z</dcterms:created>
  <dcterms:modified xsi:type="dcterms:W3CDTF">2026-05-29T09:18:00Z</dcterms:modified>
</cp:coreProperties>
</file>