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289D" w14:textId="49427FC1" w:rsidR="00C91C1B" w:rsidRPr="00C522AD" w:rsidRDefault="004F711B">
      <w:pPr>
        <w:pBdr>
          <w:top w:val="nil"/>
          <w:left w:val="nil"/>
          <w:bottom w:val="nil"/>
          <w:right w:val="nil"/>
          <w:between w:val="nil"/>
        </w:pBdr>
        <w:jc w:val="both"/>
        <w:rPr>
          <w:rFonts w:ascii="Calibri" w:eastAsia="Calibri" w:hAnsi="Calibri" w:cs="Calibri"/>
          <w:sz w:val="44"/>
          <w:szCs w:val="44"/>
        </w:rPr>
      </w:pPr>
      <w:r w:rsidRPr="00C522AD">
        <w:rPr>
          <w:noProof/>
          <w:lang w:val="it-IT"/>
        </w:rPr>
        <w:drawing>
          <wp:anchor distT="0" distB="0" distL="114300" distR="114300" simplePos="0" relativeHeight="251659264" behindDoc="0" locked="0" layoutInCell="1" hidden="0" allowOverlap="1" wp14:anchorId="4627BAC7" wp14:editId="3B5F6A90">
            <wp:simplePos x="0" y="0"/>
            <wp:positionH relativeFrom="column">
              <wp:posOffset>2947670</wp:posOffset>
            </wp:positionH>
            <wp:positionV relativeFrom="paragraph">
              <wp:posOffset>0</wp:posOffset>
            </wp:positionV>
            <wp:extent cx="2961640" cy="4572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961640" cy="457200"/>
                    </a:xfrm>
                    <a:prstGeom prst="rect">
                      <a:avLst/>
                    </a:prstGeom>
                    <a:ln/>
                  </pic:spPr>
                </pic:pic>
              </a:graphicData>
            </a:graphic>
          </wp:anchor>
        </w:drawing>
      </w:r>
      <w:r w:rsidR="00C227BB" w:rsidRPr="00C522AD">
        <w:rPr>
          <w:rFonts w:ascii="Calibri" w:eastAsia="Calibri" w:hAnsi="Calibri" w:cs="Calibri"/>
          <w:b/>
          <w:bCs/>
          <w:sz w:val="44"/>
          <w:szCs w:val="44"/>
        </w:rPr>
        <w:t xml:space="preserve"> </w:t>
      </w:r>
      <w:r w:rsidR="00C227BB" w:rsidRPr="00C522AD">
        <w:rPr>
          <w:noProof/>
          <w:lang w:val="it-IT"/>
        </w:rPr>
        <w:drawing>
          <wp:anchor distT="0" distB="0" distL="114300" distR="114300" simplePos="0" relativeHeight="251658240" behindDoc="0" locked="0" layoutInCell="1" hidden="0" allowOverlap="1" wp14:anchorId="5AED348B" wp14:editId="7E0BFA87">
            <wp:simplePos x="0" y="0"/>
            <wp:positionH relativeFrom="column">
              <wp:posOffset>-308608</wp:posOffset>
            </wp:positionH>
            <wp:positionV relativeFrom="paragraph">
              <wp:posOffset>-167639</wp:posOffset>
            </wp:positionV>
            <wp:extent cx="2880995" cy="5245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80995" cy="524510"/>
                    </a:xfrm>
                    <a:prstGeom prst="rect">
                      <a:avLst/>
                    </a:prstGeom>
                    <a:ln/>
                  </pic:spPr>
                </pic:pic>
              </a:graphicData>
            </a:graphic>
          </wp:anchor>
        </w:drawing>
      </w:r>
    </w:p>
    <w:p w14:paraId="1666FEE8" w14:textId="77777777" w:rsidR="00C91C1B" w:rsidRPr="00C522AD" w:rsidRDefault="00C91C1B">
      <w:pPr>
        <w:pBdr>
          <w:top w:val="nil"/>
          <w:left w:val="nil"/>
          <w:bottom w:val="single" w:sz="4" w:space="1" w:color="000000"/>
          <w:right w:val="nil"/>
          <w:between w:val="nil"/>
        </w:pBdr>
        <w:jc w:val="both"/>
        <w:rPr>
          <w:rFonts w:ascii="Calibri" w:eastAsia="Calibri" w:hAnsi="Calibri" w:cs="Calibri"/>
          <w:sz w:val="2"/>
          <w:szCs w:val="2"/>
        </w:rPr>
      </w:pPr>
    </w:p>
    <w:p w14:paraId="084DC51B" w14:textId="77777777" w:rsidR="00C91C1B" w:rsidRPr="00C522AD" w:rsidRDefault="00C227BB">
      <w:pPr>
        <w:pBdr>
          <w:top w:val="nil"/>
          <w:left w:val="nil"/>
          <w:bottom w:val="nil"/>
          <w:right w:val="nil"/>
          <w:between w:val="nil"/>
        </w:pBdr>
        <w:spacing w:before="240" w:after="240"/>
        <w:jc w:val="both"/>
        <w:rPr>
          <w:rFonts w:ascii="Calibri" w:eastAsia="Calibri" w:hAnsi="Calibri" w:cs="Calibri"/>
          <w:sz w:val="36"/>
          <w:szCs w:val="36"/>
        </w:rPr>
      </w:pPr>
      <w:r w:rsidRPr="00C522AD">
        <w:rPr>
          <w:rFonts w:ascii="Calibri" w:eastAsia="Calibri" w:hAnsi="Calibri" w:cs="Calibri"/>
          <w:b/>
          <w:bCs/>
          <w:sz w:val="36"/>
          <w:szCs w:val="36"/>
        </w:rPr>
        <w:t>COMMERCIO ESTERO - ANNO 2025</w:t>
      </w:r>
    </w:p>
    <w:p w14:paraId="7B117336" w14:textId="7382025F" w:rsidR="00C73BC5" w:rsidRPr="00C522AD" w:rsidRDefault="00C73BC5" w:rsidP="00C73BC5">
      <w:pPr>
        <w:pBdr>
          <w:top w:val="nil"/>
          <w:left w:val="nil"/>
          <w:bottom w:val="nil"/>
          <w:right w:val="nil"/>
          <w:between w:val="nil"/>
        </w:pBdr>
        <w:tabs>
          <w:tab w:val="left" w:pos="1845"/>
        </w:tabs>
        <w:spacing w:after="240"/>
        <w:jc w:val="both"/>
        <w:rPr>
          <w:rFonts w:ascii="Calibri" w:eastAsia="Calibri" w:hAnsi="Calibri" w:cs="Calibri"/>
          <w:sz w:val="28"/>
          <w:szCs w:val="28"/>
        </w:rPr>
      </w:pPr>
      <w:bookmarkStart w:id="0" w:name="_3um1rzfo28jc" w:colFirst="0" w:colLast="0"/>
      <w:bookmarkEnd w:id="0"/>
      <w:r w:rsidRPr="00C522AD">
        <w:rPr>
          <w:rFonts w:ascii="Calibri" w:eastAsia="Calibri" w:hAnsi="Calibri" w:cs="Calibri"/>
          <w:b/>
          <w:bCs/>
          <w:sz w:val="28"/>
          <w:szCs w:val="28"/>
        </w:rPr>
        <w:t>IL QUADRO GENERALE</w:t>
      </w:r>
    </w:p>
    <w:p w14:paraId="7E0E3442" w14:textId="3988D492" w:rsidR="00C91C1B" w:rsidRPr="00C522AD" w:rsidRDefault="00C227BB">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Nel 2025 il commercio mondiale ha mostrato una crescita moderata stimata intorno al 2,4% (</w:t>
      </w:r>
      <w:r w:rsidR="00783B91" w:rsidRPr="00C522AD">
        <w:rPr>
          <w:rFonts w:ascii="Calibri" w:eastAsia="Calibri" w:hAnsi="Calibri" w:cs="Calibri"/>
          <w:sz w:val="24"/>
          <w:szCs w:val="24"/>
        </w:rPr>
        <w:t>W</w:t>
      </w:r>
      <w:r w:rsidRPr="00C522AD">
        <w:rPr>
          <w:rFonts w:ascii="Calibri" w:eastAsia="Calibri" w:hAnsi="Calibri" w:cs="Calibri"/>
          <w:sz w:val="24"/>
          <w:szCs w:val="24"/>
        </w:rPr>
        <w:t>TO</w:t>
      </w:r>
      <w:r w:rsidR="00783B91" w:rsidRPr="00C522AD">
        <w:rPr>
          <w:rFonts w:ascii="Calibri" w:eastAsia="Calibri" w:hAnsi="Calibri" w:cs="Calibri"/>
          <w:sz w:val="24"/>
          <w:szCs w:val="24"/>
        </w:rPr>
        <w:t>, ottobre 2025</w:t>
      </w:r>
      <w:r w:rsidRPr="00C522AD">
        <w:rPr>
          <w:rFonts w:ascii="Calibri" w:eastAsia="Calibri" w:hAnsi="Calibri" w:cs="Calibri"/>
          <w:sz w:val="24"/>
          <w:szCs w:val="24"/>
        </w:rPr>
        <w:t xml:space="preserve">), in un contesto internazionale caratterizzato da una domanda globale ancora resiliente ma condizionata dal permanere di condizioni finanziarie relativamente restrittive. La dinamica degli scambi continua tuttavia a risentire di elementi di incertezza economica e geopolitica, quest’ultima per altro in una fase di severa </w:t>
      </w:r>
      <w:r w:rsidRPr="00C522AD">
        <w:rPr>
          <w:rFonts w:ascii="Calibri" w:eastAsia="Calibri" w:hAnsi="Calibri" w:cs="Calibri"/>
          <w:i/>
          <w:iCs/>
          <w:sz w:val="24"/>
          <w:szCs w:val="24"/>
        </w:rPr>
        <w:t>escalation</w:t>
      </w:r>
      <w:r w:rsidRPr="00C522AD">
        <w:rPr>
          <w:rFonts w:ascii="Calibri" w:eastAsia="Calibri" w:hAnsi="Calibri" w:cs="Calibri"/>
          <w:sz w:val="24"/>
          <w:szCs w:val="24"/>
        </w:rPr>
        <w:t xml:space="preserve">. Al rallentamento di alcune economie avanzate, si affiancano tensioni commerciali, incertezze sui dazi e la volatilità dei mercati energetici. In questo scenario, l’export italiano ha evidenziato un aumento complessivo pari a circa il 3,3%, sostenuto in particolare dalla domanda proveniente dai mercati extra-UE, mentre l’area europea ha mostrato una crescita più contenuta. Il livello dei prezzi energetici, pur in riduzione rispetto ai picchi registrati negli anni precedenti, si mantiene comunque superiore ai valori </w:t>
      </w:r>
      <w:proofErr w:type="spellStart"/>
      <w:r w:rsidRPr="00C522AD">
        <w:rPr>
          <w:rFonts w:ascii="Calibri" w:eastAsia="Calibri" w:hAnsi="Calibri" w:cs="Calibri"/>
          <w:sz w:val="24"/>
          <w:szCs w:val="24"/>
        </w:rPr>
        <w:t>pre</w:t>
      </w:r>
      <w:proofErr w:type="spellEnd"/>
      <w:r w:rsidRPr="00C522AD">
        <w:rPr>
          <w:rFonts w:ascii="Calibri" w:eastAsia="Calibri" w:hAnsi="Calibri" w:cs="Calibri"/>
          <w:sz w:val="24"/>
          <w:szCs w:val="24"/>
        </w:rPr>
        <w:t>-pandemia, continuando a incidere sui costi di produzione e sui margini delle imprese esportatrici</w:t>
      </w:r>
      <w:r w:rsidRPr="00C522AD">
        <w:rPr>
          <w:sz w:val="24"/>
          <w:szCs w:val="24"/>
        </w:rPr>
        <w:t xml:space="preserve"> </w:t>
      </w:r>
      <w:r w:rsidRPr="00C522AD">
        <w:rPr>
          <w:rFonts w:ascii="Calibri" w:eastAsia="Calibri" w:hAnsi="Calibri" w:cs="Calibri"/>
          <w:sz w:val="24"/>
          <w:szCs w:val="24"/>
        </w:rPr>
        <w:t>In particolare, il tema dei Dazi USA ha inciso significativamente sul clima degli scambi internazionali: il mantenimento e, in alcuni casi, l’inasprimento delle misure tariffarie hanno alimentato un diffuso atteggiamento di cautela tra le imprese esportatrici, influenzando sia le aspettative sia i flussi commerciali effettivi. Con riferimento alla Toscana Nord-Ovest, il mercato statunitense ha continuato a rappresentare uno sbocco di rilievo, ma con dinamiche differenziate tra territori. La crescita complessiva dell’export verso gli Stati Uniti è stata sostenuta quasi esclusivamente dalla meccanica della provincia di Massa-Carrara, mentre Lucca e Pisa hanno registrato una flessione delle vendite, risentendo maggiormente degli effetti dei Dazi e del contesto di incertezza internazionale. Tale andamento ha evidenziato come, in presenza di barriere tariffarie, la performance sui mercati esteri sia risultata sempre più legata alla specializzazione produttiva e alla capacità dei singoli comparti di adattarsi a scenari competitivi in rapido mutamento.</w:t>
      </w:r>
    </w:p>
    <w:p w14:paraId="005AD755" w14:textId="3C244996" w:rsidR="00C73BC5" w:rsidRPr="00C522AD" w:rsidRDefault="00C73BC5" w:rsidP="00C73BC5">
      <w:pPr>
        <w:pBdr>
          <w:top w:val="nil"/>
          <w:left w:val="nil"/>
          <w:bottom w:val="nil"/>
          <w:right w:val="nil"/>
          <w:between w:val="nil"/>
        </w:pBdr>
        <w:tabs>
          <w:tab w:val="left" w:pos="1845"/>
        </w:tabs>
        <w:spacing w:after="240"/>
        <w:jc w:val="both"/>
        <w:rPr>
          <w:rFonts w:ascii="Calibri" w:eastAsia="Calibri" w:hAnsi="Calibri" w:cs="Calibri"/>
          <w:sz w:val="28"/>
          <w:szCs w:val="28"/>
        </w:rPr>
      </w:pPr>
      <w:r w:rsidRPr="00C522AD">
        <w:rPr>
          <w:rFonts w:ascii="Calibri" w:eastAsia="Calibri" w:hAnsi="Calibri" w:cs="Calibri"/>
          <w:b/>
          <w:bCs/>
          <w:sz w:val="28"/>
          <w:szCs w:val="28"/>
        </w:rPr>
        <w:t>L’ANDAMENTO DELL’EXPORT DELLA PROVINCIA DI LUCCA</w:t>
      </w:r>
    </w:p>
    <w:p w14:paraId="01F7BA3F"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b/>
          <w:bCs/>
          <w:sz w:val="24"/>
          <w:szCs w:val="24"/>
        </w:rPr>
        <w:t>La dinamica provinciale</w:t>
      </w:r>
    </w:p>
    <w:p w14:paraId="12387F78" w14:textId="77777777" w:rsidR="00070AE0" w:rsidRPr="00C522AD" w:rsidRDefault="00C227BB" w:rsidP="00070AE0">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Dopo il record storico raggiunto nel 2024, quando le esportazioni della provincia di Lucca avevano superato i 5,5 miliardi di euro migliorando il precedente massimo del 2022 (5,4 miliardi), nel 2025 l’export provinciale ha mostrato una lieve flessione, attestandosi a 5 miliardi e 398 milioni di euro, con una variazione del -2,6% rispetto all’anno precedente. Un andamento in controtendenza rispetto alla dinamica regionale e nazionale: nello stesso periodo, infatti, le esportazioni della Toscana sono cresciute del 21,3%, una performance influenzata in larga parte dalla forte espansione del settore farmaceutico fiorentino e, seppur con minore intensità, dalla dinamica positiva del comparto orafo aretino, mentre a livello nazionale si è registrato un incremento più contenuto pari al +3,3%. Nonostante l’arretramento, il livello delle vendite all’estero lucchesi ha raggiunto il secondo valore storicamente più elevato. </w:t>
      </w:r>
    </w:p>
    <w:p w14:paraId="71569F33" w14:textId="075BA41F" w:rsidR="00C91C1B" w:rsidRPr="00C522AD" w:rsidRDefault="00C227BB" w:rsidP="00070AE0">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lastRenderedPageBreak/>
        <w:t>Sul fronte delle importazioni, nel 2025 la provincia di Lucca ha registrato una diminuzione più marcata rispetto all’anno precedente, con un valore complessivo pari a 2 miliardi e 32</w:t>
      </w:r>
      <w:r w:rsidR="008658BB" w:rsidRPr="00C522AD">
        <w:rPr>
          <w:rFonts w:ascii="Calibri" w:eastAsia="Calibri" w:hAnsi="Calibri" w:cs="Calibri"/>
          <w:sz w:val="24"/>
          <w:szCs w:val="24"/>
        </w:rPr>
        <w:t>5</w:t>
      </w:r>
      <w:r w:rsidRPr="00C522AD">
        <w:rPr>
          <w:rFonts w:ascii="Calibri" w:eastAsia="Calibri" w:hAnsi="Calibri" w:cs="Calibri"/>
          <w:sz w:val="24"/>
          <w:szCs w:val="24"/>
        </w:rPr>
        <w:t xml:space="preserve"> milioni di euro, in calo del 4% rispetto ai 2 miliardi e 421 milioni del 2024.</w:t>
      </w:r>
    </w:p>
    <w:p w14:paraId="23264FAE" w14:textId="77777777" w:rsidR="00C91C1B" w:rsidRPr="00C522AD" w:rsidRDefault="00C227BB" w:rsidP="008658BB">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b/>
          <w:bCs/>
          <w:sz w:val="24"/>
          <w:szCs w:val="24"/>
        </w:rPr>
        <w:t>Gli andamenti settoriali</w:t>
      </w:r>
    </w:p>
    <w:p w14:paraId="0FCB8C46" w14:textId="47D86C45"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Nel 2025 la cantieristica nautica si è confermata il principale settore esportatore della provincia di Lucca, mantenendo sostanzialmente invariato il livello record raggiunto nell’anno precedente. Le vendite all’estero di </w:t>
      </w:r>
      <w:r w:rsidRPr="00C522AD">
        <w:rPr>
          <w:rFonts w:ascii="Calibri" w:eastAsia="Calibri" w:hAnsi="Calibri" w:cs="Calibri"/>
          <w:b/>
          <w:bCs/>
          <w:sz w:val="24"/>
          <w:szCs w:val="24"/>
        </w:rPr>
        <w:t>navi e imbarcazioni</w:t>
      </w:r>
      <w:r w:rsidRPr="00C522AD">
        <w:rPr>
          <w:rFonts w:ascii="Calibri" w:eastAsia="Calibri" w:hAnsi="Calibri" w:cs="Calibri"/>
          <w:sz w:val="24"/>
          <w:szCs w:val="24"/>
        </w:rPr>
        <w:t xml:space="preserve"> si sono attestate a circa 1 miliardo e 300 milioni di euro, valore in linea con il 2024 e pari a quasi un quarto dell’intero export provinciale (23,9%). Dopo il forte ciclo espansivo degli anni precedenti, che aveva portato il comparto a superare stabilmente la soglia del miliardo di euro, il 2025 ha dunque confermato la solidità del posizionamento internazionale della nautica lucchese. Nel corso dell’anno si è tuttavia registrata una diversa articolazione dei mercati di destinazione, influenzata anche dal ciclo di fatturazione delle commesse che hanno un elevato valore unitario: le Isole Cayman, primo mercato nel 2024, hanno evidenziato una contrazione del 38,8%, scendendo a 346 milioni di euro e riducendo il proprio peso relativo. Al contrario, si è osservata una forte espansione delle consegne verso le Isole Marshall, quasi triplicate fino a 221 milioni di euro, e verso Malta, dove l’export è più che raddoppiato raggiungendo circa 97 milioni di euro. In crescita anche le esportazioni verso il Regno Unito (+24,3%).</w:t>
      </w:r>
    </w:p>
    <w:p w14:paraId="0ED1068A" w14:textId="139B41B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Nel comparto </w:t>
      </w:r>
      <w:r w:rsidRPr="00C522AD">
        <w:rPr>
          <w:rFonts w:ascii="Calibri" w:eastAsia="Calibri" w:hAnsi="Calibri" w:cs="Calibri"/>
          <w:b/>
          <w:bCs/>
          <w:sz w:val="24"/>
          <w:szCs w:val="24"/>
        </w:rPr>
        <w:t>cartario e cartotecnico</w:t>
      </w:r>
      <w:r w:rsidRPr="00C522AD">
        <w:rPr>
          <w:rFonts w:ascii="Calibri" w:eastAsia="Calibri" w:hAnsi="Calibri" w:cs="Calibri"/>
          <w:sz w:val="24"/>
          <w:szCs w:val="24"/>
        </w:rPr>
        <w:t xml:space="preserve">, pilastro del sistema produttivo lucchese, si è registrato nel complesso un ridimensionamento delle vendite all’estero. In particolare, l’export di </w:t>
      </w:r>
      <w:r w:rsidRPr="00C522AD">
        <w:rPr>
          <w:rFonts w:ascii="Calibri" w:eastAsia="Calibri" w:hAnsi="Calibri" w:cs="Calibri"/>
          <w:b/>
          <w:bCs/>
          <w:sz w:val="24"/>
          <w:szCs w:val="24"/>
        </w:rPr>
        <w:t>articoli di carta e cartone</w:t>
      </w:r>
      <w:r w:rsidRPr="00C522AD">
        <w:rPr>
          <w:rFonts w:ascii="Calibri" w:eastAsia="Calibri" w:hAnsi="Calibri" w:cs="Calibri"/>
          <w:sz w:val="24"/>
          <w:szCs w:val="24"/>
        </w:rPr>
        <w:t xml:space="preserve"> è sceso a 744 milioni di euro (-1,4%), mentre quello di </w:t>
      </w:r>
      <w:r w:rsidRPr="00C522AD">
        <w:rPr>
          <w:rFonts w:ascii="Calibri" w:eastAsia="Calibri" w:hAnsi="Calibri" w:cs="Calibri"/>
          <w:b/>
          <w:bCs/>
          <w:sz w:val="24"/>
          <w:szCs w:val="24"/>
        </w:rPr>
        <w:t>pasta-carta, carta e cartone</w:t>
      </w:r>
      <w:r w:rsidRPr="00C522AD">
        <w:rPr>
          <w:rFonts w:ascii="Calibri" w:eastAsia="Calibri" w:hAnsi="Calibri" w:cs="Calibri"/>
          <w:sz w:val="24"/>
          <w:szCs w:val="24"/>
        </w:rPr>
        <w:t xml:space="preserve"> si è attestato a 455 milioni di euro (-5%). Nel complesso il comparto ha sfiorato 1,2 miliardi di euro di esportazioni, continuando a rappresentare una componente rilevante dell’export provinciale, pur in una fase di rallentamento rispetto al 2024 (-2,8%).</w:t>
      </w:r>
      <w:r w:rsidRPr="00C522AD">
        <w:rPr>
          <w:sz w:val="24"/>
          <w:szCs w:val="24"/>
        </w:rPr>
        <w:t xml:space="preserve"> </w:t>
      </w:r>
      <w:r w:rsidRPr="00C522AD">
        <w:rPr>
          <w:rFonts w:ascii="Calibri" w:eastAsia="Calibri" w:hAnsi="Calibri" w:cs="Calibri"/>
          <w:sz w:val="24"/>
          <w:szCs w:val="24"/>
        </w:rPr>
        <w:t xml:space="preserve">Tra i principali mercati di destinazione si è confermata la Francia, con 300 milioni di euro, nonostante una flessione del -6,6%. In diminuzione sono risultate anche le vendite verso la Germania (-3,5%, 178 milioni) e la Spagna (-5,6%, 79 milioni), evidenziando una debolezza diffusa nei principali partner europei. Segnali positivi sono invece arrivati da alcuni mercati: la Polonia ha registrato una crescita significativa del +31,3%, raggiungendo 74 milioni di euro, mentre il Regno Unito è tornato in espansione (+9,4%, 77 milioni). In aumento anche i flussi verso i Paesi Bassi (+3,1%, 55 milioni) e la Grecia (+11,3%, 27 milioni). Tra le flessioni più rilevanti si segnalano il Belgio (-31,9%), gli Stati Uniti (-15,4%) e la Svizzera (-8,9%), oltre alla contrazione dell’Austria (-6,4%). Nel complesso, il comparto ha risentito di un contesto internazionale meno favorevole, con una domanda europea più debole solo in parte compensata dalla crescita di alcuni mercati dinamici. Per quanto riguarda </w:t>
      </w:r>
      <w:r w:rsidRPr="00C522AD">
        <w:rPr>
          <w:rFonts w:ascii="Calibri" w:eastAsia="Calibri" w:hAnsi="Calibri" w:cs="Calibri"/>
          <w:b/>
          <w:bCs/>
          <w:sz w:val="24"/>
          <w:szCs w:val="24"/>
        </w:rPr>
        <w:t>l’industria meccanica</w:t>
      </w:r>
      <w:r w:rsidRPr="00C522AD">
        <w:rPr>
          <w:rFonts w:ascii="Calibri" w:eastAsia="Calibri" w:hAnsi="Calibri" w:cs="Calibri"/>
          <w:sz w:val="24"/>
          <w:szCs w:val="24"/>
        </w:rPr>
        <w:t xml:space="preserve">, altro comparto di primo piano dell’export provinciale, il 2025 ha mostrato andamenti differenziati tra i vari segmenti produttivi. Le esportazioni di </w:t>
      </w:r>
      <w:r w:rsidRPr="00C522AD">
        <w:rPr>
          <w:rFonts w:ascii="Calibri" w:eastAsia="Calibri" w:hAnsi="Calibri" w:cs="Calibri"/>
          <w:b/>
          <w:bCs/>
          <w:sz w:val="24"/>
          <w:szCs w:val="24"/>
        </w:rPr>
        <w:t>altre</w:t>
      </w:r>
      <w:r w:rsidRPr="00C522AD">
        <w:rPr>
          <w:rFonts w:ascii="Calibri" w:eastAsia="Calibri" w:hAnsi="Calibri" w:cs="Calibri"/>
          <w:sz w:val="24"/>
          <w:szCs w:val="24"/>
        </w:rPr>
        <w:t xml:space="preserve"> </w:t>
      </w:r>
      <w:r w:rsidRPr="00C522AD">
        <w:rPr>
          <w:rFonts w:ascii="Calibri" w:eastAsia="Calibri" w:hAnsi="Calibri" w:cs="Calibri"/>
          <w:b/>
          <w:bCs/>
          <w:sz w:val="24"/>
          <w:szCs w:val="24"/>
        </w:rPr>
        <w:t>macchine per impieghi speciali</w:t>
      </w:r>
      <w:r w:rsidRPr="00C522AD">
        <w:rPr>
          <w:rFonts w:ascii="Calibri" w:eastAsia="Calibri" w:hAnsi="Calibri" w:cs="Calibri"/>
          <w:sz w:val="24"/>
          <w:szCs w:val="24"/>
        </w:rPr>
        <w:t>, costituite in larga parte da macchinari per cartiere, sono scese a 578 milioni di euro, -9,9% rispetto al 2024, contribuendo in misura rilevante alla contrazione complessiva dell’export provinciale. Nonostante il calo, il settore ha conservato una presenza consolidata sui principali mercati internazionali. Gli Stati Uniti si sono confermati il primo paese di destinazione, con 104 milioni di euro, sostanzialmente stabili rispetto al 2024 (-0,4%). In controtendenza, sono risultate in crescita le vendite verso la Germania (+42,5%, 65 milioni) e soprattutto verso il Regno Unito, che ha registrato un forte incremento (+93,6%, 54 milioni), contribuendo in modo significativo alla dinamica complessiva.</w:t>
      </w:r>
    </w:p>
    <w:p w14:paraId="03F49CF3"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Tra i principali mercati in espansione si segnalano anche la Polonia (+51,1%, 26 milioni), la Svezia (+167,8%, 21 milioni) e la Grecia (+79,8%, 19 milioni), a conferma di una buona </w:t>
      </w:r>
      <w:r w:rsidRPr="00C522AD">
        <w:rPr>
          <w:rFonts w:ascii="Calibri" w:eastAsia="Calibri" w:hAnsi="Calibri" w:cs="Calibri"/>
          <w:sz w:val="24"/>
          <w:szCs w:val="24"/>
        </w:rPr>
        <w:lastRenderedPageBreak/>
        <w:t>vivacità in diversi paesi europei. Sul fronte opposto, hanno pesato le flessioni registrate in alcuni mercati rilevanti: il Messico ha segnato un calo marcato (-38,1%, 51 milioni), la Francia (-19,9%, 49 milioni) e la Spagna (-32,4%, 23 milioni). Ancora più accentuata la contrazione verso l’Arabia Saudita (-85,5%), dopo i livelli particolarmente elevati del 2024, mentre sono diminuite anche le vendite verso la Turchia (-52,7%) e il Brasile (-55,3%).</w:t>
      </w:r>
    </w:p>
    <w:p w14:paraId="5A35CE53" w14:textId="77777777" w:rsidR="00C91C1B" w:rsidRPr="00C522AD" w:rsidRDefault="00C227BB">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 xml:space="preserve">Andamenti più favorevoli si sono registrati invece negli altri comparti della meccanica. Le esportazioni di </w:t>
      </w:r>
      <w:r w:rsidRPr="00C522AD">
        <w:rPr>
          <w:rFonts w:ascii="Calibri" w:eastAsia="Calibri" w:hAnsi="Calibri" w:cs="Calibri"/>
          <w:b/>
          <w:bCs/>
          <w:sz w:val="24"/>
          <w:szCs w:val="24"/>
        </w:rPr>
        <w:t>macchine di impiego generale</w:t>
      </w:r>
      <w:r w:rsidRPr="00C522AD">
        <w:rPr>
          <w:rFonts w:ascii="Calibri" w:eastAsia="Calibri" w:hAnsi="Calibri" w:cs="Calibri"/>
          <w:sz w:val="24"/>
          <w:szCs w:val="24"/>
        </w:rPr>
        <w:t xml:space="preserve"> hanno raggiunto 145 milioni di euro, con un incremento del 4,6%. Tra i principali mercati di destinazione si sono distinti gli Stati Uniti, primo mercato con circa 16 milioni di euro (+18,3%), seguiti da Cina (14,5 milioni, +36,6%), Brasile (11,9 milioni, +166,8%) e Francia (11,9 milioni, +131,5%). In crescita anche le vendite verso la Germania (+10,1%), mentre sono risultate in diminuzione quelle dirette verso Spagna (-27,8%) e Singapore (-39,5%). Incrementi significativi si sono osservati infine anche verso alcuni mercati extraeuropei, tra cui Qatar (+148,1%), ed Emirati Arabi Uniti (+74,8%).</w:t>
      </w:r>
    </w:p>
    <w:tbl>
      <w:tblPr>
        <w:tblStyle w:val="a"/>
        <w:tblW w:w="8857" w:type="dxa"/>
        <w:tblInd w:w="0" w:type="dxa"/>
        <w:tblLayout w:type="fixed"/>
        <w:tblLook w:val="0000" w:firstRow="0" w:lastRow="0" w:firstColumn="0" w:lastColumn="0" w:noHBand="0" w:noVBand="0"/>
      </w:tblPr>
      <w:tblGrid>
        <w:gridCol w:w="3544"/>
        <w:gridCol w:w="1378"/>
        <w:gridCol w:w="1384"/>
        <w:gridCol w:w="779"/>
        <w:gridCol w:w="740"/>
        <w:gridCol w:w="1032"/>
      </w:tblGrid>
      <w:tr w:rsidR="00C522AD" w:rsidRPr="00C522AD" w14:paraId="72C9ADBD" w14:textId="77777777">
        <w:trPr>
          <w:trHeight w:val="247"/>
        </w:trPr>
        <w:tc>
          <w:tcPr>
            <w:tcW w:w="8857" w:type="dxa"/>
            <w:gridSpan w:val="6"/>
            <w:tcBorders>
              <w:top w:val="nil"/>
              <w:left w:val="nil"/>
              <w:bottom w:val="nil"/>
              <w:right w:val="nil"/>
            </w:tcBorders>
            <w:shd w:val="clear" w:color="auto" w:fill="FFFFFF"/>
            <w:vAlign w:val="center"/>
          </w:tcPr>
          <w:p w14:paraId="5D391AE5" w14:textId="77777777" w:rsidR="00C91C1B" w:rsidRPr="00C522AD" w:rsidRDefault="00C227BB">
            <w:pPr>
              <w:pBdr>
                <w:top w:val="nil"/>
                <w:left w:val="nil"/>
                <w:bottom w:val="nil"/>
                <w:right w:val="nil"/>
                <w:between w:val="nil"/>
              </w:pBdr>
            </w:pPr>
            <w:r w:rsidRPr="00C522AD">
              <w:rPr>
                <w:rFonts w:ascii="Calibri" w:eastAsia="Calibri" w:hAnsi="Calibri" w:cs="Calibri"/>
                <w:b/>
                <w:bCs/>
              </w:rPr>
              <w:t>I principali settori esportatori della provincia di Lucca - Anno 2025</w:t>
            </w:r>
          </w:p>
        </w:tc>
      </w:tr>
      <w:tr w:rsidR="00C522AD" w:rsidRPr="00C522AD" w14:paraId="2F5DFDD9" w14:textId="77777777">
        <w:trPr>
          <w:trHeight w:val="247"/>
        </w:trPr>
        <w:tc>
          <w:tcPr>
            <w:tcW w:w="8857" w:type="dxa"/>
            <w:gridSpan w:val="6"/>
            <w:tcBorders>
              <w:top w:val="nil"/>
              <w:left w:val="nil"/>
              <w:bottom w:val="nil"/>
              <w:right w:val="nil"/>
            </w:tcBorders>
            <w:vAlign w:val="center"/>
          </w:tcPr>
          <w:p w14:paraId="3E1B10BD" w14:textId="77777777" w:rsidR="00C91C1B" w:rsidRPr="00C522AD" w:rsidRDefault="00C227BB">
            <w:pPr>
              <w:pBdr>
                <w:top w:val="nil"/>
                <w:left w:val="nil"/>
                <w:bottom w:val="nil"/>
                <w:right w:val="nil"/>
                <w:between w:val="nil"/>
              </w:pBdr>
            </w:pPr>
            <w:r w:rsidRPr="00C522AD">
              <w:rPr>
                <w:rFonts w:ascii="Calibri" w:eastAsia="Calibri" w:hAnsi="Calibri" w:cs="Calibri"/>
                <w:i/>
                <w:iCs/>
              </w:rPr>
              <w:t>Valori assoluti in euro, var. % e contributi % alla crescita </w:t>
            </w:r>
          </w:p>
        </w:tc>
      </w:tr>
      <w:tr w:rsidR="00C522AD" w:rsidRPr="00C522AD" w14:paraId="7F1E3386" w14:textId="77777777">
        <w:trPr>
          <w:cantSplit/>
          <w:trHeight w:val="247"/>
        </w:trPr>
        <w:tc>
          <w:tcPr>
            <w:tcW w:w="3544" w:type="dxa"/>
            <w:vMerge w:val="restart"/>
            <w:tcBorders>
              <w:top w:val="single" w:sz="4" w:space="0" w:color="000000"/>
              <w:left w:val="nil"/>
              <w:bottom w:val="single" w:sz="4" w:space="0" w:color="000000"/>
              <w:right w:val="nil"/>
            </w:tcBorders>
            <w:vAlign w:val="center"/>
          </w:tcPr>
          <w:p w14:paraId="43E049D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Settori di attività</w:t>
            </w:r>
          </w:p>
        </w:tc>
        <w:tc>
          <w:tcPr>
            <w:tcW w:w="2762" w:type="dxa"/>
            <w:gridSpan w:val="2"/>
            <w:tcBorders>
              <w:top w:val="single" w:sz="4" w:space="0" w:color="000000"/>
              <w:left w:val="nil"/>
              <w:bottom w:val="single" w:sz="4" w:space="0" w:color="000000"/>
              <w:right w:val="nil"/>
            </w:tcBorders>
            <w:vAlign w:val="center"/>
          </w:tcPr>
          <w:p w14:paraId="0E7DBF6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Valori assoluti in euro</w:t>
            </w:r>
          </w:p>
        </w:tc>
        <w:tc>
          <w:tcPr>
            <w:tcW w:w="779" w:type="dxa"/>
            <w:vMerge w:val="restart"/>
            <w:tcBorders>
              <w:top w:val="single" w:sz="4" w:space="0" w:color="000000"/>
              <w:left w:val="nil"/>
              <w:bottom w:val="single" w:sz="4" w:space="0" w:color="000000"/>
              <w:right w:val="nil"/>
            </w:tcBorders>
            <w:vAlign w:val="center"/>
          </w:tcPr>
          <w:p w14:paraId="0924CDC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Quota %</w:t>
            </w:r>
          </w:p>
        </w:tc>
        <w:tc>
          <w:tcPr>
            <w:tcW w:w="740" w:type="dxa"/>
            <w:vMerge w:val="restart"/>
            <w:tcBorders>
              <w:top w:val="single" w:sz="4" w:space="0" w:color="000000"/>
              <w:left w:val="nil"/>
              <w:bottom w:val="single" w:sz="4" w:space="0" w:color="000000"/>
              <w:right w:val="nil"/>
            </w:tcBorders>
            <w:vAlign w:val="center"/>
          </w:tcPr>
          <w:p w14:paraId="63F617D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Var. %</w:t>
            </w:r>
          </w:p>
        </w:tc>
        <w:tc>
          <w:tcPr>
            <w:tcW w:w="1032" w:type="dxa"/>
            <w:vMerge w:val="restart"/>
            <w:tcBorders>
              <w:top w:val="single" w:sz="4" w:space="0" w:color="000000"/>
              <w:left w:val="nil"/>
              <w:bottom w:val="single" w:sz="4" w:space="0" w:color="000000"/>
              <w:right w:val="nil"/>
            </w:tcBorders>
            <w:vAlign w:val="center"/>
          </w:tcPr>
          <w:p w14:paraId="72FD6BD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Contributi %</w:t>
            </w:r>
          </w:p>
        </w:tc>
      </w:tr>
      <w:tr w:rsidR="00C522AD" w:rsidRPr="00C522AD" w14:paraId="178404B7" w14:textId="77777777">
        <w:trPr>
          <w:cantSplit/>
          <w:trHeight w:val="495"/>
        </w:trPr>
        <w:tc>
          <w:tcPr>
            <w:tcW w:w="3544" w:type="dxa"/>
            <w:vMerge/>
            <w:tcBorders>
              <w:top w:val="single" w:sz="4" w:space="0" w:color="000000"/>
              <w:left w:val="nil"/>
              <w:bottom w:val="single" w:sz="4" w:space="0" w:color="000000"/>
              <w:right w:val="nil"/>
            </w:tcBorders>
            <w:vAlign w:val="center"/>
          </w:tcPr>
          <w:p w14:paraId="44AB8C99"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378" w:type="dxa"/>
            <w:tcBorders>
              <w:top w:val="nil"/>
              <w:left w:val="nil"/>
              <w:bottom w:val="single" w:sz="4" w:space="0" w:color="000000"/>
              <w:right w:val="nil"/>
            </w:tcBorders>
            <w:vAlign w:val="center"/>
          </w:tcPr>
          <w:p w14:paraId="043D993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Anno 2024</w:t>
            </w:r>
          </w:p>
        </w:tc>
        <w:tc>
          <w:tcPr>
            <w:tcW w:w="1384" w:type="dxa"/>
            <w:tcBorders>
              <w:top w:val="nil"/>
              <w:left w:val="nil"/>
              <w:bottom w:val="single" w:sz="4" w:space="0" w:color="000000"/>
              <w:right w:val="nil"/>
            </w:tcBorders>
            <w:vAlign w:val="center"/>
          </w:tcPr>
          <w:p w14:paraId="4A2C497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Anno 2025</w:t>
            </w:r>
          </w:p>
        </w:tc>
        <w:tc>
          <w:tcPr>
            <w:tcW w:w="779" w:type="dxa"/>
            <w:vMerge/>
            <w:tcBorders>
              <w:top w:val="single" w:sz="4" w:space="0" w:color="000000"/>
              <w:left w:val="nil"/>
              <w:bottom w:val="single" w:sz="4" w:space="0" w:color="000000"/>
              <w:right w:val="nil"/>
            </w:tcBorders>
            <w:vAlign w:val="center"/>
          </w:tcPr>
          <w:p w14:paraId="200C578B"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740" w:type="dxa"/>
            <w:vMerge/>
            <w:tcBorders>
              <w:top w:val="single" w:sz="4" w:space="0" w:color="000000"/>
              <w:left w:val="nil"/>
              <w:bottom w:val="single" w:sz="4" w:space="0" w:color="000000"/>
              <w:right w:val="nil"/>
            </w:tcBorders>
            <w:vAlign w:val="center"/>
          </w:tcPr>
          <w:p w14:paraId="14873123"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032" w:type="dxa"/>
            <w:vMerge/>
            <w:tcBorders>
              <w:top w:val="single" w:sz="4" w:space="0" w:color="000000"/>
              <w:left w:val="nil"/>
              <w:bottom w:val="single" w:sz="4" w:space="0" w:color="000000"/>
              <w:right w:val="nil"/>
            </w:tcBorders>
            <w:vAlign w:val="center"/>
          </w:tcPr>
          <w:p w14:paraId="2174C3B0"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r>
      <w:tr w:rsidR="00C522AD" w:rsidRPr="00C522AD" w14:paraId="169A15FC" w14:textId="77777777">
        <w:trPr>
          <w:trHeight w:val="247"/>
        </w:trPr>
        <w:tc>
          <w:tcPr>
            <w:tcW w:w="3544" w:type="dxa"/>
            <w:tcBorders>
              <w:top w:val="nil"/>
              <w:left w:val="nil"/>
              <w:bottom w:val="nil"/>
              <w:right w:val="nil"/>
            </w:tcBorders>
            <w:vAlign w:val="center"/>
          </w:tcPr>
          <w:p w14:paraId="3EB5A8C9"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Navi e imbarcazioni</w:t>
            </w:r>
          </w:p>
        </w:tc>
        <w:tc>
          <w:tcPr>
            <w:tcW w:w="1378" w:type="dxa"/>
            <w:tcBorders>
              <w:top w:val="nil"/>
              <w:left w:val="nil"/>
              <w:bottom w:val="nil"/>
              <w:right w:val="nil"/>
            </w:tcBorders>
            <w:vAlign w:val="center"/>
          </w:tcPr>
          <w:p w14:paraId="5A190BB9"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1.289.200.415</w:t>
            </w:r>
          </w:p>
        </w:tc>
        <w:tc>
          <w:tcPr>
            <w:tcW w:w="1384" w:type="dxa"/>
            <w:tcBorders>
              <w:top w:val="nil"/>
              <w:left w:val="nil"/>
              <w:bottom w:val="nil"/>
              <w:right w:val="nil"/>
            </w:tcBorders>
            <w:vAlign w:val="center"/>
          </w:tcPr>
          <w:p w14:paraId="0DE396D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1.289.293.071</w:t>
            </w:r>
          </w:p>
        </w:tc>
        <w:tc>
          <w:tcPr>
            <w:tcW w:w="779" w:type="dxa"/>
            <w:tcBorders>
              <w:top w:val="nil"/>
              <w:left w:val="nil"/>
              <w:bottom w:val="nil"/>
              <w:right w:val="nil"/>
            </w:tcBorders>
            <w:vAlign w:val="center"/>
          </w:tcPr>
          <w:p w14:paraId="6F1E9FC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23,9%</w:t>
            </w:r>
          </w:p>
        </w:tc>
        <w:tc>
          <w:tcPr>
            <w:tcW w:w="740" w:type="dxa"/>
            <w:tcBorders>
              <w:top w:val="nil"/>
              <w:left w:val="nil"/>
              <w:bottom w:val="nil"/>
              <w:right w:val="nil"/>
            </w:tcBorders>
            <w:vAlign w:val="center"/>
          </w:tcPr>
          <w:p w14:paraId="04E38D4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0,0%</w:t>
            </w:r>
          </w:p>
        </w:tc>
        <w:tc>
          <w:tcPr>
            <w:tcW w:w="1032" w:type="dxa"/>
            <w:tcBorders>
              <w:top w:val="nil"/>
              <w:left w:val="nil"/>
              <w:bottom w:val="nil"/>
              <w:right w:val="nil"/>
            </w:tcBorders>
            <w:vAlign w:val="center"/>
          </w:tcPr>
          <w:p w14:paraId="28B082E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r>
      <w:tr w:rsidR="00C522AD" w:rsidRPr="00C522AD" w14:paraId="502E4D31" w14:textId="77777777">
        <w:trPr>
          <w:trHeight w:val="247"/>
        </w:trPr>
        <w:tc>
          <w:tcPr>
            <w:tcW w:w="3544" w:type="dxa"/>
            <w:tcBorders>
              <w:top w:val="nil"/>
              <w:left w:val="nil"/>
              <w:bottom w:val="nil"/>
              <w:right w:val="nil"/>
            </w:tcBorders>
            <w:vAlign w:val="center"/>
          </w:tcPr>
          <w:p w14:paraId="304A1E0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Articoli di carta e di cartone</w:t>
            </w:r>
          </w:p>
        </w:tc>
        <w:tc>
          <w:tcPr>
            <w:tcW w:w="1378" w:type="dxa"/>
            <w:tcBorders>
              <w:top w:val="nil"/>
              <w:left w:val="nil"/>
              <w:bottom w:val="nil"/>
              <w:right w:val="nil"/>
            </w:tcBorders>
            <w:vAlign w:val="center"/>
          </w:tcPr>
          <w:p w14:paraId="266E658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754.502.743</w:t>
            </w:r>
          </w:p>
        </w:tc>
        <w:tc>
          <w:tcPr>
            <w:tcW w:w="1384" w:type="dxa"/>
            <w:tcBorders>
              <w:top w:val="nil"/>
              <w:left w:val="nil"/>
              <w:bottom w:val="nil"/>
              <w:right w:val="nil"/>
            </w:tcBorders>
            <w:vAlign w:val="center"/>
          </w:tcPr>
          <w:p w14:paraId="7438EED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743.886.371</w:t>
            </w:r>
          </w:p>
        </w:tc>
        <w:tc>
          <w:tcPr>
            <w:tcW w:w="779" w:type="dxa"/>
            <w:tcBorders>
              <w:top w:val="nil"/>
              <w:left w:val="nil"/>
              <w:bottom w:val="nil"/>
              <w:right w:val="nil"/>
            </w:tcBorders>
            <w:vAlign w:val="center"/>
          </w:tcPr>
          <w:p w14:paraId="472F73F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13,8%</w:t>
            </w:r>
          </w:p>
        </w:tc>
        <w:tc>
          <w:tcPr>
            <w:tcW w:w="740" w:type="dxa"/>
            <w:tcBorders>
              <w:top w:val="nil"/>
              <w:left w:val="nil"/>
              <w:bottom w:val="nil"/>
              <w:right w:val="nil"/>
            </w:tcBorders>
            <w:vAlign w:val="center"/>
          </w:tcPr>
          <w:p w14:paraId="027FA31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-1,4%</w:t>
            </w:r>
          </w:p>
        </w:tc>
        <w:tc>
          <w:tcPr>
            <w:tcW w:w="1032" w:type="dxa"/>
            <w:tcBorders>
              <w:top w:val="nil"/>
              <w:left w:val="nil"/>
              <w:bottom w:val="nil"/>
              <w:right w:val="nil"/>
            </w:tcBorders>
            <w:vAlign w:val="center"/>
          </w:tcPr>
          <w:p w14:paraId="75A1831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r>
      <w:tr w:rsidR="00C522AD" w:rsidRPr="00C522AD" w14:paraId="1A315DE0" w14:textId="77777777">
        <w:trPr>
          <w:trHeight w:val="247"/>
        </w:trPr>
        <w:tc>
          <w:tcPr>
            <w:tcW w:w="3544" w:type="dxa"/>
            <w:tcBorders>
              <w:top w:val="nil"/>
              <w:left w:val="nil"/>
              <w:bottom w:val="nil"/>
              <w:right w:val="nil"/>
            </w:tcBorders>
            <w:vAlign w:val="center"/>
          </w:tcPr>
          <w:p w14:paraId="1B5420C0"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Altre macchine per impieghi speciali</w:t>
            </w:r>
          </w:p>
        </w:tc>
        <w:tc>
          <w:tcPr>
            <w:tcW w:w="1378" w:type="dxa"/>
            <w:tcBorders>
              <w:top w:val="nil"/>
              <w:left w:val="nil"/>
              <w:bottom w:val="nil"/>
              <w:right w:val="nil"/>
            </w:tcBorders>
            <w:vAlign w:val="center"/>
          </w:tcPr>
          <w:p w14:paraId="0579385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641.413.407</w:t>
            </w:r>
          </w:p>
        </w:tc>
        <w:tc>
          <w:tcPr>
            <w:tcW w:w="1384" w:type="dxa"/>
            <w:tcBorders>
              <w:top w:val="nil"/>
              <w:left w:val="nil"/>
              <w:bottom w:val="nil"/>
              <w:right w:val="nil"/>
            </w:tcBorders>
            <w:vAlign w:val="center"/>
          </w:tcPr>
          <w:p w14:paraId="1672821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577.761.770</w:t>
            </w:r>
          </w:p>
        </w:tc>
        <w:tc>
          <w:tcPr>
            <w:tcW w:w="779" w:type="dxa"/>
            <w:tcBorders>
              <w:top w:val="nil"/>
              <w:left w:val="nil"/>
              <w:bottom w:val="nil"/>
              <w:right w:val="nil"/>
            </w:tcBorders>
            <w:vAlign w:val="center"/>
          </w:tcPr>
          <w:p w14:paraId="41F4D60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10,7%</w:t>
            </w:r>
          </w:p>
        </w:tc>
        <w:tc>
          <w:tcPr>
            <w:tcW w:w="740" w:type="dxa"/>
            <w:tcBorders>
              <w:top w:val="nil"/>
              <w:left w:val="nil"/>
              <w:bottom w:val="nil"/>
              <w:right w:val="nil"/>
            </w:tcBorders>
            <w:vAlign w:val="center"/>
          </w:tcPr>
          <w:p w14:paraId="68C40DE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-9,9%</w:t>
            </w:r>
          </w:p>
        </w:tc>
        <w:tc>
          <w:tcPr>
            <w:tcW w:w="1032" w:type="dxa"/>
            <w:tcBorders>
              <w:top w:val="nil"/>
              <w:left w:val="nil"/>
              <w:bottom w:val="nil"/>
              <w:right w:val="nil"/>
            </w:tcBorders>
            <w:vAlign w:val="center"/>
          </w:tcPr>
          <w:p w14:paraId="44555F2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-1,1%</w:t>
            </w:r>
          </w:p>
        </w:tc>
      </w:tr>
      <w:tr w:rsidR="00C522AD" w:rsidRPr="00C522AD" w14:paraId="6A7B3D46" w14:textId="77777777">
        <w:trPr>
          <w:trHeight w:val="247"/>
        </w:trPr>
        <w:tc>
          <w:tcPr>
            <w:tcW w:w="3544" w:type="dxa"/>
            <w:tcBorders>
              <w:top w:val="nil"/>
              <w:left w:val="nil"/>
              <w:bottom w:val="nil"/>
              <w:right w:val="nil"/>
            </w:tcBorders>
            <w:vAlign w:val="center"/>
          </w:tcPr>
          <w:p w14:paraId="72EB1F02"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Pasta-carta, carta e cartone</w:t>
            </w:r>
          </w:p>
        </w:tc>
        <w:tc>
          <w:tcPr>
            <w:tcW w:w="1378" w:type="dxa"/>
            <w:tcBorders>
              <w:top w:val="nil"/>
              <w:left w:val="nil"/>
              <w:bottom w:val="nil"/>
              <w:right w:val="nil"/>
            </w:tcBorders>
            <w:vAlign w:val="center"/>
          </w:tcPr>
          <w:p w14:paraId="4111784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479.470.463</w:t>
            </w:r>
          </w:p>
        </w:tc>
        <w:tc>
          <w:tcPr>
            <w:tcW w:w="1384" w:type="dxa"/>
            <w:tcBorders>
              <w:top w:val="nil"/>
              <w:left w:val="nil"/>
              <w:bottom w:val="nil"/>
              <w:right w:val="nil"/>
            </w:tcBorders>
            <w:vAlign w:val="center"/>
          </w:tcPr>
          <w:p w14:paraId="563F181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455.288.169</w:t>
            </w:r>
          </w:p>
        </w:tc>
        <w:tc>
          <w:tcPr>
            <w:tcW w:w="779" w:type="dxa"/>
            <w:tcBorders>
              <w:top w:val="nil"/>
              <w:left w:val="nil"/>
              <w:bottom w:val="nil"/>
              <w:right w:val="nil"/>
            </w:tcBorders>
            <w:vAlign w:val="center"/>
          </w:tcPr>
          <w:p w14:paraId="4D8B6F2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8,4%</w:t>
            </w:r>
          </w:p>
        </w:tc>
        <w:tc>
          <w:tcPr>
            <w:tcW w:w="740" w:type="dxa"/>
            <w:tcBorders>
              <w:top w:val="nil"/>
              <w:left w:val="nil"/>
              <w:bottom w:val="nil"/>
              <w:right w:val="nil"/>
            </w:tcBorders>
            <w:vAlign w:val="center"/>
          </w:tcPr>
          <w:p w14:paraId="7934651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-5,0%</w:t>
            </w:r>
          </w:p>
        </w:tc>
        <w:tc>
          <w:tcPr>
            <w:tcW w:w="1032" w:type="dxa"/>
            <w:tcBorders>
              <w:top w:val="nil"/>
              <w:left w:val="nil"/>
              <w:bottom w:val="nil"/>
              <w:right w:val="nil"/>
            </w:tcBorders>
            <w:vAlign w:val="center"/>
          </w:tcPr>
          <w:p w14:paraId="6A16099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-0,4%</w:t>
            </w:r>
          </w:p>
        </w:tc>
      </w:tr>
      <w:tr w:rsidR="00C522AD" w:rsidRPr="00C522AD" w14:paraId="3CC9F021" w14:textId="77777777">
        <w:trPr>
          <w:trHeight w:val="247"/>
        </w:trPr>
        <w:tc>
          <w:tcPr>
            <w:tcW w:w="3544" w:type="dxa"/>
            <w:tcBorders>
              <w:top w:val="nil"/>
              <w:left w:val="nil"/>
              <w:bottom w:val="nil"/>
              <w:right w:val="nil"/>
            </w:tcBorders>
            <w:vAlign w:val="center"/>
          </w:tcPr>
          <w:p w14:paraId="14EA8897"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Apparecchiature di cablaggio</w:t>
            </w:r>
          </w:p>
        </w:tc>
        <w:tc>
          <w:tcPr>
            <w:tcW w:w="1378" w:type="dxa"/>
            <w:tcBorders>
              <w:top w:val="nil"/>
              <w:left w:val="nil"/>
              <w:bottom w:val="nil"/>
              <w:right w:val="nil"/>
            </w:tcBorders>
            <w:vAlign w:val="center"/>
          </w:tcPr>
          <w:p w14:paraId="0486BA6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317.366.979</w:t>
            </w:r>
          </w:p>
        </w:tc>
        <w:tc>
          <w:tcPr>
            <w:tcW w:w="1384" w:type="dxa"/>
            <w:tcBorders>
              <w:top w:val="nil"/>
              <w:left w:val="nil"/>
              <w:bottom w:val="nil"/>
              <w:right w:val="nil"/>
            </w:tcBorders>
            <w:vAlign w:val="center"/>
          </w:tcPr>
          <w:p w14:paraId="3FA91DE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319.571.948</w:t>
            </w:r>
          </w:p>
        </w:tc>
        <w:tc>
          <w:tcPr>
            <w:tcW w:w="779" w:type="dxa"/>
            <w:tcBorders>
              <w:top w:val="nil"/>
              <w:left w:val="nil"/>
              <w:bottom w:val="nil"/>
              <w:right w:val="nil"/>
            </w:tcBorders>
            <w:vAlign w:val="center"/>
          </w:tcPr>
          <w:p w14:paraId="55ED6B7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5,9%</w:t>
            </w:r>
          </w:p>
        </w:tc>
        <w:tc>
          <w:tcPr>
            <w:tcW w:w="740" w:type="dxa"/>
            <w:tcBorders>
              <w:top w:val="nil"/>
              <w:left w:val="nil"/>
              <w:bottom w:val="nil"/>
              <w:right w:val="nil"/>
            </w:tcBorders>
            <w:vAlign w:val="center"/>
          </w:tcPr>
          <w:p w14:paraId="10402BF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0,7%</w:t>
            </w:r>
          </w:p>
        </w:tc>
        <w:tc>
          <w:tcPr>
            <w:tcW w:w="1032" w:type="dxa"/>
            <w:tcBorders>
              <w:top w:val="nil"/>
              <w:left w:val="nil"/>
              <w:bottom w:val="nil"/>
              <w:right w:val="nil"/>
            </w:tcBorders>
            <w:vAlign w:val="center"/>
          </w:tcPr>
          <w:p w14:paraId="08E4638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r>
      <w:tr w:rsidR="00C522AD" w:rsidRPr="00C522AD" w14:paraId="44AC295B" w14:textId="77777777">
        <w:trPr>
          <w:trHeight w:val="247"/>
        </w:trPr>
        <w:tc>
          <w:tcPr>
            <w:tcW w:w="3544" w:type="dxa"/>
            <w:tcBorders>
              <w:top w:val="nil"/>
              <w:left w:val="nil"/>
              <w:bottom w:val="nil"/>
              <w:right w:val="nil"/>
            </w:tcBorders>
            <w:vAlign w:val="center"/>
          </w:tcPr>
          <w:p w14:paraId="2A0DF88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Oli e grassi vegetali e animali</w:t>
            </w:r>
          </w:p>
        </w:tc>
        <w:tc>
          <w:tcPr>
            <w:tcW w:w="1378" w:type="dxa"/>
            <w:tcBorders>
              <w:top w:val="nil"/>
              <w:left w:val="nil"/>
              <w:bottom w:val="nil"/>
              <w:right w:val="nil"/>
            </w:tcBorders>
            <w:vAlign w:val="center"/>
          </w:tcPr>
          <w:p w14:paraId="75044B6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363.856.008</w:t>
            </w:r>
          </w:p>
        </w:tc>
        <w:tc>
          <w:tcPr>
            <w:tcW w:w="1384" w:type="dxa"/>
            <w:tcBorders>
              <w:top w:val="nil"/>
              <w:left w:val="nil"/>
              <w:bottom w:val="nil"/>
              <w:right w:val="nil"/>
            </w:tcBorders>
            <w:vAlign w:val="center"/>
          </w:tcPr>
          <w:p w14:paraId="40CC972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290.595.333</w:t>
            </w:r>
          </w:p>
        </w:tc>
        <w:tc>
          <w:tcPr>
            <w:tcW w:w="779" w:type="dxa"/>
            <w:tcBorders>
              <w:top w:val="nil"/>
              <w:left w:val="nil"/>
              <w:bottom w:val="nil"/>
              <w:right w:val="nil"/>
            </w:tcBorders>
            <w:vAlign w:val="center"/>
          </w:tcPr>
          <w:p w14:paraId="03CEFDE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5,4%</w:t>
            </w:r>
          </w:p>
        </w:tc>
        <w:tc>
          <w:tcPr>
            <w:tcW w:w="740" w:type="dxa"/>
            <w:tcBorders>
              <w:top w:val="nil"/>
              <w:left w:val="nil"/>
              <w:bottom w:val="nil"/>
              <w:right w:val="nil"/>
            </w:tcBorders>
            <w:vAlign w:val="center"/>
          </w:tcPr>
          <w:p w14:paraId="36EF0E6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-20,1%</w:t>
            </w:r>
          </w:p>
        </w:tc>
        <w:tc>
          <w:tcPr>
            <w:tcW w:w="1032" w:type="dxa"/>
            <w:tcBorders>
              <w:top w:val="nil"/>
              <w:left w:val="nil"/>
              <w:bottom w:val="nil"/>
              <w:right w:val="nil"/>
            </w:tcBorders>
            <w:vAlign w:val="center"/>
          </w:tcPr>
          <w:p w14:paraId="0C08B24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-1,3%</w:t>
            </w:r>
          </w:p>
        </w:tc>
      </w:tr>
      <w:tr w:rsidR="00C522AD" w:rsidRPr="00C522AD" w14:paraId="20FF5C22" w14:textId="77777777">
        <w:trPr>
          <w:trHeight w:val="247"/>
        </w:trPr>
        <w:tc>
          <w:tcPr>
            <w:tcW w:w="3544" w:type="dxa"/>
            <w:tcBorders>
              <w:top w:val="nil"/>
              <w:left w:val="nil"/>
              <w:bottom w:val="nil"/>
              <w:right w:val="nil"/>
            </w:tcBorders>
            <w:vAlign w:val="center"/>
          </w:tcPr>
          <w:p w14:paraId="1BBB608D"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Metalli di base preziosi e altri non ferrosi</w:t>
            </w:r>
          </w:p>
        </w:tc>
        <w:tc>
          <w:tcPr>
            <w:tcW w:w="1378" w:type="dxa"/>
            <w:tcBorders>
              <w:top w:val="nil"/>
              <w:left w:val="nil"/>
              <w:bottom w:val="nil"/>
              <w:right w:val="nil"/>
            </w:tcBorders>
            <w:vAlign w:val="center"/>
          </w:tcPr>
          <w:p w14:paraId="7E73C88D"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257.260.603</w:t>
            </w:r>
          </w:p>
        </w:tc>
        <w:tc>
          <w:tcPr>
            <w:tcW w:w="1384" w:type="dxa"/>
            <w:tcBorders>
              <w:top w:val="nil"/>
              <w:left w:val="nil"/>
              <w:bottom w:val="nil"/>
              <w:right w:val="nil"/>
            </w:tcBorders>
            <w:vAlign w:val="center"/>
          </w:tcPr>
          <w:p w14:paraId="3AE1C66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252.901.980</w:t>
            </w:r>
          </w:p>
        </w:tc>
        <w:tc>
          <w:tcPr>
            <w:tcW w:w="779" w:type="dxa"/>
            <w:tcBorders>
              <w:top w:val="nil"/>
              <w:left w:val="nil"/>
              <w:bottom w:val="nil"/>
              <w:right w:val="nil"/>
            </w:tcBorders>
            <w:vAlign w:val="center"/>
          </w:tcPr>
          <w:p w14:paraId="0286318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4,7%</w:t>
            </w:r>
          </w:p>
        </w:tc>
        <w:tc>
          <w:tcPr>
            <w:tcW w:w="740" w:type="dxa"/>
            <w:tcBorders>
              <w:top w:val="nil"/>
              <w:left w:val="nil"/>
              <w:bottom w:val="nil"/>
              <w:right w:val="nil"/>
            </w:tcBorders>
            <w:vAlign w:val="center"/>
          </w:tcPr>
          <w:p w14:paraId="712680B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w:t>
            </w:r>
          </w:p>
        </w:tc>
        <w:tc>
          <w:tcPr>
            <w:tcW w:w="1032" w:type="dxa"/>
            <w:tcBorders>
              <w:top w:val="nil"/>
              <w:left w:val="nil"/>
              <w:bottom w:val="nil"/>
              <w:right w:val="nil"/>
            </w:tcBorders>
            <w:vAlign w:val="center"/>
          </w:tcPr>
          <w:p w14:paraId="6D24348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53FAA9B4" w14:textId="77777777">
        <w:trPr>
          <w:trHeight w:val="247"/>
        </w:trPr>
        <w:tc>
          <w:tcPr>
            <w:tcW w:w="3544" w:type="dxa"/>
            <w:tcBorders>
              <w:top w:val="nil"/>
              <w:left w:val="nil"/>
              <w:bottom w:val="nil"/>
              <w:right w:val="nil"/>
            </w:tcBorders>
            <w:vAlign w:val="center"/>
          </w:tcPr>
          <w:p w14:paraId="7F7E566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Medicinali e preparati farmaceutici</w:t>
            </w:r>
          </w:p>
        </w:tc>
        <w:tc>
          <w:tcPr>
            <w:tcW w:w="1378" w:type="dxa"/>
            <w:tcBorders>
              <w:top w:val="nil"/>
              <w:left w:val="nil"/>
              <w:bottom w:val="nil"/>
              <w:right w:val="nil"/>
            </w:tcBorders>
            <w:vAlign w:val="center"/>
          </w:tcPr>
          <w:p w14:paraId="2CC55CED"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175.432.978</w:t>
            </w:r>
          </w:p>
        </w:tc>
        <w:tc>
          <w:tcPr>
            <w:tcW w:w="1384" w:type="dxa"/>
            <w:tcBorders>
              <w:top w:val="nil"/>
              <w:left w:val="nil"/>
              <w:bottom w:val="nil"/>
              <w:right w:val="nil"/>
            </w:tcBorders>
            <w:vAlign w:val="center"/>
          </w:tcPr>
          <w:p w14:paraId="2A8AA9D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177.849.399</w:t>
            </w:r>
          </w:p>
        </w:tc>
        <w:tc>
          <w:tcPr>
            <w:tcW w:w="779" w:type="dxa"/>
            <w:tcBorders>
              <w:top w:val="nil"/>
              <w:left w:val="nil"/>
              <w:bottom w:val="nil"/>
              <w:right w:val="nil"/>
            </w:tcBorders>
            <w:vAlign w:val="center"/>
          </w:tcPr>
          <w:p w14:paraId="24A3853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3,3%</w:t>
            </w:r>
          </w:p>
        </w:tc>
        <w:tc>
          <w:tcPr>
            <w:tcW w:w="740" w:type="dxa"/>
            <w:tcBorders>
              <w:top w:val="nil"/>
              <w:left w:val="nil"/>
              <w:bottom w:val="nil"/>
              <w:right w:val="nil"/>
            </w:tcBorders>
            <w:vAlign w:val="center"/>
          </w:tcPr>
          <w:p w14:paraId="303A411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1,4%</w:t>
            </w:r>
          </w:p>
        </w:tc>
        <w:tc>
          <w:tcPr>
            <w:tcW w:w="1032" w:type="dxa"/>
            <w:tcBorders>
              <w:top w:val="nil"/>
              <w:left w:val="nil"/>
              <w:bottom w:val="nil"/>
              <w:right w:val="nil"/>
            </w:tcBorders>
            <w:vAlign w:val="center"/>
          </w:tcPr>
          <w:p w14:paraId="45E0968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r>
      <w:tr w:rsidR="00C522AD" w:rsidRPr="00C522AD" w14:paraId="0C58DF53" w14:textId="77777777">
        <w:trPr>
          <w:trHeight w:val="247"/>
        </w:trPr>
        <w:tc>
          <w:tcPr>
            <w:tcW w:w="3544" w:type="dxa"/>
            <w:tcBorders>
              <w:top w:val="nil"/>
              <w:left w:val="nil"/>
              <w:bottom w:val="nil"/>
              <w:right w:val="nil"/>
            </w:tcBorders>
            <w:vAlign w:val="center"/>
          </w:tcPr>
          <w:p w14:paraId="524D4C3C"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Macchine di impiego generale</w:t>
            </w:r>
          </w:p>
        </w:tc>
        <w:tc>
          <w:tcPr>
            <w:tcW w:w="1378" w:type="dxa"/>
            <w:tcBorders>
              <w:top w:val="nil"/>
              <w:left w:val="nil"/>
              <w:bottom w:val="nil"/>
              <w:right w:val="nil"/>
            </w:tcBorders>
            <w:vAlign w:val="center"/>
          </w:tcPr>
          <w:p w14:paraId="7A727E9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138.913.160</w:t>
            </w:r>
          </w:p>
        </w:tc>
        <w:tc>
          <w:tcPr>
            <w:tcW w:w="1384" w:type="dxa"/>
            <w:tcBorders>
              <w:top w:val="nil"/>
              <w:left w:val="nil"/>
              <w:bottom w:val="nil"/>
              <w:right w:val="nil"/>
            </w:tcBorders>
            <w:vAlign w:val="center"/>
          </w:tcPr>
          <w:p w14:paraId="156EB30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145.308.777</w:t>
            </w:r>
          </w:p>
        </w:tc>
        <w:tc>
          <w:tcPr>
            <w:tcW w:w="779" w:type="dxa"/>
            <w:tcBorders>
              <w:top w:val="nil"/>
              <w:left w:val="nil"/>
              <w:bottom w:val="nil"/>
              <w:right w:val="nil"/>
            </w:tcBorders>
            <w:vAlign w:val="center"/>
          </w:tcPr>
          <w:p w14:paraId="52D612E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2,7%</w:t>
            </w:r>
          </w:p>
        </w:tc>
        <w:tc>
          <w:tcPr>
            <w:tcW w:w="740" w:type="dxa"/>
            <w:tcBorders>
              <w:top w:val="nil"/>
              <w:left w:val="nil"/>
              <w:bottom w:val="nil"/>
              <w:right w:val="nil"/>
            </w:tcBorders>
            <w:vAlign w:val="center"/>
          </w:tcPr>
          <w:p w14:paraId="799F936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4,6%</w:t>
            </w:r>
          </w:p>
        </w:tc>
        <w:tc>
          <w:tcPr>
            <w:tcW w:w="1032" w:type="dxa"/>
            <w:tcBorders>
              <w:top w:val="nil"/>
              <w:left w:val="nil"/>
              <w:bottom w:val="nil"/>
              <w:right w:val="nil"/>
            </w:tcBorders>
            <w:vAlign w:val="center"/>
          </w:tcPr>
          <w:p w14:paraId="79E61FA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1B914534" w14:textId="77777777">
        <w:trPr>
          <w:trHeight w:val="247"/>
        </w:trPr>
        <w:tc>
          <w:tcPr>
            <w:tcW w:w="3544" w:type="dxa"/>
            <w:tcBorders>
              <w:top w:val="nil"/>
              <w:left w:val="nil"/>
              <w:bottom w:val="nil"/>
              <w:right w:val="nil"/>
            </w:tcBorders>
            <w:vAlign w:val="center"/>
          </w:tcPr>
          <w:p w14:paraId="487C39A9"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Altre macchine di impiego generale</w:t>
            </w:r>
          </w:p>
        </w:tc>
        <w:tc>
          <w:tcPr>
            <w:tcW w:w="1378" w:type="dxa"/>
            <w:tcBorders>
              <w:top w:val="nil"/>
              <w:left w:val="nil"/>
              <w:bottom w:val="nil"/>
              <w:right w:val="nil"/>
            </w:tcBorders>
            <w:vAlign w:val="center"/>
          </w:tcPr>
          <w:p w14:paraId="60BCDF4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135.265.749</w:t>
            </w:r>
          </w:p>
        </w:tc>
        <w:tc>
          <w:tcPr>
            <w:tcW w:w="1384" w:type="dxa"/>
            <w:tcBorders>
              <w:top w:val="nil"/>
              <w:left w:val="nil"/>
              <w:bottom w:val="nil"/>
              <w:right w:val="nil"/>
            </w:tcBorders>
            <w:vAlign w:val="center"/>
          </w:tcPr>
          <w:p w14:paraId="48CFCE8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142.112.901</w:t>
            </w:r>
          </w:p>
        </w:tc>
        <w:tc>
          <w:tcPr>
            <w:tcW w:w="779" w:type="dxa"/>
            <w:tcBorders>
              <w:top w:val="nil"/>
              <w:left w:val="nil"/>
              <w:bottom w:val="nil"/>
              <w:right w:val="nil"/>
            </w:tcBorders>
            <w:vAlign w:val="center"/>
          </w:tcPr>
          <w:p w14:paraId="6732583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2,6%</w:t>
            </w:r>
          </w:p>
        </w:tc>
        <w:tc>
          <w:tcPr>
            <w:tcW w:w="740" w:type="dxa"/>
            <w:tcBorders>
              <w:top w:val="nil"/>
              <w:left w:val="nil"/>
              <w:bottom w:val="nil"/>
              <w:right w:val="nil"/>
            </w:tcBorders>
            <w:vAlign w:val="center"/>
          </w:tcPr>
          <w:p w14:paraId="11704ED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5,1%</w:t>
            </w:r>
          </w:p>
        </w:tc>
        <w:tc>
          <w:tcPr>
            <w:tcW w:w="1032" w:type="dxa"/>
            <w:tcBorders>
              <w:top w:val="nil"/>
              <w:left w:val="nil"/>
              <w:bottom w:val="nil"/>
              <w:right w:val="nil"/>
            </w:tcBorders>
            <w:vAlign w:val="center"/>
          </w:tcPr>
          <w:p w14:paraId="1C8E564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5E22BE83" w14:textId="77777777">
        <w:trPr>
          <w:trHeight w:val="247"/>
        </w:trPr>
        <w:tc>
          <w:tcPr>
            <w:tcW w:w="3544" w:type="dxa"/>
            <w:tcBorders>
              <w:top w:val="nil"/>
              <w:left w:val="nil"/>
              <w:bottom w:val="nil"/>
              <w:right w:val="nil"/>
            </w:tcBorders>
            <w:vAlign w:val="center"/>
          </w:tcPr>
          <w:p w14:paraId="2F189A1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Articoli in materie plastiche</w:t>
            </w:r>
          </w:p>
        </w:tc>
        <w:tc>
          <w:tcPr>
            <w:tcW w:w="1378" w:type="dxa"/>
            <w:tcBorders>
              <w:top w:val="nil"/>
              <w:left w:val="nil"/>
              <w:bottom w:val="nil"/>
              <w:right w:val="nil"/>
            </w:tcBorders>
            <w:vAlign w:val="center"/>
          </w:tcPr>
          <w:p w14:paraId="5DDBE85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103.754.895</w:t>
            </w:r>
          </w:p>
        </w:tc>
        <w:tc>
          <w:tcPr>
            <w:tcW w:w="1384" w:type="dxa"/>
            <w:tcBorders>
              <w:top w:val="nil"/>
              <w:left w:val="nil"/>
              <w:bottom w:val="nil"/>
              <w:right w:val="nil"/>
            </w:tcBorders>
            <w:vAlign w:val="center"/>
          </w:tcPr>
          <w:p w14:paraId="586CAA0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101.225.498</w:t>
            </w:r>
          </w:p>
        </w:tc>
        <w:tc>
          <w:tcPr>
            <w:tcW w:w="779" w:type="dxa"/>
            <w:tcBorders>
              <w:top w:val="nil"/>
              <w:left w:val="nil"/>
              <w:bottom w:val="nil"/>
              <w:right w:val="nil"/>
            </w:tcBorders>
            <w:vAlign w:val="center"/>
          </w:tcPr>
          <w:p w14:paraId="5BC4456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1,9%</w:t>
            </w:r>
          </w:p>
        </w:tc>
        <w:tc>
          <w:tcPr>
            <w:tcW w:w="740" w:type="dxa"/>
            <w:tcBorders>
              <w:top w:val="nil"/>
              <w:left w:val="nil"/>
              <w:bottom w:val="nil"/>
              <w:right w:val="nil"/>
            </w:tcBorders>
            <w:vAlign w:val="center"/>
          </w:tcPr>
          <w:p w14:paraId="13A87A3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-2,4%</w:t>
            </w:r>
          </w:p>
        </w:tc>
        <w:tc>
          <w:tcPr>
            <w:tcW w:w="1032" w:type="dxa"/>
            <w:tcBorders>
              <w:top w:val="nil"/>
              <w:left w:val="nil"/>
              <w:bottom w:val="nil"/>
              <w:right w:val="nil"/>
            </w:tcBorders>
            <w:vAlign w:val="center"/>
          </w:tcPr>
          <w:p w14:paraId="416516A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r>
      <w:tr w:rsidR="00C522AD" w:rsidRPr="00C522AD" w14:paraId="4292CCA5" w14:textId="77777777">
        <w:trPr>
          <w:trHeight w:val="247"/>
        </w:trPr>
        <w:tc>
          <w:tcPr>
            <w:tcW w:w="3544" w:type="dxa"/>
            <w:tcBorders>
              <w:top w:val="nil"/>
              <w:left w:val="nil"/>
              <w:bottom w:val="nil"/>
              <w:right w:val="nil"/>
            </w:tcBorders>
            <w:vAlign w:val="center"/>
          </w:tcPr>
          <w:p w14:paraId="75F38A1E"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Pietre tagliate, modellate e finite</w:t>
            </w:r>
          </w:p>
        </w:tc>
        <w:tc>
          <w:tcPr>
            <w:tcW w:w="1378" w:type="dxa"/>
            <w:tcBorders>
              <w:top w:val="nil"/>
              <w:left w:val="nil"/>
              <w:bottom w:val="nil"/>
              <w:right w:val="nil"/>
            </w:tcBorders>
            <w:vAlign w:val="center"/>
          </w:tcPr>
          <w:p w14:paraId="1B069BA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108.152.742</w:t>
            </w:r>
          </w:p>
        </w:tc>
        <w:tc>
          <w:tcPr>
            <w:tcW w:w="1384" w:type="dxa"/>
            <w:tcBorders>
              <w:top w:val="nil"/>
              <w:left w:val="nil"/>
              <w:bottom w:val="nil"/>
              <w:right w:val="nil"/>
            </w:tcBorders>
            <w:vAlign w:val="center"/>
          </w:tcPr>
          <w:p w14:paraId="678D5DB5"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98.460.731</w:t>
            </w:r>
          </w:p>
        </w:tc>
        <w:tc>
          <w:tcPr>
            <w:tcW w:w="779" w:type="dxa"/>
            <w:tcBorders>
              <w:top w:val="nil"/>
              <w:left w:val="nil"/>
              <w:bottom w:val="nil"/>
              <w:right w:val="nil"/>
            </w:tcBorders>
            <w:vAlign w:val="center"/>
          </w:tcPr>
          <w:p w14:paraId="3550CA0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1,8%</w:t>
            </w:r>
          </w:p>
        </w:tc>
        <w:tc>
          <w:tcPr>
            <w:tcW w:w="740" w:type="dxa"/>
            <w:tcBorders>
              <w:top w:val="nil"/>
              <w:left w:val="nil"/>
              <w:bottom w:val="nil"/>
              <w:right w:val="nil"/>
            </w:tcBorders>
            <w:vAlign w:val="center"/>
          </w:tcPr>
          <w:p w14:paraId="7762A61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-9,0%</w:t>
            </w:r>
          </w:p>
        </w:tc>
        <w:tc>
          <w:tcPr>
            <w:tcW w:w="1032" w:type="dxa"/>
            <w:tcBorders>
              <w:top w:val="nil"/>
              <w:left w:val="nil"/>
              <w:bottom w:val="nil"/>
              <w:right w:val="nil"/>
            </w:tcBorders>
            <w:vAlign w:val="center"/>
          </w:tcPr>
          <w:p w14:paraId="1E8A8165"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r>
      <w:tr w:rsidR="00C522AD" w:rsidRPr="00C522AD" w14:paraId="3E94CECA" w14:textId="77777777">
        <w:trPr>
          <w:trHeight w:val="247"/>
        </w:trPr>
        <w:tc>
          <w:tcPr>
            <w:tcW w:w="3544" w:type="dxa"/>
            <w:tcBorders>
              <w:top w:val="nil"/>
              <w:left w:val="nil"/>
              <w:bottom w:val="nil"/>
              <w:right w:val="nil"/>
            </w:tcBorders>
            <w:vAlign w:val="center"/>
          </w:tcPr>
          <w:p w14:paraId="14C19E53"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Calzature</w:t>
            </w:r>
          </w:p>
        </w:tc>
        <w:tc>
          <w:tcPr>
            <w:tcW w:w="1378" w:type="dxa"/>
            <w:tcBorders>
              <w:top w:val="nil"/>
              <w:left w:val="nil"/>
              <w:bottom w:val="nil"/>
              <w:right w:val="nil"/>
            </w:tcBorders>
            <w:vAlign w:val="center"/>
          </w:tcPr>
          <w:p w14:paraId="62E39B7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92.376.625</w:t>
            </w:r>
          </w:p>
        </w:tc>
        <w:tc>
          <w:tcPr>
            <w:tcW w:w="1384" w:type="dxa"/>
            <w:tcBorders>
              <w:top w:val="nil"/>
              <w:left w:val="nil"/>
              <w:bottom w:val="nil"/>
              <w:right w:val="nil"/>
            </w:tcBorders>
            <w:vAlign w:val="center"/>
          </w:tcPr>
          <w:p w14:paraId="50CFD86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89.359.692</w:t>
            </w:r>
          </w:p>
        </w:tc>
        <w:tc>
          <w:tcPr>
            <w:tcW w:w="779" w:type="dxa"/>
            <w:tcBorders>
              <w:top w:val="nil"/>
              <w:left w:val="nil"/>
              <w:bottom w:val="nil"/>
              <w:right w:val="nil"/>
            </w:tcBorders>
            <w:vAlign w:val="center"/>
          </w:tcPr>
          <w:p w14:paraId="50ACEB4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w:t>
            </w:r>
          </w:p>
        </w:tc>
        <w:tc>
          <w:tcPr>
            <w:tcW w:w="740" w:type="dxa"/>
            <w:tcBorders>
              <w:top w:val="nil"/>
              <w:left w:val="nil"/>
              <w:bottom w:val="nil"/>
              <w:right w:val="nil"/>
            </w:tcBorders>
            <w:vAlign w:val="center"/>
          </w:tcPr>
          <w:p w14:paraId="14CA440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-3,3%</w:t>
            </w:r>
          </w:p>
        </w:tc>
        <w:tc>
          <w:tcPr>
            <w:tcW w:w="1032" w:type="dxa"/>
            <w:tcBorders>
              <w:top w:val="nil"/>
              <w:left w:val="nil"/>
              <w:bottom w:val="nil"/>
              <w:right w:val="nil"/>
            </w:tcBorders>
            <w:vAlign w:val="center"/>
          </w:tcPr>
          <w:p w14:paraId="2E9FABF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07F1EA1C" w14:textId="77777777">
        <w:trPr>
          <w:trHeight w:val="247"/>
        </w:trPr>
        <w:tc>
          <w:tcPr>
            <w:tcW w:w="3544" w:type="dxa"/>
            <w:tcBorders>
              <w:top w:val="nil"/>
              <w:left w:val="nil"/>
              <w:bottom w:val="nil"/>
              <w:right w:val="nil"/>
            </w:tcBorders>
            <w:vAlign w:val="center"/>
          </w:tcPr>
          <w:p w14:paraId="6DCDEDBA" w14:textId="647620AC" w:rsidR="00C91C1B" w:rsidRPr="00C522AD" w:rsidRDefault="002E000B">
            <w:pPr>
              <w:pBdr>
                <w:top w:val="nil"/>
                <w:left w:val="nil"/>
                <w:bottom w:val="nil"/>
                <w:right w:val="nil"/>
                <w:between w:val="nil"/>
              </w:pBdr>
              <w:ind w:right="-226"/>
              <w:rPr>
                <w:rFonts w:ascii="Calibri" w:eastAsia="Calibri" w:hAnsi="Calibri" w:cs="Calibri"/>
              </w:rPr>
            </w:pPr>
            <w:r w:rsidRPr="00C522AD">
              <w:rPr>
                <w:rFonts w:ascii="Calibri" w:eastAsia="Calibri" w:hAnsi="Calibri" w:cs="Calibri"/>
              </w:rPr>
              <w:t>U</w:t>
            </w:r>
            <w:r w:rsidR="00C227BB" w:rsidRPr="00C522AD">
              <w:rPr>
                <w:rFonts w:ascii="Calibri" w:eastAsia="Calibri" w:hAnsi="Calibri" w:cs="Calibri"/>
              </w:rPr>
              <w:t>tensili</w:t>
            </w:r>
            <w:r w:rsidRPr="00C522AD">
              <w:rPr>
                <w:rFonts w:ascii="Calibri" w:eastAsia="Calibri" w:hAnsi="Calibri" w:cs="Calibri"/>
              </w:rPr>
              <w:t xml:space="preserve"> e articoli di </w:t>
            </w:r>
            <w:r w:rsidR="00C227BB" w:rsidRPr="00C522AD">
              <w:rPr>
                <w:rFonts w:ascii="Calibri" w:eastAsia="Calibri" w:hAnsi="Calibri" w:cs="Calibri"/>
              </w:rPr>
              <w:t>ferramenta</w:t>
            </w:r>
          </w:p>
        </w:tc>
        <w:tc>
          <w:tcPr>
            <w:tcW w:w="1378" w:type="dxa"/>
            <w:tcBorders>
              <w:top w:val="nil"/>
              <w:left w:val="nil"/>
              <w:bottom w:val="nil"/>
              <w:right w:val="nil"/>
            </w:tcBorders>
            <w:vAlign w:val="center"/>
          </w:tcPr>
          <w:p w14:paraId="1025EA5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57.002.495</w:t>
            </w:r>
          </w:p>
        </w:tc>
        <w:tc>
          <w:tcPr>
            <w:tcW w:w="1384" w:type="dxa"/>
            <w:tcBorders>
              <w:top w:val="nil"/>
              <w:left w:val="nil"/>
              <w:bottom w:val="nil"/>
              <w:right w:val="nil"/>
            </w:tcBorders>
            <w:vAlign w:val="center"/>
          </w:tcPr>
          <w:p w14:paraId="199ACEB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61.050.896</w:t>
            </w:r>
          </w:p>
        </w:tc>
        <w:tc>
          <w:tcPr>
            <w:tcW w:w="779" w:type="dxa"/>
            <w:tcBorders>
              <w:top w:val="nil"/>
              <w:left w:val="nil"/>
              <w:bottom w:val="nil"/>
              <w:right w:val="nil"/>
            </w:tcBorders>
            <w:vAlign w:val="center"/>
          </w:tcPr>
          <w:p w14:paraId="62F8F92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1,1%</w:t>
            </w:r>
          </w:p>
        </w:tc>
        <w:tc>
          <w:tcPr>
            <w:tcW w:w="740" w:type="dxa"/>
            <w:tcBorders>
              <w:top w:val="nil"/>
              <w:left w:val="nil"/>
              <w:bottom w:val="nil"/>
              <w:right w:val="nil"/>
            </w:tcBorders>
            <w:vAlign w:val="center"/>
          </w:tcPr>
          <w:p w14:paraId="047C241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7,1%</w:t>
            </w:r>
          </w:p>
        </w:tc>
        <w:tc>
          <w:tcPr>
            <w:tcW w:w="1032" w:type="dxa"/>
            <w:tcBorders>
              <w:top w:val="nil"/>
              <w:left w:val="nil"/>
              <w:bottom w:val="nil"/>
              <w:right w:val="nil"/>
            </w:tcBorders>
            <w:vAlign w:val="center"/>
          </w:tcPr>
          <w:p w14:paraId="2982548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084FAE98" w14:textId="77777777">
        <w:trPr>
          <w:trHeight w:val="247"/>
        </w:trPr>
        <w:tc>
          <w:tcPr>
            <w:tcW w:w="3544" w:type="dxa"/>
            <w:tcBorders>
              <w:top w:val="nil"/>
              <w:left w:val="nil"/>
              <w:bottom w:val="nil"/>
              <w:right w:val="nil"/>
            </w:tcBorders>
            <w:vAlign w:val="center"/>
          </w:tcPr>
          <w:p w14:paraId="66AEDB9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 xml:space="preserve">Strumenti di </w:t>
            </w:r>
            <w:proofErr w:type="spellStart"/>
            <w:r w:rsidRPr="00C522AD">
              <w:rPr>
                <w:rFonts w:ascii="Calibri" w:eastAsia="Calibri" w:hAnsi="Calibri" w:cs="Calibri"/>
              </w:rPr>
              <w:t>misuraz</w:t>
            </w:r>
            <w:proofErr w:type="spellEnd"/>
            <w:r w:rsidRPr="00C522AD">
              <w:rPr>
                <w:rFonts w:ascii="Calibri" w:eastAsia="Calibri" w:hAnsi="Calibri" w:cs="Calibri"/>
              </w:rPr>
              <w:t xml:space="preserve">., prova e </w:t>
            </w:r>
            <w:proofErr w:type="spellStart"/>
            <w:r w:rsidRPr="00C522AD">
              <w:rPr>
                <w:rFonts w:ascii="Calibri" w:eastAsia="Calibri" w:hAnsi="Calibri" w:cs="Calibri"/>
              </w:rPr>
              <w:t>navigaz</w:t>
            </w:r>
            <w:proofErr w:type="spellEnd"/>
            <w:r w:rsidRPr="00C522AD">
              <w:rPr>
                <w:rFonts w:ascii="Calibri" w:eastAsia="Calibri" w:hAnsi="Calibri" w:cs="Calibri"/>
              </w:rPr>
              <w:t>.</w:t>
            </w:r>
          </w:p>
        </w:tc>
        <w:tc>
          <w:tcPr>
            <w:tcW w:w="1378" w:type="dxa"/>
            <w:tcBorders>
              <w:top w:val="nil"/>
              <w:left w:val="nil"/>
              <w:bottom w:val="nil"/>
              <w:right w:val="nil"/>
            </w:tcBorders>
            <w:vAlign w:val="center"/>
          </w:tcPr>
          <w:p w14:paraId="5D2AD1C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50.709.934</w:t>
            </w:r>
          </w:p>
        </w:tc>
        <w:tc>
          <w:tcPr>
            <w:tcW w:w="1384" w:type="dxa"/>
            <w:tcBorders>
              <w:top w:val="nil"/>
              <w:left w:val="nil"/>
              <w:bottom w:val="nil"/>
              <w:right w:val="nil"/>
            </w:tcBorders>
            <w:vAlign w:val="center"/>
          </w:tcPr>
          <w:p w14:paraId="4EBF63D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52.616.344</w:t>
            </w:r>
          </w:p>
        </w:tc>
        <w:tc>
          <w:tcPr>
            <w:tcW w:w="779" w:type="dxa"/>
            <w:tcBorders>
              <w:top w:val="nil"/>
              <w:left w:val="nil"/>
              <w:bottom w:val="nil"/>
              <w:right w:val="nil"/>
            </w:tcBorders>
            <w:vAlign w:val="center"/>
          </w:tcPr>
          <w:p w14:paraId="1F65013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w:t>
            </w:r>
          </w:p>
        </w:tc>
        <w:tc>
          <w:tcPr>
            <w:tcW w:w="740" w:type="dxa"/>
            <w:tcBorders>
              <w:top w:val="nil"/>
              <w:left w:val="nil"/>
              <w:bottom w:val="nil"/>
              <w:right w:val="nil"/>
            </w:tcBorders>
            <w:vAlign w:val="center"/>
          </w:tcPr>
          <w:p w14:paraId="00EBC4D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3,8%</w:t>
            </w:r>
          </w:p>
        </w:tc>
        <w:tc>
          <w:tcPr>
            <w:tcW w:w="1032" w:type="dxa"/>
            <w:tcBorders>
              <w:top w:val="nil"/>
              <w:left w:val="nil"/>
              <w:bottom w:val="nil"/>
              <w:right w:val="nil"/>
            </w:tcBorders>
            <w:vAlign w:val="center"/>
          </w:tcPr>
          <w:p w14:paraId="6FEA3DB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r>
      <w:tr w:rsidR="00C522AD" w:rsidRPr="00C522AD" w14:paraId="6E1E6E42" w14:textId="77777777">
        <w:trPr>
          <w:trHeight w:val="247"/>
        </w:trPr>
        <w:tc>
          <w:tcPr>
            <w:tcW w:w="3544" w:type="dxa"/>
            <w:tcBorders>
              <w:top w:val="nil"/>
              <w:left w:val="nil"/>
              <w:bottom w:val="nil"/>
              <w:right w:val="nil"/>
            </w:tcBorders>
            <w:vAlign w:val="center"/>
          </w:tcPr>
          <w:p w14:paraId="73E9B2F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Altro</w:t>
            </w:r>
          </w:p>
        </w:tc>
        <w:tc>
          <w:tcPr>
            <w:tcW w:w="1378" w:type="dxa"/>
            <w:tcBorders>
              <w:top w:val="nil"/>
              <w:left w:val="nil"/>
              <w:bottom w:val="nil"/>
              <w:right w:val="nil"/>
            </w:tcBorders>
          </w:tcPr>
          <w:p w14:paraId="6782AA7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576.894.407</w:t>
            </w:r>
          </w:p>
        </w:tc>
        <w:tc>
          <w:tcPr>
            <w:tcW w:w="1384" w:type="dxa"/>
            <w:tcBorders>
              <w:top w:val="nil"/>
              <w:left w:val="nil"/>
              <w:bottom w:val="nil"/>
              <w:right w:val="nil"/>
            </w:tcBorders>
          </w:tcPr>
          <w:p w14:paraId="1AD21B5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601.397.377</w:t>
            </w:r>
          </w:p>
        </w:tc>
        <w:tc>
          <w:tcPr>
            <w:tcW w:w="779" w:type="dxa"/>
            <w:tcBorders>
              <w:top w:val="nil"/>
              <w:left w:val="nil"/>
              <w:bottom w:val="nil"/>
              <w:right w:val="nil"/>
            </w:tcBorders>
          </w:tcPr>
          <w:p w14:paraId="0970252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11,1%</w:t>
            </w:r>
          </w:p>
        </w:tc>
        <w:tc>
          <w:tcPr>
            <w:tcW w:w="740" w:type="dxa"/>
            <w:tcBorders>
              <w:top w:val="nil"/>
              <w:left w:val="nil"/>
              <w:bottom w:val="nil"/>
              <w:right w:val="nil"/>
            </w:tcBorders>
          </w:tcPr>
          <w:p w14:paraId="2E4E6B1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4,2%</w:t>
            </w:r>
          </w:p>
        </w:tc>
        <w:tc>
          <w:tcPr>
            <w:tcW w:w="1032" w:type="dxa"/>
            <w:tcBorders>
              <w:top w:val="nil"/>
              <w:left w:val="nil"/>
              <w:bottom w:val="nil"/>
              <w:right w:val="nil"/>
            </w:tcBorders>
          </w:tcPr>
          <w:p w14:paraId="116F18F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0,4%</w:t>
            </w:r>
          </w:p>
        </w:tc>
      </w:tr>
      <w:tr w:rsidR="00C522AD" w:rsidRPr="00C522AD" w14:paraId="22ADEDB4" w14:textId="77777777">
        <w:trPr>
          <w:trHeight w:val="247"/>
        </w:trPr>
        <w:tc>
          <w:tcPr>
            <w:tcW w:w="3544" w:type="dxa"/>
            <w:tcBorders>
              <w:top w:val="single" w:sz="4" w:space="0" w:color="000000"/>
              <w:left w:val="nil"/>
              <w:bottom w:val="single" w:sz="4" w:space="0" w:color="000000"/>
              <w:right w:val="nil"/>
            </w:tcBorders>
            <w:vAlign w:val="center"/>
          </w:tcPr>
          <w:p w14:paraId="2078DDB4"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Totale</w:t>
            </w:r>
          </w:p>
        </w:tc>
        <w:tc>
          <w:tcPr>
            <w:tcW w:w="1378" w:type="dxa"/>
            <w:tcBorders>
              <w:top w:val="single" w:sz="4" w:space="0" w:color="000000"/>
              <w:left w:val="nil"/>
              <w:bottom w:val="single" w:sz="4" w:space="0" w:color="000000"/>
              <w:right w:val="nil"/>
            </w:tcBorders>
          </w:tcPr>
          <w:p w14:paraId="57DE027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5.541.573.603</w:t>
            </w:r>
          </w:p>
        </w:tc>
        <w:tc>
          <w:tcPr>
            <w:tcW w:w="1384" w:type="dxa"/>
            <w:tcBorders>
              <w:top w:val="single" w:sz="4" w:space="0" w:color="000000"/>
              <w:left w:val="nil"/>
              <w:bottom w:val="single" w:sz="4" w:space="0" w:color="000000"/>
              <w:right w:val="nil"/>
            </w:tcBorders>
          </w:tcPr>
          <w:p w14:paraId="7B11019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5.398.680.257</w:t>
            </w:r>
          </w:p>
        </w:tc>
        <w:tc>
          <w:tcPr>
            <w:tcW w:w="779" w:type="dxa"/>
            <w:tcBorders>
              <w:top w:val="single" w:sz="4" w:space="0" w:color="000000"/>
              <w:left w:val="nil"/>
              <w:bottom w:val="single" w:sz="4" w:space="0" w:color="000000"/>
              <w:right w:val="nil"/>
            </w:tcBorders>
          </w:tcPr>
          <w:p w14:paraId="5676FBC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100,0%</w:t>
            </w:r>
          </w:p>
        </w:tc>
        <w:tc>
          <w:tcPr>
            <w:tcW w:w="740" w:type="dxa"/>
            <w:tcBorders>
              <w:top w:val="single" w:sz="4" w:space="0" w:color="000000"/>
              <w:left w:val="nil"/>
              <w:bottom w:val="single" w:sz="4" w:space="0" w:color="000000"/>
              <w:right w:val="nil"/>
            </w:tcBorders>
          </w:tcPr>
          <w:p w14:paraId="2DA71B1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-2,6%</w:t>
            </w:r>
          </w:p>
        </w:tc>
        <w:tc>
          <w:tcPr>
            <w:tcW w:w="1032" w:type="dxa"/>
            <w:tcBorders>
              <w:top w:val="single" w:sz="4" w:space="0" w:color="000000"/>
              <w:left w:val="nil"/>
              <w:bottom w:val="single" w:sz="4" w:space="0" w:color="000000"/>
              <w:right w:val="nil"/>
            </w:tcBorders>
          </w:tcPr>
          <w:p w14:paraId="7EC690C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i/>
                <w:iCs/>
              </w:rPr>
              <w:t>-2,6%</w:t>
            </w:r>
          </w:p>
        </w:tc>
      </w:tr>
      <w:tr w:rsidR="00C522AD" w:rsidRPr="00C522AD" w14:paraId="53F20CF0" w14:textId="77777777">
        <w:trPr>
          <w:trHeight w:val="247"/>
        </w:trPr>
        <w:tc>
          <w:tcPr>
            <w:tcW w:w="8857" w:type="dxa"/>
            <w:gridSpan w:val="6"/>
            <w:tcBorders>
              <w:top w:val="nil"/>
              <w:left w:val="nil"/>
              <w:bottom w:val="nil"/>
              <w:right w:val="nil"/>
            </w:tcBorders>
            <w:vAlign w:val="center"/>
          </w:tcPr>
          <w:p w14:paraId="0584D528" w14:textId="1EAC99D6" w:rsidR="00C91C1B" w:rsidRPr="00C522AD" w:rsidRDefault="00C227BB">
            <w:pPr>
              <w:pBdr>
                <w:top w:val="nil"/>
                <w:left w:val="nil"/>
                <w:bottom w:val="nil"/>
                <w:right w:val="nil"/>
                <w:between w:val="nil"/>
              </w:pBdr>
            </w:pPr>
            <w:r w:rsidRPr="00C522AD">
              <w:rPr>
                <w:rFonts w:ascii="Calibri" w:eastAsia="Calibri" w:hAnsi="Calibri" w:cs="Calibri"/>
                <w:i/>
                <w:iCs/>
              </w:rPr>
              <w:t>Fonte: Elaborazioni Camera di Commercio Toscana Nord-Ovest-ISR su dati Istat (dati 2025 provvisori)</w:t>
            </w:r>
          </w:p>
        </w:tc>
      </w:tr>
    </w:tbl>
    <w:p w14:paraId="07E72FE1" w14:textId="45B17C1C" w:rsidR="00C91C1B" w:rsidRPr="00C522AD" w:rsidRDefault="00C227BB">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sz w:val="24"/>
          <w:szCs w:val="24"/>
        </w:rPr>
        <w:t xml:space="preserve">Analoga dinamica positiva ha interessato le </w:t>
      </w:r>
      <w:r w:rsidRPr="00C522AD">
        <w:rPr>
          <w:rFonts w:ascii="Calibri" w:eastAsia="Calibri" w:hAnsi="Calibri" w:cs="Calibri"/>
          <w:b/>
          <w:bCs/>
          <w:sz w:val="24"/>
          <w:szCs w:val="24"/>
        </w:rPr>
        <w:t>altre macchine di impiego generale</w:t>
      </w:r>
      <w:r w:rsidRPr="00C522AD">
        <w:rPr>
          <w:rFonts w:ascii="Calibri" w:eastAsia="Calibri" w:hAnsi="Calibri" w:cs="Calibri"/>
          <w:sz w:val="24"/>
          <w:szCs w:val="24"/>
        </w:rPr>
        <w:t xml:space="preserve">, le cui esportazioni sono salite a oltre 142 milioni di euro (+5,1%). Il principale mercato di destinazione resta la Germania, con 18 milioni di euro, seppur in significativa diminuzione nell’anno (-24,5%).  Al secondo posto gli Stati Uniti, in forte crescita fino a 16,8 milioni di euro (+59,8%). Tra gli altri mercati di rilievo Polonia e Spagna, entrambe in significativa espansione, mentre la Francia, con 9,9 milioni di euro, ha evidenziato una flessione del 10,1%. Tra gli altri comparti manifatturieri si segnala la sostanziale stabilità delle </w:t>
      </w:r>
      <w:r w:rsidRPr="00C522AD">
        <w:rPr>
          <w:rFonts w:ascii="Calibri" w:eastAsia="Calibri" w:hAnsi="Calibri" w:cs="Calibri"/>
          <w:b/>
          <w:bCs/>
          <w:sz w:val="24"/>
          <w:szCs w:val="24"/>
        </w:rPr>
        <w:t>apparecchiature di cablaggio,</w:t>
      </w:r>
      <w:r w:rsidRPr="00C522AD">
        <w:rPr>
          <w:rFonts w:ascii="Calibri" w:eastAsia="Calibri" w:hAnsi="Calibri" w:cs="Calibri"/>
          <w:sz w:val="24"/>
          <w:szCs w:val="24"/>
        </w:rPr>
        <w:t xml:space="preserve"> salite a 320 milioni di euro (+0,7%) con la Francia che si conferma nettamente il principale mercato di sbocco (136 milioni di euro) seppur in calo del 7%, seguita dalla Germania (47 milioni, +13,5%) e dal Belgio (43 milioni, -0,3%). Crescono anche le </w:t>
      </w:r>
      <w:r w:rsidR="008658BB" w:rsidRPr="00C522AD">
        <w:rPr>
          <w:rFonts w:ascii="Calibri" w:eastAsia="Calibri" w:hAnsi="Calibri" w:cs="Calibri"/>
          <w:sz w:val="24"/>
          <w:szCs w:val="24"/>
        </w:rPr>
        <w:t>vendite in Svizzera (+10,3</w:t>
      </w:r>
      <w:r w:rsidRPr="00C522AD">
        <w:rPr>
          <w:rFonts w:ascii="Calibri" w:eastAsia="Calibri" w:hAnsi="Calibri" w:cs="Calibri"/>
          <w:sz w:val="24"/>
          <w:szCs w:val="24"/>
        </w:rPr>
        <w:t>%), che superano i 40 milioni nell’anno consolidando un trend espansivo già espresso nel 2024.</w:t>
      </w:r>
    </w:p>
    <w:p w14:paraId="4B24724D" w14:textId="61695DE8"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Dopo la forte espansione del 2024, si è invece ridimensionato l’export di </w:t>
      </w:r>
      <w:r w:rsidR="00070AE0" w:rsidRPr="00C522AD">
        <w:rPr>
          <w:rFonts w:ascii="Calibri" w:eastAsia="Calibri" w:hAnsi="Calibri" w:cs="Calibri"/>
          <w:b/>
          <w:bCs/>
          <w:sz w:val="24"/>
          <w:szCs w:val="24"/>
        </w:rPr>
        <w:t>oli</w:t>
      </w:r>
      <w:r w:rsidRPr="00C522AD">
        <w:rPr>
          <w:rFonts w:ascii="Calibri" w:eastAsia="Calibri" w:hAnsi="Calibri" w:cs="Calibri"/>
          <w:sz w:val="24"/>
          <w:szCs w:val="24"/>
        </w:rPr>
        <w:t xml:space="preserve">, sceso a 291 milioni di euro (-20,1%), risultando il comparto che ha inciso maggiormente in senso negativo sulla dinamica complessiva dell’export provinciale. Gli Stati Uniti </w:t>
      </w:r>
      <w:r w:rsidR="00DF5A1D" w:rsidRPr="00C522AD">
        <w:rPr>
          <w:rFonts w:ascii="Calibri" w:eastAsia="Calibri" w:hAnsi="Calibri" w:cs="Calibri"/>
          <w:sz w:val="24"/>
          <w:szCs w:val="24"/>
        </w:rPr>
        <w:t xml:space="preserve">si </w:t>
      </w:r>
      <w:r w:rsidRPr="00C522AD">
        <w:rPr>
          <w:rFonts w:ascii="Calibri" w:eastAsia="Calibri" w:hAnsi="Calibri" w:cs="Calibri"/>
          <w:sz w:val="24"/>
          <w:szCs w:val="24"/>
        </w:rPr>
        <w:t>conferma</w:t>
      </w:r>
      <w:r w:rsidR="00DF5A1D" w:rsidRPr="00C522AD">
        <w:rPr>
          <w:rFonts w:ascii="Calibri" w:eastAsia="Calibri" w:hAnsi="Calibri" w:cs="Calibri"/>
          <w:sz w:val="24"/>
          <w:szCs w:val="24"/>
        </w:rPr>
        <w:t>no</w:t>
      </w:r>
      <w:r w:rsidRPr="00C522AD">
        <w:rPr>
          <w:rFonts w:ascii="Calibri" w:eastAsia="Calibri" w:hAnsi="Calibri" w:cs="Calibri"/>
          <w:sz w:val="24"/>
          <w:szCs w:val="24"/>
        </w:rPr>
        <w:t xml:space="preserve"> </w:t>
      </w:r>
      <w:r w:rsidRPr="00C522AD">
        <w:rPr>
          <w:rFonts w:ascii="Calibri" w:eastAsia="Calibri" w:hAnsi="Calibri" w:cs="Calibri"/>
          <w:sz w:val="24"/>
          <w:szCs w:val="24"/>
        </w:rPr>
        <w:lastRenderedPageBreak/>
        <w:t>quale principale mercato di destinazione nonostante una marcata flessione (-24,3%), seguiti dal Regno Unito anch’ess</w:t>
      </w:r>
      <w:r w:rsidR="00DF5A1D" w:rsidRPr="00C522AD">
        <w:rPr>
          <w:rFonts w:ascii="Calibri" w:eastAsia="Calibri" w:hAnsi="Calibri" w:cs="Calibri"/>
          <w:sz w:val="24"/>
          <w:szCs w:val="24"/>
        </w:rPr>
        <w:t>o</w:t>
      </w:r>
      <w:r w:rsidRPr="00C522AD">
        <w:rPr>
          <w:rFonts w:ascii="Calibri" w:eastAsia="Calibri" w:hAnsi="Calibri" w:cs="Calibri"/>
          <w:sz w:val="24"/>
          <w:szCs w:val="24"/>
        </w:rPr>
        <w:t xml:space="preserve"> in contrazione dell’11,2%.</w:t>
      </w:r>
    </w:p>
    <w:p w14:paraId="5041CA37" w14:textId="731F6F53"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In lieve flessione sono risultate anche le esportazioni di </w:t>
      </w:r>
      <w:r w:rsidRPr="00C522AD">
        <w:rPr>
          <w:rFonts w:ascii="Calibri" w:eastAsia="Calibri" w:hAnsi="Calibri" w:cs="Calibri"/>
          <w:b/>
          <w:bCs/>
          <w:sz w:val="24"/>
          <w:szCs w:val="24"/>
        </w:rPr>
        <w:t>metalli di base preziosi e altri metalli non ferrosi</w:t>
      </w:r>
      <w:r w:rsidRPr="00C522AD">
        <w:rPr>
          <w:rFonts w:ascii="Calibri" w:eastAsia="Calibri" w:hAnsi="Calibri" w:cs="Calibri"/>
          <w:sz w:val="24"/>
          <w:szCs w:val="24"/>
        </w:rPr>
        <w:t xml:space="preserve">, scese a 253 milioni di euro (-1,7%), con Francia e Germania confermati quali principali mercati di sbocco seppur in flessione rispettivamente dello 0,4% e del 33,7%. È proseguita invece la crescita, seppur moderatamente, dell’export di </w:t>
      </w:r>
      <w:r w:rsidRPr="00C522AD">
        <w:rPr>
          <w:rFonts w:ascii="Calibri" w:eastAsia="Calibri" w:hAnsi="Calibri" w:cs="Calibri"/>
          <w:b/>
          <w:bCs/>
          <w:sz w:val="24"/>
          <w:szCs w:val="24"/>
        </w:rPr>
        <w:t>medicinali</w:t>
      </w:r>
      <w:r w:rsidRPr="00C522AD">
        <w:rPr>
          <w:rFonts w:ascii="Calibri" w:eastAsia="Calibri" w:hAnsi="Calibri" w:cs="Calibri"/>
          <w:sz w:val="24"/>
          <w:szCs w:val="24"/>
        </w:rPr>
        <w:t>, che ha raggiunto 178 milioni di euro (+1,4%). Tra i principali mercati di destinazione si è affermata la Repubblica Islamica dell’Iran che ha visto raddoppiare le vendite. A seguire Turchia e Messico hanno confermato la loro rilevanza seppur con flessioni rispettivamente del 20,8% e del 33,6%.</w:t>
      </w:r>
    </w:p>
    <w:p w14:paraId="06F77C72" w14:textId="59CDB523"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Andamenti differenziati emergono infine tra i comparti di dimensioni più contenute. Le esportazioni di </w:t>
      </w:r>
      <w:r w:rsidRPr="00C522AD">
        <w:rPr>
          <w:rFonts w:ascii="Calibri" w:eastAsia="Calibri" w:hAnsi="Calibri" w:cs="Calibri"/>
          <w:b/>
          <w:bCs/>
          <w:sz w:val="24"/>
          <w:szCs w:val="24"/>
        </w:rPr>
        <w:t>articoli in materie plastiche</w:t>
      </w:r>
      <w:r w:rsidRPr="00C522AD">
        <w:rPr>
          <w:rFonts w:ascii="Calibri" w:eastAsia="Calibri" w:hAnsi="Calibri" w:cs="Calibri"/>
          <w:sz w:val="24"/>
          <w:szCs w:val="24"/>
        </w:rPr>
        <w:t xml:space="preserve"> sono risultate in lieve diminuzione (-2,4%), fermandosi a 101 milioni di euro, con la Francia primo mercato di destinazione. I </w:t>
      </w:r>
      <w:r w:rsidRPr="00C522AD">
        <w:rPr>
          <w:rFonts w:ascii="Calibri" w:eastAsia="Calibri" w:hAnsi="Calibri" w:cs="Calibri"/>
          <w:b/>
          <w:bCs/>
          <w:sz w:val="24"/>
          <w:szCs w:val="24"/>
        </w:rPr>
        <w:t>prodotti lapidei lavorati</w:t>
      </w:r>
      <w:r w:rsidRPr="00C522AD">
        <w:rPr>
          <w:rFonts w:ascii="Calibri" w:eastAsia="Calibri" w:hAnsi="Calibri" w:cs="Calibri"/>
          <w:sz w:val="24"/>
          <w:szCs w:val="24"/>
        </w:rPr>
        <w:t xml:space="preserve"> hanno registrato una flessione più marcata (-9%), scendendo a 98 milioni di euro, con gli Stati Uniti ancora principale mercato di sbocco pur in netta diminuzione (-3%). Dinamiche in forte contrazione si sono osservate in Francia </w:t>
      </w:r>
      <w:r w:rsidR="00DF5A1D" w:rsidRPr="00C522AD">
        <w:rPr>
          <w:rFonts w:ascii="Calibri" w:eastAsia="Calibri" w:hAnsi="Calibri" w:cs="Calibri"/>
          <w:sz w:val="24"/>
          <w:szCs w:val="24"/>
        </w:rPr>
        <w:t>(</w:t>
      </w:r>
      <w:r w:rsidRPr="00C522AD">
        <w:rPr>
          <w:rFonts w:ascii="Calibri" w:eastAsia="Calibri" w:hAnsi="Calibri" w:cs="Calibri"/>
          <w:sz w:val="24"/>
          <w:szCs w:val="24"/>
        </w:rPr>
        <w:t>-49,1%) e nei paesi del Medio Oriente, in particolare negli Emirati Arabi Uniti (-13,4%).</w:t>
      </w:r>
    </w:p>
    <w:p w14:paraId="5F6DDA6F"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In calo anche il comparto delle </w:t>
      </w:r>
      <w:r w:rsidRPr="00C522AD">
        <w:rPr>
          <w:rFonts w:ascii="Calibri" w:eastAsia="Calibri" w:hAnsi="Calibri" w:cs="Calibri"/>
          <w:b/>
          <w:bCs/>
          <w:sz w:val="24"/>
          <w:szCs w:val="24"/>
        </w:rPr>
        <w:t>calzature</w:t>
      </w:r>
      <w:r w:rsidRPr="00C522AD">
        <w:rPr>
          <w:rFonts w:ascii="Calibri" w:eastAsia="Calibri" w:hAnsi="Calibri" w:cs="Calibri"/>
          <w:sz w:val="24"/>
          <w:szCs w:val="24"/>
        </w:rPr>
        <w:t xml:space="preserve">, con vendite estere pari a 89 milioni di euro (-3,3%). Gli Stati Uniti, pur restando il principale mercato di destinazione, hanno registrato una forte diminuzione (-7,7%), mentre sono risultate stabili le vendite verso Francia (+1,7%) e in netto aumento in Germania (+9%). Valori positivi, infine, si sono registrati nelle esportazioni di </w:t>
      </w:r>
      <w:r w:rsidRPr="00C522AD">
        <w:rPr>
          <w:rFonts w:ascii="Calibri" w:eastAsia="Calibri" w:hAnsi="Calibri" w:cs="Calibri"/>
          <w:b/>
          <w:bCs/>
          <w:sz w:val="24"/>
          <w:szCs w:val="24"/>
        </w:rPr>
        <w:t>articoli di coltelleria, utensili e ferramenta</w:t>
      </w:r>
      <w:r w:rsidRPr="00C522AD">
        <w:rPr>
          <w:rFonts w:ascii="Calibri" w:eastAsia="Calibri" w:hAnsi="Calibri" w:cs="Calibri"/>
          <w:sz w:val="24"/>
          <w:szCs w:val="24"/>
        </w:rPr>
        <w:t xml:space="preserve">, cresciute del 7,1% fino a 61 milioni di euro, e negli </w:t>
      </w:r>
      <w:r w:rsidRPr="00C522AD">
        <w:rPr>
          <w:rFonts w:ascii="Calibri" w:eastAsia="Calibri" w:hAnsi="Calibri" w:cs="Calibri"/>
          <w:b/>
          <w:bCs/>
          <w:sz w:val="24"/>
          <w:szCs w:val="24"/>
        </w:rPr>
        <w:t>strumenti e apparecchi di misurazione, prova e navigazione</w:t>
      </w:r>
      <w:r w:rsidRPr="00C522AD">
        <w:rPr>
          <w:rFonts w:ascii="Calibri" w:eastAsia="Calibri" w:hAnsi="Calibri" w:cs="Calibri"/>
          <w:sz w:val="24"/>
          <w:szCs w:val="24"/>
        </w:rPr>
        <w:t>, che hanno raggiunto 53 milioni di euro, con un incremento del 3,8% rispetto al 2024.</w:t>
      </w:r>
    </w:p>
    <w:p w14:paraId="1461B6EF" w14:textId="77777777" w:rsidR="00C91C1B" w:rsidRPr="00C522AD" w:rsidRDefault="00C227BB">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b/>
          <w:bCs/>
          <w:sz w:val="24"/>
          <w:szCs w:val="24"/>
        </w:rPr>
        <w:t>I mercati di destinazione</w:t>
      </w:r>
    </w:p>
    <w:p w14:paraId="03B3A3CD" w14:textId="7BD80BE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Nel 2025 l’export della provincia di Lucca ha continuato a mostrare una forte concentrazione verso i tradizionali mercati di sbocco europei e nordamericani, pur con alcune significative variazioni nella graduatoria dei principali partner commerciali. Nel complesso, la distribuzione geografica delle esportazioni lucchesi nel 2025 ha evidenziato quindi, accanto alla conferma dei principali partner europei e nordamericani, una crescente volatilità legata ai mercati collegati alla nautica e ad alcuni paesi di destinazione delle grandi commesse industriali. Francia, Stati Uniti e Germania si sono confermati tra i principali acquirenti dei prodotti lucchesi, ai quali si affiancano il Regno Unito e alcuni mercati legati in particolare alla cantieristica nautica. La Francia si è mantenuta il primo mercato di destinazione delle esportazioni provinciali, con quasi 748 milioni di euro di vendite, pari al 13,8% del totale, pur avendo fatto registrare una flessione del 6,5% rispetto al 2024 legata alla diminuzione delle principali produzioni acquistate, tra cui carta e cartotecnica, apparecchiature di cablaggio, macchine per cartiere e articoli di abbigliamento. Anche verso gli Stati Uniti si è osservata una diminuzione delle esportazioni (484 milioni di euro, -7,7%, pari al 9% dell’export provinciale), che hanno interessato principalmente gli oli (-24,7%; -38 milioni), la carta e i prodotti per la lavorazione del marmo. Più contenuto è risultato il calo delle vendite verso la Germania, scese a 484 milioni di euro (-2,4%), dove le vendite di prodotti in metallo sono diminuite del 34% riducendosi di 27 milioni rispetto al 2024.</w:t>
      </w:r>
    </w:p>
    <w:p w14:paraId="1D9FB30F"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In controtendenza si è invece mosso il Regno Unito, dove le esportazioni lucchesi hanno registrato un significativo incremento del 15,9%, raggiungendo 444 milioni di euro e consolidando il proprio ruolo tra i principali mercati di destinazione grazie all’incremento di cantieristica nautica e di macchine per impieghi speciali.</w:t>
      </w:r>
    </w:p>
    <w:p w14:paraId="12A51A26" w14:textId="33681D95"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lastRenderedPageBreak/>
        <w:t>Tra i mercati più legati alla nautica si è osservato invece un marcato ridimensionamento delle vendite verso le Isole Cayman, che nel 2024 avevano rappresentato uno dei principali sbocchi per l’export provinciale, probabilmente legato al ciclo di fatturazione delle commesse del settore. Parallelamente si è registrata una forte crescita delle vendite verso le Isole Marshall, dove l’export è quasi triplicato diventando uno dei principali contributi positivi alla dinamica complessiva delle esportazioni provinciali.</w:t>
      </w:r>
    </w:p>
    <w:p w14:paraId="62E8D328" w14:textId="75E08313"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Tra gli altri mercati europei si segnala la flessione delle vendite verso la Spagna (203 milioni di euro, -6,5%), dove calano le vendite di macchinari, e verso la Svizzera (144 milioni, -2,9%), mentre dinamiche positive hanno interessato la Polonia, dove le esportazioni sono cresciute del 33,2% fino a 153 milioni di euro grazie alle vendite legate alla carta e cartotecnica e ai macchinari. Andamenti positivi si sono registrati anche nei Paesi Bassi (+4,1%), mentre il Belgio ha rilevato una lieve flessione (-1%).</w:t>
      </w:r>
    </w:p>
    <w:p w14:paraId="18F99DF2" w14:textId="77777777" w:rsidR="00C91C1B" w:rsidRPr="00C522AD" w:rsidRDefault="00C227BB">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Tra i mercati più in crescita è da segnalare inoltre Malta, dove l’export provinciale è più che raddoppiato (109 milioni di euro, +113,4%) grazie alle vendite della cantieristica nautica.</w:t>
      </w:r>
    </w:p>
    <w:tbl>
      <w:tblPr>
        <w:tblStyle w:val="a0"/>
        <w:tblW w:w="8814" w:type="dxa"/>
        <w:tblInd w:w="0" w:type="dxa"/>
        <w:tblLayout w:type="fixed"/>
        <w:tblLook w:val="0000" w:firstRow="0" w:lastRow="0" w:firstColumn="0" w:lastColumn="0" w:noHBand="0" w:noVBand="0"/>
      </w:tblPr>
      <w:tblGrid>
        <w:gridCol w:w="1712"/>
        <w:gridCol w:w="1579"/>
        <w:gridCol w:w="1580"/>
        <w:gridCol w:w="866"/>
        <w:gridCol w:w="988"/>
        <w:gridCol w:w="1096"/>
        <w:gridCol w:w="993"/>
      </w:tblGrid>
      <w:tr w:rsidR="00C522AD" w:rsidRPr="00C522AD" w14:paraId="6F7BC32F" w14:textId="77777777">
        <w:trPr>
          <w:trHeight w:val="558"/>
        </w:trPr>
        <w:tc>
          <w:tcPr>
            <w:tcW w:w="8814" w:type="dxa"/>
            <w:gridSpan w:val="7"/>
            <w:tcBorders>
              <w:top w:val="nil"/>
              <w:left w:val="nil"/>
              <w:right w:val="nil"/>
            </w:tcBorders>
            <w:vAlign w:val="center"/>
          </w:tcPr>
          <w:p w14:paraId="3B2CFC6B"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I principali paesi esportatori della provincia di Lucca - Anno 2025</w:t>
            </w:r>
          </w:p>
          <w:p w14:paraId="47DC74DB" w14:textId="77777777" w:rsidR="00C91C1B" w:rsidRPr="00C522AD" w:rsidRDefault="00C227BB">
            <w:pPr>
              <w:pBdr>
                <w:top w:val="nil"/>
                <w:left w:val="nil"/>
                <w:bottom w:val="nil"/>
                <w:right w:val="nil"/>
                <w:between w:val="nil"/>
              </w:pBdr>
            </w:pPr>
            <w:r w:rsidRPr="00C522AD">
              <w:rPr>
                <w:rFonts w:ascii="Calibri" w:eastAsia="Calibri" w:hAnsi="Calibri" w:cs="Calibri"/>
                <w:i/>
                <w:iCs/>
              </w:rPr>
              <w:t>Valori assoluti in euro, var. % e contributi % alla crescita </w:t>
            </w:r>
          </w:p>
        </w:tc>
      </w:tr>
      <w:tr w:rsidR="00C522AD" w:rsidRPr="00C522AD" w14:paraId="4124AA95" w14:textId="77777777">
        <w:trPr>
          <w:cantSplit/>
          <w:trHeight w:val="279"/>
        </w:trPr>
        <w:tc>
          <w:tcPr>
            <w:tcW w:w="1712" w:type="dxa"/>
            <w:vMerge w:val="restart"/>
            <w:tcBorders>
              <w:top w:val="single" w:sz="4" w:space="0" w:color="000000"/>
              <w:left w:val="nil"/>
              <w:bottom w:val="single" w:sz="4" w:space="0" w:color="000000"/>
              <w:right w:val="nil"/>
            </w:tcBorders>
            <w:vAlign w:val="center"/>
          </w:tcPr>
          <w:p w14:paraId="79FBC2CE"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Settori di attività</w:t>
            </w:r>
          </w:p>
        </w:tc>
        <w:tc>
          <w:tcPr>
            <w:tcW w:w="3159" w:type="dxa"/>
            <w:gridSpan w:val="2"/>
            <w:tcBorders>
              <w:top w:val="single" w:sz="4" w:space="0" w:color="000000"/>
              <w:left w:val="nil"/>
              <w:bottom w:val="single" w:sz="4" w:space="0" w:color="000000"/>
              <w:right w:val="nil"/>
            </w:tcBorders>
            <w:vAlign w:val="center"/>
          </w:tcPr>
          <w:p w14:paraId="4A6D45D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Valori assoluti in euro</w:t>
            </w:r>
          </w:p>
        </w:tc>
        <w:tc>
          <w:tcPr>
            <w:tcW w:w="866" w:type="dxa"/>
            <w:vMerge w:val="restart"/>
            <w:tcBorders>
              <w:top w:val="single" w:sz="4" w:space="0" w:color="000000"/>
              <w:left w:val="nil"/>
              <w:bottom w:val="single" w:sz="4" w:space="0" w:color="000000"/>
              <w:right w:val="nil"/>
            </w:tcBorders>
            <w:vAlign w:val="center"/>
          </w:tcPr>
          <w:p w14:paraId="5D1DC77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Quota %</w:t>
            </w:r>
          </w:p>
        </w:tc>
        <w:tc>
          <w:tcPr>
            <w:tcW w:w="988" w:type="dxa"/>
            <w:vMerge w:val="restart"/>
            <w:tcBorders>
              <w:top w:val="single" w:sz="4" w:space="0" w:color="000000"/>
              <w:left w:val="nil"/>
              <w:bottom w:val="single" w:sz="4" w:space="0" w:color="000000"/>
              <w:right w:val="nil"/>
            </w:tcBorders>
            <w:vAlign w:val="center"/>
          </w:tcPr>
          <w:p w14:paraId="5A7AD39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Var. %</w:t>
            </w:r>
          </w:p>
        </w:tc>
        <w:tc>
          <w:tcPr>
            <w:tcW w:w="1096" w:type="dxa"/>
            <w:vMerge w:val="restart"/>
            <w:tcBorders>
              <w:top w:val="single" w:sz="4" w:space="0" w:color="000000"/>
              <w:left w:val="nil"/>
              <w:bottom w:val="single" w:sz="4" w:space="0" w:color="000000"/>
              <w:right w:val="nil"/>
            </w:tcBorders>
            <w:vAlign w:val="center"/>
          </w:tcPr>
          <w:p w14:paraId="3513FEC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Contributi %</w:t>
            </w:r>
          </w:p>
        </w:tc>
        <w:tc>
          <w:tcPr>
            <w:tcW w:w="993" w:type="dxa"/>
            <w:tcBorders>
              <w:top w:val="nil"/>
              <w:left w:val="nil"/>
              <w:bottom w:val="nil"/>
              <w:right w:val="nil"/>
            </w:tcBorders>
            <w:vAlign w:val="center"/>
          </w:tcPr>
          <w:p w14:paraId="5B21F79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2190DFC" w14:textId="77777777">
        <w:trPr>
          <w:cantSplit/>
          <w:trHeight w:val="474"/>
        </w:trPr>
        <w:tc>
          <w:tcPr>
            <w:tcW w:w="1712" w:type="dxa"/>
            <w:vMerge/>
            <w:tcBorders>
              <w:top w:val="single" w:sz="4" w:space="0" w:color="000000"/>
              <w:left w:val="nil"/>
              <w:bottom w:val="single" w:sz="4" w:space="0" w:color="000000"/>
              <w:right w:val="nil"/>
            </w:tcBorders>
            <w:vAlign w:val="center"/>
          </w:tcPr>
          <w:p w14:paraId="36B0F597"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579" w:type="dxa"/>
            <w:tcBorders>
              <w:top w:val="nil"/>
              <w:left w:val="nil"/>
              <w:bottom w:val="single" w:sz="4" w:space="0" w:color="000000"/>
              <w:right w:val="nil"/>
            </w:tcBorders>
            <w:vAlign w:val="center"/>
          </w:tcPr>
          <w:p w14:paraId="3DCA651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b/>
                <w:bCs/>
              </w:rPr>
              <w:t>Anno 2024</w:t>
            </w:r>
          </w:p>
        </w:tc>
        <w:tc>
          <w:tcPr>
            <w:tcW w:w="1580" w:type="dxa"/>
            <w:tcBorders>
              <w:top w:val="nil"/>
              <w:left w:val="nil"/>
              <w:bottom w:val="single" w:sz="4" w:space="0" w:color="000000"/>
              <w:right w:val="nil"/>
            </w:tcBorders>
            <w:vAlign w:val="center"/>
          </w:tcPr>
          <w:p w14:paraId="18941465"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b/>
                <w:bCs/>
              </w:rPr>
              <w:t>Anno 2025</w:t>
            </w:r>
          </w:p>
        </w:tc>
        <w:tc>
          <w:tcPr>
            <w:tcW w:w="866" w:type="dxa"/>
            <w:vMerge/>
            <w:tcBorders>
              <w:top w:val="single" w:sz="4" w:space="0" w:color="000000"/>
              <w:left w:val="nil"/>
              <w:bottom w:val="single" w:sz="4" w:space="0" w:color="000000"/>
              <w:right w:val="nil"/>
            </w:tcBorders>
            <w:vAlign w:val="center"/>
          </w:tcPr>
          <w:p w14:paraId="03DF2AA8"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988" w:type="dxa"/>
            <w:vMerge/>
            <w:tcBorders>
              <w:top w:val="single" w:sz="4" w:space="0" w:color="000000"/>
              <w:left w:val="nil"/>
              <w:bottom w:val="single" w:sz="4" w:space="0" w:color="000000"/>
              <w:right w:val="nil"/>
            </w:tcBorders>
            <w:vAlign w:val="center"/>
          </w:tcPr>
          <w:p w14:paraId="237418D8"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096" w:type="dxa"/>
            <w:vMerge/>
            <w:tcBorders>
              <w:top w:val="single" w:sz="4" w:space="0" w:color="000000"/>
              <w:left w:val="nil"/>
              <w:bottom w:val="single" w:sz="4" w:space="0" w:color="000000"/>
              <w:right w:val="nil"/>
            </w:tcBorders>
            <w:vAlign w:val="center"/>
          </w:tcPr>
          <w:p w14:paraId="37E9D795"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993" w:type="dxa"/>
            <w:tcBorders>
              <w:top w:val="nil"/>
              <w:left w:val="nil"/>
              <w:bottom w:val="nil"/>
              <w:right w:val="nil"/>
            </w:tcBorders>
            <w:vAlign w:val="center"/>
          </w:tcPr>
          <w:p w14:paraId="2100430D" w14:textId="77777777" w:rsidR="00C91C1B" w:rsidRPr="00C522AD" w:rsidRDefault="00C91C1B">
            <w:pPr>
              <w:pBdr>
                <w:top w:val="nil"/>
                <w:left w:val="nil"/>
                <w:bottom w:val="nil"/>
                <w:right w:val="nil"/>
                <w:between w:val="nil"/>
              </w:pBdr>
              <w:jc w:val="right"/>
              <w:rPr>
                <w:rFonts w:ascii="Calibri" w:eastAsia="Calibri" w:hAnsi="Calibri" w:cs="Calibri"/>
              </w:rPr>
            </w:pPr>
          </w:p>
        </w:tc>
      </w:tr>
      <w:tr w:rsidR="00C522AD" w:rsidRPr="00C522AD" w14:paraId="7DB56C69" w14:textId="77777777">
        <w:trPr>
          <w:trHeight w:val="279"/>
        </w:trPr>
        <w:tc>
          <w:tcPr>
            <w:tcW w:w="1712" w:type="dxa"/>
            <w:tcBorders>
              <w:top w:val="nil"/>
              <w:left w:val="nil"/>
              <w:bottom w:val="nil"/>
              <w:right w:val="nil"/>
            </w:tcBorders>
            <w:vAlign w:val="center"/>
          </w:tcPr>
          <w:p w14:paraId="363A423B"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Francia</w:t>
            </w:r>
          </w:p>
        </w:tc>
        <w:tc>
          <w:tcPr>
            <w:tcW w:w="1579" w:type="dxa"/>
            <w:tcBorders>
              <w:top w:val="nil"/>
              <w:left w:val="nil"/>
              <w:bottom w:val="nil"/>
              <w:right w:val="nil"/>
            </w:tcBorders>
            <w:vAlign w:val="center"/>
          </w:tcPr>
          <w:p w14:paraId="740BA86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799.487.695</w:t>
            </w:r>
          </w:p>
        </w:tc>
        <w:tc>
          <w:tcPr>
            <w:tcW w:w="1580" w:type="dxa"/>
            <w:tcBorders>
              <w:top w:val="nil"/>
              <w:left w:val="nil"/>
              <w:bottom w:val="nil"/>
              <w:right w:val="nil"/>
            </w:tcBorders>
            <w:vAlign w:val="center"/>
          </w:tcPr>
          <w:p w14:paraId="7E49330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747.557.262</w:t>
            </w:r>
          </w:p>
        </w:tc>
        <w:tc>
          <w:tcPr>
            <w:tcW w:w="866" w:type="dxa"/>
            <w:tcBorders>
              <w:top w:val="nil"/>
              <w:left w:val="nil"/>
              <w:bottom w:val="nil"/>
              <w:right w:val="nil"/>
            </w:tcBorders>
            <w:vAlign w:val="center"/>
          </w:tcPr>
          <w:p w14:paraId="5936FCF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13,8%</w:t>
            </w:r>
          </w:p>
        </w:tc>
        <w:tc>
          <w:tcPr>
            <w:tcW w:w="988" w:type="dxa"/>
            <w:tcBorders>
              <w:top w:val="nil"/>
              <w:left w:val="nil"/>
              <w:bottom w:val="nil"/>
              <w:right w:val="nil"/>
            </w:tcBorders>
            <w:vAlign w:val="center"/>
          </w:tcPr>
          <w:p w14:paraId="2D945C5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-6,5%</w:t>
            </w:r>
          </w:p>
        </w:tc>
        <w:tc>
          <w:tcPr>
            <w:tcW w:w="1096" w:type="dxa"/>
            <w:tcBorders>
              <w:top w:val="nil"/>
              <w:left w:val="nil"/>
              <w:bottom w:val="nil"/>
              <w:right w:val="nil"/>
            </w:tcBorders>
            <w:vAlign w:val="center"/>
          </w:tcPr>
          <w:p w14:paraId="2FA734B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-0,9%</w:t>
            </w:r>
          </w:p>
        </w:tc>
        <w:tc>
          <w:tcPr>
            <w:tcW w:w="993" w:type="dxa"/>
            <w:tcBorders>
              <w:top w:val="nil"/>
              <w:left w:val="nil"/>
              <w:bottom w:val="nil"/>
              <w:right w:val="nil"/>
            </w:tcBorders>
            <w:vAlign w:val="center"/>
          </w:tcPr>
          <w:p w14:paraId="3C9D6841"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4017664B" w14:textId="77777777">
        <w:trPr>
          <w:trHeight w:val="279"/>
        </w:trPr>
        <w:tc>
          <w:tcPr>
            <w:tcW w:w="1712" w:type="dxa"/>
            <w:tcBorders>
              <w:top w:val="nil"/>
              <w:left w:val="nil"/>
              <w:bottom w:val="nil"/>
              <w:right w:val="nil"/>
            </w:tcBorders>
            <w:vAlign w:val="center"/>
          </w:tcPr>
          <w:p w14:paraId="340D007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Stati Uniti</w:t>
            </w:r>
          </w:p>
        </w:tc>
        <w:tc>
          <w:tcPr>
            <w:tcW w:w="1579" w:type="dxa"/>
            <w:tcBorders>
              <w:top w:val="nil"/>
              <w:left w:val="nil"/>
              <w:bottom w:val="nil"/>
              <w:right w:val="nil"/>
            </w:tcBorders>
            <w:vAlign w:val="center"/>
          </w:tcPr>
          <w:p w14:paraId="71D6B21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525.320.158</w:t>
            </w:r>
          </w:p>
        </w:tc>
        <w:tc>
          <w:tcPr>
            <w:tcW w:w="1580" w:type="dxa"/>
            <w:tcBorders>
              <w:top w:val="nil"/>
              <w:left w:val="nil"/>
              <w:bottom w:val="nil"/>
              <w:right w:val="nil"/>
            </w:tcBorders>
            <w:vAlign w:val="center"/>
          </w:tcPr>
          <w:p w14:paraId="547BCBD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484.718.828</w:t>
            </w:r>
          </w:p>
        </w:tc>
        <w:tc>
          <w:tcPr>
            <w:tcW w:w="866" w:type="dxa"/>
            <w:tcBorders>
              <w:top w:val="nil"/>
              <w:left w:val="nil"/>
              <w:bottom w:val="nil"/>
              <w:right w:val="nil"/>
            </w:tcBorders>
            <w:vAlign w:val="center"/>
          </w:tcPr>
          <w:p w14:paraId="2C46DD4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9,0%</w:t>
            </w:r>
          </w:p>
        </w:tc>
        <w:tc>
          <w:tcPr>
            <w:tcW w:w="988" w:type="dxa"/>
            <w:tcBorders>
              <w:top w:val="nil"/>
              <w:left w:val="nil"/>
              <w:bottom w:val="nil"/>
              <w:right w:val="nil"/>
            </w:tcBorders>
            <w:vAlign w:val="center"/>
          </w:tcPr>
          <w:p w14:paraId="35A3CA2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-7,7%</w:t>
            </w:r>
          </w:p>
        </w:tc>
        <w:tc>
          <w:tcPr>
            <w:tcW w:w="1096" w:type="dxa"/>
            <w:tcBorders>
              <w:top w:val="nil"/>
              <w:left w:val="nil"/>
              <w:bottom w:val="nil"/>
              <w:right w:val="nil"/>
            </w:tcBorders>
            <w:vAlign w:val="center"/>
          </w:tcPr>
          <w:p w14:paraId="678F207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-0,7%</w:t>
            </w:r>
          </w:p>
        </w:tc>
        <w:tc>
          <w:tcPr>
            <w:tcW w:w="993" w:type="dxa"/>
            <w:tcBorders>
              <w:top w:val="nil"/>
              <w:left w:val="nil"/>
              <w:bottom w:val="nil"/>
              <w:right w:val="nil"/>
            </w:tcBorders>
            <w:vAlign w:val="center"/>
          </w:tcPr>
          <w:p w14:paraId="78DC8CED"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BDBC99A" w14:textId="77777777">
        <w:trPr>
          <w:trHeight w:val="279"/>
        </w:trPr>
        <w:tc>
          <w:tcPr>
            <w:tcW w:w="1712" w:type="dxa"/>
            <w:tcBorders>
              <w:top w:val="nil"/>
              <w:left w:val="nil"/>
              <w:bottom w:val="nil"/>
              <w:right w:val="nil"/>
            </w:tcBorders>
            <w:vAlign w:val="center"/>
          </w:tcPr>
          <w:p w14:paraId="5CBC315F"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Germania</w:t>
            </w:r>
          </w:p>
        </w:tc>
        <w:tc>
          <w:tcPr>
            <w:tcW w:w="1579" w:type="dxa"/>
            <w:tcBorders>
              <w:top w:val="nil"/>
              <w:left w:val="nil"/>
              <w:bottom w:val="nil"/>
              <w:right w:val="nil"/>
            </w:tcBorders>
            <w:vAlign w:val="center"/>
          </w:tcPr>
          <w:p w14:paraId="3ABEF975"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496.313.983</w:t>
            </w:r>
          </w:p>
        </w:tc>
        <w:tc>
          <w:tcPr>
            <w:tcW w:w="1580" w:type="dxa"/>
            <w:tcBorders>
              <w:top w:val="nil"/>
              <w:left w:val="nil"/>
              <w:bottom w:val="nil"/>
              <w:right w:val="nil"/>
            </w:tcBorders>
            <w:vAlign w:val="center"/>
          </w:tcPr>
          <w:p w14:paraId="4B74BF3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484.173.519</w:t>
            </w:r>
          </w:p>
        </w:tc>
        <w:tc>
          <w:tcPr>
            <w:tcW w:w="866" w:type="dxa"/>
            <w:tcBorders>
              <w:top w:val="nil"/>
              <w:left w:val="nil"/>
              <w:bottom w:val="nil"/>
              <w:right w:val="nil"/>
            </w:tcBorders>
            <w:vAlign w:val="center"/>
          </w:tcPr>
          <w:p w14:paraId="58D8864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9,0%</w:t>
            </w:r>
          </w:p>
        </w:tc>
        <w:tc>
          <w:tcPr>
            <w:tcW w:w="988" w:type="dxa"/>
            <w:tcBorders>
              <w:top w:val="nil"/>
              <w:left w:val="nil"/>
              <w:bottom w:val="nil"/>
              <w:right w:val="nil"/>
            </w:tcBorders>
            <w:vAlign w:val="center"/>
          </w:tcPr>
          <w:p w14:paraId="05A4682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-2,4%</w:t>
            </w:r>
          </w:p>
        </w:tc>
        <w:tc>
          <w:tcPr>
            <w:tcW w:w="1096" w:type="dxa"/>
            <w:tcBorders>
              <w:top w:val="nil"/>
              <w:left w:val="nil"/>
              <w:bottom w:val="nil"/>
              <w:right w:val="nil"/>
            </w:tcBorders>
            <w:vAlign w:val="center"/>
          </w:tcPr>
          <w:p w14:paraId="0F3D4F0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c>
          <w:tcPr>
            <w:tcW w:w="993" w:type="dxa"/>
            <w:tcBorders>
              <w:top w:val="nil"/>
              <w:left w:val="nil"/>
              <w:bottom w:val="nil"/>
              <w:right w:val="nil"/>
            </w:tcBorders>
            <w:vAlign w:val="center"/>
          </w:tcPr>
          <w:p w14:paraId="3E0DA0B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414F877D" w14:textId="77777777">
        <w:trPr>
          <w:trHeight w:val="279"/>
        </w:trPr>
        <w:tc>
          <w:tcPr>
            <w:tcW w:w="1712" w:type="dxa"/>
            <w:tcBorders>
              <w:top w:val="nil"/>
              <w:left w:val="nil"/>
              <w:bottom w:val="nil"/>
              <w:right w:val="nil"/>
            </w:tcBorders>
            <w:vAlign w:val="center"/>
          </w:tcPr>
          <w:p w14:paraId="29D1DE1B"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Regno Unito</w:t>
            </w:r>
          </w:p>
        </w:tc>
        <w:tc>
          <w:tcPr>
            <w:tcW w:w="1579" w:type="dxa"/>
            <w:tcBorders>
              <w:top w:val="nil"/>
              <w:left w:val="nil"/>
              <w:bottom w:val="nil"/>
              <w:right w:val="nil"/>
            </w:tcBorders>
            <w:vAlign w:val="center"/>
          </w:tcPr>
          <w:p w14:paraId="73427E6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383.094.628</w:t>
            </w:r>
          </w:p>
        </w:tc>
        <w:tc>
          <w:tcPr>
            <w:tcW w:w="1580" w:type="dxa"/>
            <w:tcBorders>
              <w:top w:val="nil"/>
              <w:left w:val="nil"/>
              <w:bottom w:val="nil"/>
              <w:right w:val="nil"/>
            </w:tcBorders>
            <w:vAlign w:val="center"/>
          </w:tcPr>
          <w:p w14:paraId="58F767D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443.905.416</w:t>
            </w:r>
          </w:p>
        </w:tc>
        <w:tc>
          <w:tcPr>
            <w:tcW w:w="866" w:type="dxa"/>
            <w:tcBorders>
              <w:top w:val="nil"/>
              <w:left w:val="nil"/>
              <w:bottom w:val="nil"/>
              <w:right w:val="nil"/>
            </w:tcBorders>
            <w:vAlign w:val="center"/>
          </w:tcPr>
          <w:p w14:paraId="265889A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8,2%</w:t>
            </w:r>
          </w:p>
        </w:tc>
        <w:tc>
          <w:tcPr>
            <w:tcW w:w="988" w:type="dxa"/>
            <w:tcBorders>
              <w:top w:val="nil"/>
              <w:left w:val="nil"/>
              <w:bottom w:val="nil"/>
              <w:right w:val="nil"/>
            </w:tcBorders>
            <w:vAlign w:val="center"/>
          </w:tcPr>
          <w:p w14:paraId="2DA511D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15,9%</w:t>
            </w:r>
          </w:p>
        </w:tc>
        <w:tc>
          <w:tcPr>
            <w:tcW w:w="1096" w:type="dxa"/>
            <w:tcBorders>
              <w:top w:val="nil"/>
              <w:left w:val="nil"/>
              <w:bottom w:val="nil"/>
              <w:right w:val="nil"/>
            </w:tcBorders>
            <w:vAlign w:val="center"/>
          </w:tcPr>
          <w:p w14:paraId="30A99CC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1,1%</w:t>
            </w:r>
          </w:p>
        </w:tc>
        <w:tc>
          <w:tcPr>
            <w:tcW w:w="993" w:type="dxa"/>
            <w:tcBorders>
              <w:top w:val="nil"/>
              <w:left w:val="nil"/>
              <w:bottom w:val="nil"/>
              <w:right w:val="nil"/>
            </w:tcBorders>
            <w:vAlign w:val="center"/>
          </w:tcPr>
          <w:p w14:paraId="75F13372"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36EA1DBA" w14:textId="77777777">
        <w:trPr>
          <w:trHeight w:val="279"/>
        </w:trPr>
        <w:tc>
          <w:tcPr>
            <w:tcW w:w="1712" w:type="dxa"/>
            <w:tcBorders>
              <w:top w:val="nil"/>
              <w:left w:val="nil"/>
              <w:bottom w:val="nil"/>
              <w:right w:val="nil"/>
            </w:tcBorders>
            <w:vAlign w:val="center"/>
          </w:tcPr>
          <w:p w14:paraId="230D8F9E"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Isole Cayman</w:t>
            </w:r>
          </w:p>
        </w:tc>
        <w:tc>
          <w:tcPr>
            <w:tcW w:w="1579" w:type="dxa"/>
            <w:tcBorders>
              <w:top w:val="nil"/>
              <w:left w:val="nil"/>
              <w:bottom w:val="nil"/>
              <w:right w:val="nil"/>
            </w:tcBorders>
            <w:vAlign w:val="center"/>
          </w:tcPr>
          <w:p w14:paraId="5A4B65A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565.680.028</w:t>
            </w:r>
          </w:p>
        </w:tc>
        <w:tc>
          <w:tcPr>
            <w:tcW w:w="1580" w:type="dxa"/>
            <w:tcBorders>
              <w:top w:val="nil"/>
              <w:left w:val="nil"/>
              <w:bottom w:val="nil"/>
              <w:right w:val="nil"/>
            </w:tcBorders>
            <w:vAlign w:val="center"/>
          </w:tcPr>
          <w:p w14:paraId="1986CB6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347.237.809</w:t>
            </w:r>
          </w:p>
        </w:tc>
        <w:tc>
          <w:tcPr>
            <w:tcW w:w="866" w:type="dxa"/>
            <w:tcBorders>
              <w:top w:val="nil"/>
              <w:left w:val="nil"/>
              <w:bottom w:val="nil"/>
              <w:right w:val="nil"/>
            </w:tcBorders>
            <w:vAlign w:val="center"/>
          </w:tcPr>
          <w:p w14:paraId="6335CFD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6,4%</w:t>
            </w:r>
          </w:p>
        </w:tc>
        <w:tc>
          <w:tcPr>
            <w:tcW w:w="988" w:type="dxa"/>
            <w:tcBorders>
              <w:top w:val="nil"/>
              <w:left w:val="nil"/>
              <w:bottom w:val="nil"/>
              <w:right w:val="nil"/>
            </w:tcBorders>
            <w:vAlign w:val="center"/>
          </w:tcPr>
          <w:p w14:paraId="22731F0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-38,6%</w:t>
            </w:r>
          </w:p>
        </w:tc>
        <w:tc>
          <w:tcPr>
            <w:tcW w:w="1096" w:type="dxa"/>
            <w:tcBorders>
              <w:top w:val="nil"/>
              <w:left w:val="nil"/>
              <w:bottom w:val="nil"/>
              <w:right w:val="nil"/>
            </w:tcBorders>
            <w:vAlign w:val="center"/>
          </w:tcPr>
          <w:p w14:paraId="357A4B0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-3,9%</w:t>
            </w:r>
          </w:p>
        </w:tc>
        <w:tc>
          <w:tcPr>
            <w:tcW w:w="993" w:type="dxa"/>
            <w:tcBorders>
              <w:top w:val="nil"/>
              <w:left w:val="nil"/>
              <w:bottom w:val="nil"/>
              <w:right w:val="nil"/>
            </w:tcBorders>
            <w:vAlign w:val="center"/>
          </w:tcPr>
          <w:p w14:paraId="2F9D0C35"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24565CB" w14:textId="77777777">
        <w:trPr>
          <w:trHeight w:val="279"/>
        </w:trPr>
        <w:tc>
          <w:tcPr>
            <w:tcW w:w="1712" w:type="dxa"/>
            <w:tcBorders>
              <w:top w:val="nil"/>
              <w:left w:val="nil"/>
              <w:bottom w:val="nil"/>
              <w:right w:val="nil"/>
            </w:tcBorders>
            <w:vAlign w:val="center"/>
          </w:tcPr>
          <w:p w14:paraId="4E83458E"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Isole Marshall</w:t>
            </w:r>
          </w:p>
        </w:tc>
        <w:tc>
          <w:tcPr>
            <w:tcW w:w="1579" w:type="dxa"/>
            <w:tcBorders>
              <w:top w:val="nil"/>
              <w:left w:val="nil"/>
              <w:bottom w:val="nil"/>
              <w:right w:val="nil"/>
            </w:tcBorders>
            <w:vAlign w:val="center"/>
          </w:tcPr>
          <w:p w14:paraId="1D10426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74.065.599</w:t>
            </w:r>
          </w:p>
        </w:tc>
        <w:tc>
          <w:tcPr>
            <w:tcW w:w="1580" w:type="dxa"/>
            <w:tcBorders>
              <w:top w:val="nil"/>
              <w:left w:val="nil"/>
              <w:bottom w:val="nil"/>
              <w:right w:val="nil"/>
            </w:tcBorders>
            <w:vAlign w:val="center"/>
          </w:tcPr>
          <w:p w14:paraId="13CF95B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221.089.234</w:t>
            </w:r>
          </w:p>
        </w:tc>
        <w:tc>
          <w:tcPr>
            <w:tcW w:w="866" w:type="dxa"/>
            <w:tcBorders>
              <w:top w:val="nil"/>
              <w:left w:val="nil"/>
              <w:bottom w:val="nil"/>
              <w:right w:val="nil"/>
            </w:tcBorders>
            <w:vAlign w:val="center"/>
          </w:tcPr>
          <w:p w14:paraId="1DAFB82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4,1%</w:t>
            </w:r>
          </w:p>
        </w:tc>
        <w:tc>
          <w:tcPr>
            <w:tcW w:w="988" w:type="dxa"/>
            <w:tcBorders>
              <w:top w:val="nil"/>
              <w:left w:val="nil"/>
              <w:bottom w:val="nil"/>
              <w:right w:val="nil"/>
            </w:tcBorders>
            <w:vAlign w:val="center"/>
          </w:tcPr>
          <w:p w14:paraId="79391AE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198,5%</w:t>
            </w:r>
          </w:p>
        </w:tc>
        <w:tc>
          <w:tcPr>
            <w:tcW w:w="1096" w:type="dxa"/>
            <w:tcBorders>
              <w:top w:val="nil"/>
              <w:left w:val="nil"/>
              <w:bottom w:val="nil"/>
              <w:right w:val="nil"/>
            </w:tcBorders>
            <w:vAlign w:val="center"/>
          </w:tcPr>
          <w:p w14:paraId="1ECA864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2,7%</w:t>
            </w:r>
          </w:p>
        </w:tc>
        <w:tc>
          <w:tcPr>
            <w:tcW w:w="993" w:type="dxa"/>
            <w:tcBorders>
              <w:top w:val="nil"/>
              <w:left w:val="nil"/>
              <w:bottom w:val="nil"/>
              <w:right w:val="nil"/>
            </w:tcBorders>
            <w:vAlign w:val="center"/>
          </w:tcPr>
          <w:p w14:paraId="5A8E5AFC"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01889F3E" w14:textId="77777777">
        <w:trPr>
          <w:trHeight w:val="279"/>
        </w:trPr>
        <w:tc>
          <w:tcPr>
            <w:tcW w:w="1712" w:type="dxa"/>
            <w:tcBorders>
              <w:top w:val="nil"/>
              <w:left w:val="nil"/>
              <w:bottom w:val="nil"/>
              <w:right w:val="nil"/>
            </w:tcBorders>
            <w:vAlign w:val="center"/>
          </w:tcPr>
          <w:p w14:paraId="5B5ED3F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Spagna</w:t>
            </w:r>
          </w:p>
        </w:tc>
        <w:tc>
          <w:tcPr>
            <w:tcW w:w="1579" w:type="dxa"/>
            <w:tcBorders>
              <w:top w:val="nil"/>
              <w:left w:val="nil"/>
              <w:bottom w:val="nil"/>
              <w:right w:val="nil"/>
            </w:tcBorders>
            <w:vAlign w:val="center"/>
          </w:tcPr>
          <w:p w14:paraId="5FF6A5E9"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217.545.705</w:t>
            </w:r>
          </w:p>
        </w:tc>
        <w:tc>
          <w:tcPr>
            <w:tcW w:w="1580" w:type="dxa"/>
            <w:tcBorders>
              <w:top w:val="nil"/>
              <w:left w:val="nil"/>
              <w:bottom w:val="nil"/>
              <w:right w:val="nil"/>
            </w:tcBorders>
            <w:vAlign w:val="center"/>
          </w:tcPr>
          <w:p w14:paraId="1447CD2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203.326.392</w:t>
            </w:r>
          </w:p>
        </w:tc>
        <w:tc>
          <w:tcPr>
            <w:tcW w:w="866" w:type="dxa"/>
            <w:tcBorders>
              <w:top w:val="nil"/>
              <w:left w:val="nil"/>
              <w:bottom w:val="nil"/>
              <w:right w:val="nil"/>
            </w:tcBorders>
            <w:vAlign w:val="center"/>
          </w:tcPr>
          <w:p w14:paraId="21967ED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3,8%</w:t>
            </w:r>
          </w:p>
        </w:tc>
        <w:tc>
          <w:tcPr>
            <w:tcW w:w="988" w:type="dxa"/>
            <w:tcBorders>
              <w:top w:val="nil"/>
              <w:left w:val="nil"/>
              <w:bottom w:val="nil"/>
              <w:right w:val="nil"/>
            </w:tcBorders>
            <w:vAlign w:val="center"/>
          </w:tcPr>
          <w:p w14:paraId="258D4CA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-6,5%</w:t>
            </w:r>
          </w:p>
        </w:tc>
        <w:tc>
          <w:tcPr>
            <w:tcW w:w="1096" w:type="dxa"/>
            <w:tcBorders>
              <w:top w:val="nil"/>
              <w:left w:val="nil"/>
              <w:bottom w:val="nil"/>
              <w:right w:val="nil"/>
            </w:tcBorders>
            <w:vAlign w:val="center"/>
          </w:tcPr>
          <w:p w14:paraId="38C3A71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-0,3%</w:t>
            </w:r>
          </w:p>
        </w:tc>
        <w:tc>
          <w:tcPr>
            <w:tcW w:w="993" w:type="dxa"/>
            <w:tcBorders>
              <w:top w:val="nil"/>
              <w:left w:val="nil"/>
              <w:bottom w:val="nil"/>
              <w:right w:val="nil"/>
            </w:tcBorders>
            <w:vAlign w:val="center"/>
          </w:tcPr>
          <w:p w14:paraId="44EE3589"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4DDEED43" w14:textId="77777777">
        <w:trPr>
          <w:trHeight w:val="279"/>
        </w:trPr>
        <w:tc>
          <w:tcPr>
            <w:tcW w:w="1712" w:type="dxa"/>
            <w:tcBorders>
              <w:top w:val="nil"/>
              <w:left w:val="nil"/>
              <w:bottom w:val="nil"/>
              <w:right w:val="nil"/>
            </w:tcBorders>
            <w:vAlign w:val="center"/>
          </w:tcPr>
          <w:p w14:paraId="7151B229"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Polonia</w:t>
            </w:r>
          </w:p>
        </w:tc>
        <w:tc>
          <w:tcPr>
            <w:tcW w:w="1579" w:type="dxa"/>
            <w:tcBorders>
              <w:top w:val="nil"/>
              <w:left w:val="nil"/>
              <w:bottom w:val="nil"/>
              <w:right w:val="nil"/>
            </w:tcBorders>
            <w:vAlign w:val="center"/>
          </w:tcPr>
          <w:p w14:paraId="662CC84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115.226.882</w:t>
            </w:r>
          </w:p>
        </w:tc>
        <w:tc>
          <w:tcPr>
            <w:tcW w:w="1580" w:type="dxa"/>
            <w:tcBorders>
              <w:top w:val="nil"/>
              <w:left w:val="nil"/>
              <w:bottom w:val="nil"/>
              <w:right w:val="nil"/>
            </w:tcBorders>
            <w:vAlign w:val="center"/>
          </w:tcPr>
          <w:p w14:paraId="5F0C3B0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153.494.953</w:t>
            </w:r>
          </w:p>
        </w:tc>
        <w:tc>
          <w:tcPr>
            <w:tcW w:w="866" w:type="dxa"/>
            <w:tcBorders>
              <w:top w:val="nil"/>
              <w:left w:val="nil"/>
              <w:bottom w:val="nil"/>
              <w:right w:val="nil"/>
            </w:tcBorders>
            <w:vAlign w:val="center"/>
          </w:tcPr>
          <w:p w14:paraId="7342A48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2,8%</w:t>
            </w:r>
          </w:p>
        </w:tc>
        <w:tc>
          <w:tcPr>
            <w:tcW w:w="988" w:type="dxa"/>
            <w:tcBorders>
              <w:top w:val="nil"/>
              <w:left w:val="nil"/>
              <w:bottom w:val="nil"/>
              <w:right w:val="nil"/>
            </w:tcBorders>
            <w:vAlign w:val="center"/>
          </w:tcPr>
          <w:p w14:paraId="5EAEFFC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33,2%</w:t>
            </w:r>
          </w:p>
        </w:tc>
        <w:tc>
          <w:tcPr>
            <w:tcW w:w="1096" w:type="dxa"/>
            <w:tcBorders>
              <w:top w:val="nil"/>
              <w:left w:val="nil"/>
              <w:bottom w:val="nil"/>
              <w:right w:val="nil"/>
            </w:tcBorders>
            <w:vAlign w:val="center"/>
          </w:tcPr>
          <w:p w14:paraId="7A9821D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0,7%</w:t>
            </w:r>
          </w:p>
        </w:tc>
        <w:tc>
          <w:tcPr>
            <w:tcW w:w="993" w:type="dxa"/>
            <w:tcBorders>
              <w:top w:val="nil"/>
              <w:left w:val="nil"/>
              <w:bottom w:val="nil"/>
              <w:right w:val="nil"/>
            </w:tcBorders>
            <w:vAlign w:val="center"/>
          </w:tcPr>
          <w:p w14:paraId="3956B15C"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025C18E" w14:textId="77777777">
        <w:trPr>
          <w:trHeight w:val="279"/>
        </w:trPr>
        <w:tc>
          <w:tcPr>
            <w:tcW w:w="1712" w:type="dxa"/>
            <w:tcBorders>
              <w:top w:val="nil"/>
              <w:left w:val="nil"/>
              <w:bottom w:val="nil"/>
              <w:right w:val="nil"/>
            </w:tcBorders>
            <w:vAlign w:val="center"/>
          </w:tcPr>
          <w:p w14:paraId="7C41112E"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Svizzera</w:t>
            </w:r>
          </w:p>
        </w:tc>
        <w:tc>
          <w:tcPr>
            <w:tcW w:w="1579" w:type="dxa"/>
            <w:tcBorders>
              <w:top w:val="nil"/>
              <w:left w:val="nil"/>
              <w:bottom w:val="nil"/>
              <w:right w:val="nil"/>
            </w:tcBorders>
            <w:vAlign w:val="center"/>
          </w:tcPr>
          <w:p w14:paraId="673D1CD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148.106.161</w:t>
            </w:r>
          </w:p>
        </w:tc>
        <w:tc>
          <w:tcPr>
            <w:tcW w:w="1580" w:type="dxa"/>
            <w:tcBorders>
              <w:top w:val="nil"/>
              <w:left w:val="nil"/>
              <w:bottom w:val="nil"/>
              <w:right w:val="nil"/>
            </w:tcBorders>
            <w:vAlign w:val="center"/>
          </w:tcPr>
          <w:p w14:paraId="2E88BCE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143.738.256</w:t>
            </w:r>
          </w:p>
        </w:tc>
        <w:tc>
          <w:tcPr>
            <w:tcW w:w="866" w:type="dxa"/>
            <w:tcBorders>
              <w:top w:val="nil"/>
              <w:left w:val="nil"/>
              <w:bottom w:val="nil"/>
              <w:right w:val="nil"/>
            </w:tcBorders>
            <w:vAlign w:val="center"/>
          </w:tcPr>
          <w:p w14:paraId="4EC2A38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2,7%</w:t>
            </w:r>
          </w:p>
        </w:tc>
        <w:tc>
          <w:tcPr>
            <w:tcW w:w="988" w:type="dxa"/>
            <w:tcBorders>
              <w:top w:val="nil"/>
              <w:left w:val="nil"/>
              <w:bottom w:val="nil"/>
              <w:right w:val="nil"/>
            </w:tcBorders>
            <w:vAlign w:val="center"/>
          </w:tcPr>
          <w:p w14:paraId="1C078CA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-2,9%</w:t>
            </w:r>
          </w:p>
        </w:tc>
        <w:tc>
          <w:tcPr>
            <w:tcW w:w="1096" w:type="dxa"/>
            <w:tcBorders>
              <w:top w:val="nil"/>
              <w:left w:val="nil"/>
              <w:bottom w:val="nil"/>
              <w:right w:val="nil"/>
            </w:tcBorders>
            <w:vAlign w:val="center"/>
          </w:tcPr>
          <w:p w14:paraId="68AC38D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c>
          <w:tcPr>
            <w:tcW w:w="993" w:type="dxa"/>
            <w:tcBorders>
              <w:top w:val="nil"/>
              <w:left w:val="nil"/>
              <w:bottom w:val="nil"/>
              <w:right w:val="nil"/>
            </w:tcBorders>
            <w:vAlign w:val="center"/>
          </w:tcPr>
          <w:p w14:paraId="320C6259"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33FA8F17" w14:textId="77777777">
        <w:trPr>
          <w:trHeight w:val="279"/>
        </w:trPr>
        <w:tc>
          <w:tcPr>
            <w:tcW w:w="1712" w:type="dxa"/>
            <w:tcBorders>
              <w:top w:val="nil"/>
              <w:left w:val="nil"/>
              <w:bottom w:val="nil"/>
              <w:right w:val="nil"/>
            </w:tcBorders>
            <w:vAlign w:val="center"/>
          </w:tcPr>
          <w:p w14:paraId="637F3A87"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Belgio</w:t>
            </w:r>
          </w:p>
        </w:tc>
        <w:tc>
          <w:tcPr>
            <w:tcW w:w="1579" w:type="dxa"/>
            <w:tcBorders>
              <w:top w:val="nil"/>
              <w:left w:val="nil"/>
              <w:bottom w:val="nil"/>
              <w:right w:val="nil"/>
            </w:tcBorders>
            <w:vAlign w:val="center"/>
          </w:tcPr>
          <w:p w14:paraId="22F533F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129.435.179</w:t>
            </w:r>
          </w:p>
        </w:tc>
        <w:tc>
          <w:tcPr>
            <w:tcW w:w="1580" w:type="dxa"/>
            <w:tcBorders>
              <w:top w:val="nil"/>
              <w:left w:val="nil"/>
              <w:bottom w:val="nil"/>
              <w:right w:val="nil"/>
            </w:tcBorders>
            <w:vAlign w:val="center"/>
          </w:tcPr>
          <w:p w14:paraId="33D8872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128.087.794</w:t>
            </w:r>
          </w:p>
        </w:tc>
        <w:tc>
          <w:tcPr>
            <w:tcW w:w="866" w:type="dxa"/>
            <w:tcBorders>
              <w:top w:val="nil"/>
              <w:left w:val="nil"/>
              <w:bottom w:val="nil"/>
              <w:right w:val="nil"/>
            </w:tcBorders>
            <w:vAlign w:val="center"/>
          </w:tcPr>
          <w:p w14:paraId="14C5513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2,4%</w:t>
            </w:r>
          </w:p>
        </w:tc>
        <w:tc>
          <w:tcPr>
            <w:tcW w:w="988" w:type="dxa"/>
            <w:tcBorders>
              <w:top w:val="nil"/>
              <w:left w:val="nil"/>
              <w:bottom w:val="nil"/>
              <w:right w:val="nil"/>
            </w:tcBorders>
            <w:vAlign w:val="center"/>
          </w:tcPr>
          <w:p w14:paraId="70C8617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w:t>
            </w:r>
          </w:p>
        </w:tc>
        <w:tc>
          <w:tcPr>
            <w:tcW w:w="1096" w:type="dxa"/>
            <w:tcBorders>
              <w:top w:val="nil"/>
              <w:left w:val="nil"/>
              <w:bottom w:val="nil"/>
              <w:right w:val="nil"/>
            </w:tcBorders>
            <w:vAlign w:val="center"/>
          </w:tcPr>
          <w:p w14:paraId="525134C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c>
          <w:tcPr>
            <w:tcW w:w="993" w:type="dxa"/>
            <w:tcBorders>
              <w:top w:val="nil"/>
              <w:left w:val="nil"/>
              <w:bottom w:val="nil"/>
              <w:right w:val="nil"/>
            </w:tcBorders>
            <w:vAlign w:val="center"/>
          </w:tcPr>
          <w:p w14:paraId="1062A903"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11D61331" w14:textId="77777777">
        <w:trPr>
          <w:trHeight w:val="279"/>
        </w:trPr>
        <w:tc>
          <w:tcPr>
            <w:tcW w:w="1712" w:type="dxa"/>
            <w:tcBorders>
              <w:top w:val="nil"/>
              <w:left w:val="nil"/>
              <w:bottom w:val="nil"/>
              <w:right w:val="nil"/>
            </w:tcBorders>
            <w:vAlign w:val="center"/>
          </w:tcPr>
          <w:p w14:paraId="2E50254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Paesi Bassi</w:t>
            </w:r>
          </w:p>
        </w:tc>
        <w:tc>
          <w:tcPr>
            <w:tcW w:w="1579" w:type="dxa"/>
            <w:tcBorders>
              <w:top w:val="nil"/>
              <w:left w:val="nil"/>
              <w:bottom w:val="nil"/>
              <w:right w:val="nil"/>
            </w:tcBorders>
            <w:vAlign w:val="center"/>
          </w:tcPr>
          <w:p w14:paraId="53B29F95"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113.569.580</w:t>
            </w:r>
          </w:p>
        </w:tc>
        <w:tc>
          <w:tcPr>
            <w:tcW w:w="1580" w:type="dxa"/>
            <w:tcBorders>
              <w:top w:val="nil"/>
              <w:left w:val="nil"/>
              <w:bottom w:val="nil"/>
              <w:right w:val="nil"/>
            </w:tcBorders>
            <w:vAlign w:val="center"/>
          </w:tcPr>
          <w:p w14:paraId="06A0F6F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118.191.460</w:t>
            </w:r>
          </w:p>
        </w:tc>
        <w:tc>
          <w:tcPr>
            <w:tcW w:w="866" w:type="dxa"/>
            <w:tcBorders>
              <w:top w:val="nil"/>
              <w:left w:val="nil"/>
              <w:bottom w:val="nil"/>
              <w:right w:val="nil"/>
            </w:tcBorders>
            <w:vAlign w:val="center"/>
          </w:tcPr>
          <w:p w14:paraId="682F216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2,2%</w:t>
            </w:r>
          </w:p>
        </w:tc>
        <w:tc>
          <w:tcPr>
            <w:tcW w:w="988" w:type="dxa"/>
            <w:tcBorders>
              <w:top w:val="nil"/>
              <w:left w:val="nil"/>
              <w:bottom w:val="nil"/>
              <w:right w:val="nil"/>
            </w:tcBorders>
            <w:vAlign w:val="center"/>
          </w:tcPr>
          <w:p w14:paraId="7321EED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4,1%</w:t>
            </w:r>
          </w:p>
        </w:tc>
        <w:tc>
          <w:tcPr>
            <w:tcW w:w="1096" w:type="dxa"/>
            <w:tcBorders>
              <w:top w:val="nil"/>
              <w:left w:val="nil"/>
              <w:bottom w:val="nil"/>
              <w:right w:val="nil"/>
            </w:tcBorders>
            <w:vAlign w:val="center"/>
          </w:tcPr>
          <w:p w14:paraId="77D4C0A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c>
          <w:tcPr>
            <w:tcW w:w="993" w:type="dxa"/>
            <w:tcBorders>
              <w:top w:val="nil"/>
              <w:left w:val="nil"/>
              <w:bottom w:val="nil"/>
              <w:right w:val="nil"/>
            </w:tcBorders>
            <w:vAlign w:val="center"/>
          </w:tcPr>
          <w:p w14:paraId="37F01EB0"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7C2F52D6" w14:textId="77777777">
        <w:trPr>
          <w:trHeight w:val="279"/>
        </w:trPr>
        <w:tc>
          <w:tcPr>
            <w:tcW w:w="1712" w:type="dxa"/>
            <w:tcBorders>
              <w:top w:val="nil"/>
              <w:left w:val="nil"/>
              <w:bottom w:val="nil"/>
              <w:right w:val="nil"/>
            </w:tcBorders>
            <w:vAlign w:val="center"/>
          </w:tcPr>
          <w:p w14:paraId="5CAAFCB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Malta</w:t>
            </w:r>
          </w:p>
        </w:tc>
        <w:tc>
          <w:tcPr>
            <w:tcW w:w="1579" w:type="dxa"/>
            <w:tcBorders>
              <w:top w:val="nil"/>
              <w:left w:val="nil"/>
              <w:bottom w:val="nil"/>
              <w:right w:val="nil"/>
            </w:tcBorders>
            <w:vAlign w:val="center"/>
          </w:tcPr>
          <w:p w14:paraId="26ACED7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51.130.114</w:t>
            </w:r>
          </w:p>
        </w:tc>
        <w:tc>
          <w:tcPr>
            <w:tcW w:w="1580" w:type="dxa"/>
            <w:tcBorders>
              <w:top w:val="nil"/>
              <w:left w:val="nil"/>
              <w:bottom w:val="nil"/>
              <w:right w:val="nil"/>
            </w:tcBorders>
            <w:vAlign w:val="center"/>
          </w:tcPr>
          <w:p w14:paraId="531FB06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109.131.926</w:t>
            </w:r>
          </w:p>
        </w:tc>
        <w:tc>
          <w:tcPr>
            <w:tcW w:w="866" w:type="dxa"/>
            <w:tcBorders>
              <w:top w:val="nil"/>
              <w:left w:val="nil"/>
              <w:bottom w:val="nil"/>
              <w:right w:val="nil"/>
            </w:tcBorders>
            <w:vAlign w:val="center"/>
          </w:tcPr>
          <w:p w14:paraId="01BFFB2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2,0%</w:t>
            </w:r>
          </w:p>
        </w:tc>
        <w:tc>
          <w:tcPr>
            <w:tcW w:w="988" w:type="dxa"/>
            <w:tcBorders>
              <w:top w:val="nil"/>
              <w:left w:val="nil"/>
              <w:bottom w:val="nil"/>
              <w:right w:val="nil"/>
            </w:tcBorders>
            <w:vAlign w:val="center"/>
          </w:tcPr>
          <w:p w14:paraId="3D139BF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113,4%</w:t>
            </w:r>
          </w:p>
        </w:tc>
        <w:tc>
          <w:tcPr>
            <w:tcW w:w="1096" w:type="dxa"/>
            <w:tcBorders>
              <w:top w:val="nil"/>
              <w:left w:val="nil"/>
              <w:bottom w:val="nil"/>
              <w:right w:val="nil"/>
            </w:tcBorders>
            <w:vAlign w:val="center"/>
          </w:tcPr>
          <w:p w14:paraId="3452B8B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1,0%</w:t>
            </w:r>
          </w:p>
        </w:tc>
        <w:tc>
          <w:tcPr>
            <w:tcW w:w="993" w:type="dxa"/>
            <w:tcBorders>
              <w:top w:val="nil"/>
              <w:left w:val="nil"/>
              <w:bottom w:val="nil"/>
              <w:right w:val="nil"/>
            </w:tcBorders>
            <w:vAlign w:val="center"/>
          </w:tcPr>
          <w:p w14:paraId="6485CDA6"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5D9EEB88" w14:textId="77777777">
        <w:trPr>
          <w:trHeight w:val="279"/>
        </w:trPr>
        <w:tc>
          <w:tcPr>
            <w:tcW w:w="1712" w:type="dxa"/>
            <w:tcBorders>
              <w:top w:val="nil"/>
              <w:left w:val="nil"/>
              <w:bottom w:val="nil"/>
              <w:right w:val="nil"/>
            </w:tcBorders>
            <w:vAlign w:val="center"/>
          </w:tcPr>
          <w:p w14:paraId="3E89CD69"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Messico</w:t>
            </w:r>
          </w:p>
        </w:tc>
        <w:tc>
          <w:tcPr>
            <w:tcW w:w="1579" w:type="dxa"/>
            <w:tcBorders>
              <w:top w:val="nil"/>
              <w:left w:val="nil"/>
              <w:bottom w:val="nil"/>
              <w:right w:val="nil"/>
            </w:tcBorders>
            <w:vAlign w:val="center"/>
          </w:tcPr>
          <w:p w14:paraId="4799FDC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148.634.697</w:t>
            </w:r>
          </w:p>
        </w:tc>
        <w:tc>
          <w:tcPr>
            <w:tcW w:w="1580" w:type="dxa"/>
            <w:tcBorders>
              <w:top w:val="nil"/>
              <w:left w:val="nil"/>
              <w:bottom w:val="nil"/>
              <w:right w:val="nil"/>
            </w:tcBorders>
            <w:vAlign w:val="center"/>
          </w:tcPr>
          <w:p w14:paraId="79A888F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102.153.350</w:t>
            </w:r>
          </w:p>
        </w:tc>
        <w:tc>
          <w:tcPr>
            <w:tcW w:w="866" w:type="dxa"/>
            <w:tcBorders>
              <w:top w:val="nil"/>
              <w:left w:val="nil"/>
              <w:bottom w:val="nil"/>
              <w:right w:val="nil"/>
            </w:tcBorders>
            <w:vAlign w:val="center"/>
          </w:tcPr>
          <w:p w14:paraId="519B39E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1,9%</w:t>
            </w:r>
          </w:p>
        </w:tc>
        <w:tc>
          <w:tcPr>
            <w:tcW w:w="988" w:type="dxa"/>
            <w:tcBorders>
              <w:top w:val="nil"/>
              <w:left w:val="nil"/>
              <w:bottom w:val="nil"/>
              <w:right w:val="nil"/>
            </w:tcBorders>
            <w:vAlign w:val="center"/>
          </w:tcPr>
          <w:p w14:paraId="4B0857F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-31,3%</w:t>
            </w:r>
          </w:p>
        </w:tc>
        <w:tc>
          <w:tcPr>
            <w:tcW w:w="1096" w:type="dxa"/>
            <w:tcBorders>
              <w:top w:val="nil"/>
              <w:left w:val="nil"/>
              <w:bottom w:val="nil"/>
              <w:right w:val="nil"/>
            </w:tcBorders>
            <w:vAlign w:val="center"/>
          </w:tcPr>
          <w:p w14:paraId="1A234F7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-0,8%</w:t>
            </w:r>
          </w:p>
        </w:tc>
        <w:tc>
          <w:tcPr>
            <w:tcW w:w="993" w:type="dxa"/>
            <w:tcBorders>
              <w:top w:val="nil"/>
              <w:left w:val="nil"/>
              <w:bottom w:val="nil"/>
              <w:right w:val="nil"/>
            </w:tcBorders>
            <w:vAlign w:val="center"/>
          </w:tcPr>
          <w:p w14:paraId="57AB31B6"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4347459" w14:textId="77777777">
        <w:trPr>
          <w:trHeight w:val="279"/>
        </w:trPr>
        <w:tc>
          <w:tcPr>
            <w:tcW w:w="1712" w:type="dxa"/>
            <w:tcBorders>
              <w:top w:val="nil"/>
              <w:left w:val="nil"/>
              <w:bottom w:val="nil"/>
              <w:right w:val="nil"/>
            </w:tcBorders>
            <w:vAlign w:val="center"/>
          </w:tcPr>
          <w:p w14:paraId="34BEA722"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Austria</w:t>
            </w:r>
          </w:p>
        </w:tc>
        <w:tc>
          <w:tcPr>
            <w:tcW w:w="1579" w:type="dxa"/>
            <w:tcBorders>
              <w:top w:val="nil"/>
              <w:left w:val="nil"/>
              <w:bottom w:val="nil"/>
              <w:right w:val="nil"/>
            </w:tcBorders>
            <w:vAlign w:val="center"/>
          </w:tcPr>
          <w:p w14:paraId="111E9E5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76.431.580</w:t>
            </w:r>
          </w:p>
        </w:tc>
        <w:tc>
          <w:tcPr>
            <w:tcW w:w="1580" w:type="dxa"/>
            <w:tcBorders>
              <w:top w:val="nil"/>
              <w:left w:val="nil"/>
              <w:bottom w:val="nil"/>
              <w:right w:val="nil"/>
            </w:tcBorders>
            <w:vAlign w:val="center"/>
          </w:tcPr>
          <w:p w14:paraId="5EAC508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92.737.193</w:t>
            </w:r>
          </w:p>
        </w:tc>
        <w:tc>
          <w:tcPr>
            <w:tcW w:w="866" w:type="dxa"/>
            <w:tcBorders>
              <w:top w:val="nil"/>
              <w:left w:val="nil"/>
              <w:bottom w:val="nil"/>
              <w:right w:val="nil"/>
            </w:tcBorders>
            <w:vAlign w:val="center"/>
          </w:tcPr>
          <w:p w14:paraId="139A59B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w:t>
            </w:r>
          </w:p>
        </w:tc>
        <w:tc>
          <w:tcPr>
            <w:tcW w:w="988" w:type="dxa"/>
            <w:tcBorders>
              <w:top w:val="nil"/>
              <w:left w:val="nil"/>
              <w:bottom w:val="nil"/>
              <w:right w:val="nil"/>
            </w:tcBorders>
            <w:vAlign w:val="center"/>
          </w:tcPr>
          <w:p w14:paraId="2370489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21,3%</w:t>
            </w:r>
          </w:p>
        </w:tc>
        <w:tc>
          <w:tcPr>
            <w:tcW w:w="1096" w:type="dxa"/>
            <w:tcBorders>
              <w:top w:val="nil"/>
              <w:left w:val="nil"/>
              <w:bottom w:val="nil"/>
              <w:right w:val="nil"/>
            </w:tcBorders>
            <w:vAlign w:val="center"/>
          </w:tcPr>
          <w:p w14:paraId="259DF93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0,3%</w:t>
            </w:r>
          </w:p>
        </w:tc>
        <w:tc>
          <w:tcPr>
            <w:tcW w:w="993" w:type="dxa"/>
            <w:tcBorders>
              <w:top w:val="nil"/>
              <w:left w:val="nil"/>
              <w:bottom w:val="nil"/>
              <w:right w:val="nil"/>
            </w:tcBorders>
            <w:vAlign w:val="center"/>
          </w:tcPr>
          <w:p w14:paraId="386F62F7"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0148DF1" w14:textId="77777777">
        <w:trPr>
          <w:trHeight w:val="279"/>
        </w:trPr>
        <w:tc>
          <w:tcPr>
            <w:tcW w:w="1712" w:type="dxa"/>
            <w:tcBorders>
              <w:top w:val="nil"/>
              <w:left w:val="nil"/>
              <w:bottom w:val="nil"/>
              <w:right w:val="nil"/>
            </w:tcBorders>
            <w:vAlign w:val="center"/>
          </w:tcPr>
          <w:p w14:paraId="0B605347"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Turchia</w:t>
            </w:r>
          </w:p>
        </w:tc>
        <w:tc>
          <w:tcPr>
            <w:tcW w:w="1579" w:type="dxa"/>
            <w:tcBorders>
              <w:top w:val="nil"/>
              <w:left w:val="nil"/>
              <w:bottom w:val="nil"/>
              <w:right w:val="nil"/>
            </w:tcBorders>
            <w:vAlign w:val="center"/>
          </w:tcPr>
          <w:p w14:paraId="09676F3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144.709.977</w:t>
            </w:r>
          </w:p>
        </w:tc>
        <w:tc>
          <w:tcPr>
            <w:tcW w:w="1580" w:type="dxa"/>
            <w:tcBorders>
              <w:top w:val="nil"/>
              <w:left w:val="nil"/>
              <w:bottom w:val="nil"/>
              <w:right w:val="nil"/>
            </w:tcBorders>
            <w:vAlign w:val="center"/>
          </w:tcPr>
          <w:p w14:paraId="602228B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77.909.728</w:t>
            </w:r>
          </w:p>
        </w:tc>
        <w:tc>
          <w:tcPr>
            <w:tcW w:w="866" w:type="dxa"/>
            <w:tcBorders>
              <w:top w:val="nil"/>
              <w:left w:val="nil"/>
              <w:bottom w:val="nil"/>
              <w:right w:val="nil"/>
            </w:tcBorders>
            <w:vAlign w:val="center"/>
          </w:tcPr>
          <w:p w14:paraId="19817E0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1,4%</w:t>
            </w:r>
          </w:p>
        </w:tc>
        <w:tc>
          <w:tcPr>
            <w:tcW w:w="988" w:type="dxa"/>
            <w:tcBorders>
              <w:top w:val="nil"/>
              <w:left w:val="nil"/>
              <w:bottom w:val="nil"/>
              <w:right w:val="nil"/>
            </w:tcBorders>
            <w:vAlign w:val="center"/>
          </w:tcPr>
          <w:p w14:paraId="17CCA23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-46,2%</w:t>
            </w:r>
          </w:p>
        </w:tc>
        <w:tc>
          <w:tcPr>
            <w:tcW w:w="1096" w:type="dxa"/>
            <w:tcBorders>
              <w:top w:val="nil"/>
              <w:left w:val="nil"/>
              <w:bottom w:val="nil"/>
              <w:right w:val="nil"/>
            </w:tcBorders>
            <w:vAlign w:val="center"/>
          </w:tcPr>
          <w:p w14:paraId="20770ED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-1,2%</w:t>
            </w:r>
          </w:p>
        </w:tc>
        <w:tc>
          <w:tcPr>
            <w:tcW w:w="993" w:type="dxa"/>
            <w:tcBorders>
              <w:top w:val="nil"/>
              <w:left w:val="nil"/>
              <w:bottom w:val="nil"/>
              <w:right w:val="nil"/>
            </w:tcBorders>
            <w:vAlign w:val="center"/>
          </w:tcPr>
          <w:p w14:paraId="1281FEB1"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56CCFA20" w14:textId="77777777">
        <w:trPr>
          <w:trHeight w:val="279"/>
        </w:trPr>
        <w:tc>
          <w:tcPr>
            <w:tcW w:w="1712" w:type="dxa"/>
            <w:tcBorders>
              <w:top w:val="nil"/>
              <w:left w:val="nil"/>
              <w:bottom w:val="nil"/>
              <w:right w:val="nil"/>
            </w:tcBorders>
            <w:vAlign w:val="center"/>
          </w:tcPr>
          <w:p w14:paraId="4F960E86"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Altro</w:t>
            </w:r>
          </w:p>
        </w:tc>
        <w:tc>
          <w:tcPr>
            <w:tcW w:w="1579" w:type="dxa"/>
            <w:tcBorders>
              <w:top w:val="nil"/>
              <w:left w:val="nil"/>
              <w:bottom w:val="nil"/>
              <w:right w:val="nil"/>
            </w:tcBorders>
          </w:tcPr>
          <w:p w14:paraId="4AB7F87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1.552.821.637</w:t>
            </w:r>
          </w:p>
        </w:tc>
        <w:tc>
          <w:tcPr>
            <w:tcW w:w="1580" w:type="dxa"/>
            <w:tcBorders>
              <w:top w:val="nil"/>
              <w:left w:val="nil"/>
              <w:bottom w:val="nil"/>
              <w:right w:val="nil"/>
            </w:tcBorders>
          </w:tcPr>
          <w:p w14:paraId="0EC368D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1.541.227.137</w:t>
            </w:r>
          </w:p>
        </w:tc>
        <w:tc>
          <w:tcPr>
            <w:tcW w:w="866" w:type="dxa"/>
            <w:tcBorders>
              <w:top w:val="nil"/>
              <w:left w:val="nil"/>
              <w:bottom w:val="nil"/>
              <w:right w:val="nil"/>
            </w:tcBorders>
          </w:tcPr>
          <w:p w14:paraId="7998B1E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28,5%</w:t>
            </w:r>
          </w:p>
        </w:tc>
        <w:tc>
          <w:tcPr>
            <w:tcW w:w="988" w:type="dxa"/>
            <w:tcBorders>
              <w:top w:val="nil"/>
              <w:left w:val="nil"/>
              <w:bottom w:val="nil"/>
              <w:right w:val="nil"/>
            </w:tcBorders>
          </w:tcPr>
          <w:p w14:paraId="71EDC98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-0,7%</w:t>
            </w:r>
          </w:p>
        </w:tc>
        <w:tc>
          <w:tcPr>
            <w:tcW w:w="1096" w:type="dxa"/>
            <w:tcBorders>
              <w:top w:val="nil"/>
              <w:left w:val="nil"/>
              <w:bottom w:val="nil"/>
              <w:right w:val="nil"/>
            </w:tcBorders>
          </w:tcPr>
          <w:p w14:paraId="4A5A0FF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c>
          <w:tcPr>
            <w:tcW w:w="993" w:type="dxa"/>
            <w:tcBorders>
              <w:top w:val="nil"/>
              <w:left w:val="nil"/>
              <w:bottom w:val="nil"/>
              <w:right w:val="nil"/>
            </w:tcBorders>
            <w:vAlign w:val="center"/>
          </w:tcPr>
          <w:p w14:paraId="7C229C24"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739D7406" w14:textId="77777777">
        <w:trPr>
          <w:trHeight w:val="279"/>
        </w:trPr>
        <w:tc>
          <w:tcPr>
            <w:tcW w:w="1712" w:type="dxa"/>
            <w:tcBorders>
              <w:top w:val="single" w:sz="4" w:space="0" w:color="000000"/>
              <w:left w:val="nil"/>
              <w:bottom w:val="single" w:sz="4" w:space="0" w:color="000000"/>
              <w:right w:val="nil"/>
            </w:tcBorders>
            <w:vAlign w:val="center"/>
          </w:tcPr>
          <w:p w14:paraId="10A490F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Totale</w:t>
            </w:r>
          </w:p>
        </w:tc>
        <w:tc>
          <w:tcPr>
            <w:tcW w:w="1579" w:type="dxa"/>
            <w:tcBorders>
              <w:top w:val="single" w:sz="4" w:space="0" w:color="000000"/>
              <w:left w:val="nil"/>
              <w:bottom w:val="single" w:sz="4" w:space="0" w:color="000000"/>
              <w:right w:val="nil"/>
            </w:tcBorders>
          </w:tcPr>
          <w:p w14:paraId="145935E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5.541.573.603</w:t>
            </w:r>
          </w:p>
        </w:tc>
        <w:tc>
          <w:tcPr>
            <w:tcW w:w="1580" w:type="dxa"/>
            <w:tcBorders>
              <w:top w:val="single" w:sz="4" w:space="0" w:color="000000"/>
              <w:left w:val="nil"/>
              <w:bottom w:val="single" w:sz="4" w:space="0" w:color="000000"/>
              <w:right w:val="nil"/>
            </w:tcBorders>
          </w:tcPr>
          <w:p w14:paraId="3D76D72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5.398.680.257</w:t>
            </w:r>
          </w:p>
        </w:tc>
        <w:tc>
          <w:tcPr>
            <w:tcW w:w="866" w:type="dxa"/>
            <w:tcBorders>
              <w:top w:val="single" w:sz="4" w:space="0" w:color="000000"/>
              <w:left w:val="nil"/>
              <w:bottom w:val="single" w:sz="4" w:space="0" w:color="000000"/>
              <w:right w:val="nil"/>
            </w:tcBorders>
          </w:tcPr>
          <w:p w14:paraId="13280DD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100,0%</w:t>
            </w:r>
          </w:p>
        </w:tc>
        <w:tc>
          <w:tcPr>
            <w:tcW w:w="988" w:type="dxa"/>
            <w:tcBorders>
              <w:top w:val="single" w:sz="4" w:space="0" w:color="000000"/>
              <w:left w:val="nil"/>
              <w:bottom w:val="single" w:sz="4" w:space="0" w:color="000000"/>
              <w:right w:val="nil"/>
            </w:tcBorders>
          </w:tcPr>
          <w:p w14:paraId="02A8C15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-2,6%</w:t>
            </w:r>
          </w:p>
        </w:tc>
        <w:tc>
          <w:tcPr>
            <w:tcW w:w="1096" w:type="dxa"/>
            <w:tcBorders>
              <w:top w:val="single" w:sz="4" w:space="0" w:color="000000"/>
              <w:left w:val="nil"/>
              <w:bottom w:val="single" w:sz="4" w:space="0" w:color="000000"/>
              <w:right w:val="nil"/>
            </w:tcBorders>
          </w:tcPr>
          <w:p w14:paraId="1F0CCE5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i/>
                <w:iCs/>
              </w:rPr>
              <w:t>-2,6%</w:t>
            </w:r>
          </w:p>
        </w:tc>
        <w:tc>
          <w:tcPr>
            <w:tcW w:w="993" w:type="dxa"/>
            <w:tcBorders>
              <w:top w:val="nil"/>
              <w:left w:val="nil"/>
              <w:bottom w:val="nil"/>
              <w:right w:val="nil"/>
            </w:tcBorders>
            <w:vAlign w:val="center"/>
          </w:tcPr>
          <w:p w14:paraId="49559762"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0E14E002" w14:textId="77777777">
        <w:trPr>
          <w:trHeight w:val="279"/>
        </w:trPr>
        <w:tc>
          <w:tcPr>
            <w:tcW w:w="8814" w:type="dxa"/>
            <w:gridSpan w:val="7"/>
            <w:tcBorders>
              <w:top w:val="nil"/>
              <w:left w:val="nil"/>
              <w:bottom w:val="nil"/>
              <w:right w:val="nil"/>
            </w:tcBorders>
            <w:vAlign w:val="center"/>
          </w:tcPr>
          <w:p w14:paraId="7A78F9D2" w14:textId="1A67E443"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i/>
                <w:iCs/>
              </w:rPr>
              <w:t>Fonte: Elaborazioni Camera di Commercio Toscana Nord-Ovest-ISR su dati Istat (dati 2025 provvisori)</w:t>
            </w:r>
          </w:p>
        </w:tc>
      </w:tr>
    </w:tbl>
    <w:p w14:paraId="51E263CC" w14:textId="77777777" w:rsidR="00C91C1B" w:rsidRPr="00C522AD" w:rsidRDefault="00C227BB">
      <w:pPr>
        <w:pBdr>
          <w:top w:val="nil"/>
          <w:left w:val="nil"/>
          <w:bottom w:val="nil"/>
          <w:right w:val="nil"/>
          <w:between w:val="nil"/>
        </w:pBdr>
        <w:spacing w:after="240"/>
        <w:jc w:val="both"/>
        <w:rPr>
          <w:rFonts w:ascii="Calibri" w:eastAsia="Calibri" w:hAnsi="Calibri" w:cs="Calibri"/>
          <w:sz w:val="28"/>
          <w:szCs w:val="28"/>
        </w:rPr>
      </w:pPr>
      <w:r w:rsidRPr="00C522AD">
        <w:br w:type="page"/>
      </w:r>
      <w:r w:rsidRPr="00C522AD">
        <w:rPr>
          <w:rFonts w:ascii="Calibri" w:eastAsia="Calibri" w:hAnsi="Calibri" w:cs="Calibri"/>
          <w:b/>
          <w:bCs/>
          <w:sz w:val="28"/>
          <w:szCs w:val="28"/>
        </w:rPr>
        <w:lastRenderedPageBreak/>
        <w:t>L’ANDAMENTO DELL’EXPORT DELLA PROVINCIA DI MASSA-CARRARA</w:t>
      </w:r>
    </w:p>
    <w:p w14:paraId="23ECC66D"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b/>
          <w:bCs/>
          <w:sz w:val="24"/>
          <w:szCs w:val="24"/>
        </w:rPr>
        <w:t>La dinamica provinciale</w:t>
      </w:r>
    </w:p>
    <w:p w14:paraId="4D8506BC" w14:textId="411F7EAD" w:rsidR="00C91C1B" w:rsidRPr="00C522AD" w:rsidRDefault="00070AE0">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N</w:t>
      </w:r>
      <w:r w:rsidR="00C227BB" w:rsidRPr="00C522AD">
        <w:rPr>
          <w:rFonts w:ascii="Calibri" w:eastAsia="Calibri" w:hAnsi="Calibri" w:cs="Calibri"/>
          <w:sz w:val="24"/>
          <w:szCs w:val="24"/>
        </w:rPr>
        <w:t>el 2025 le esportazioni della provincia di Massa-Carrara hanno mostrato un deciso rimbalzo rispetto alla marcata contrazione registrata nell’anno precedente, superando per la prima volta la soglia dei 3 miliardi di euro. L’export apuano, infatti, grazie a una crescita del 50,4% su base annua ha registrato vendite all’estero per 3 miliardi e 163 milioni di euro, recuperando ampiamente le perdite dell’anno precedente.</w:t>
      </w:r>
    </w:p>
    <w:p w14:paraId="03602A8D" w14:textId="3F8475FB"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La dinamica delle esportazioni provinciali è risultata nettamente più favorevole rispetto sia al dato regionale (+21,3%) sia a quello nazionale (+3,3%), confermando però il carattere fortemente ciclico dell’export locale, storicamente influenzato dall’andamento delle grandi commesse nei sett</w:t>
      </w:r>
      <w:r w:rsidR="00070AE0" w:rsidRPr="00C522AD">
        <w:rPr>
          <w:rFonts w:ascii="Calibri" w:eastAsia="Calibri" w:hAnsi="Calibri" w:cs="Calibri"/>
          <w:sz w:val="24"/>
          <w:szCs w:val="24"/>
        </w:rPr>
        <w:t>ori di specializzazione locale.</w:t>
      </w:r>
    </w:p>
    <w:p w14:paraId="1B4D04F1" w14:textId="33D94CCA"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Nel confronto con le altre province della Toscana, Massa-Carrara nel 2025 si è distinta per una crescita più sostenuta delle esportazioni, a fronte di andamenti più contenuti osservati, ad esempio, a Pisa (+2%) e di una lieve flessione registrata a Lucca (-2,6%). Il risultato contribuisce in maniera significativa alla dinamica complessiva dell’Area Toscana Nord-Ovest, che chiude l’anno con un incremento dell’export pari al 9%.</w:t>
      </w:r>
    </w:p>
    <w:p w14:paraId="74C36159"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Sul versante delle importazioni, nel 2025 si è osservata invece una flessione dopo la crescita registrata nel 2024: gli acquisti dall’estero si sono attestati a 952 milioni di euro, in diminuzione del 7,9% rispetto all’anno precedente. </w:t>
      </w:r>
    </w:p>
    <w:p w14:paraId="067A7E55" w14:textId="77777777" w:rsidR="00C91C1B" w:rsidRPr="00C522AD" w:rsidRDefault="00C227BB">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b/>
          <w:bCs/>
          <w:sz w:val="24"/>
          <w:szCs w:val="24"/>
        </w:rPr>
        <w:t>Gli andamenti settoriali</w:t>
      </w:r>
    </w:p>
    <w:p w14:paraId="244D450B"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L’analisi settoriale dell’export della provincia di Massa-Carrara per il 2025 evidenzia un deciso ribaltamento rispetto al 2024, con una forte crescita trainata dalla meccanica. Come già osservato, la presenza di produzioni ad elevato valore unitario rende il sistema particolarmente sensibile al ciclo delle grandi commesse, determinando variazioni molto ampie sia nei valori sia nella distribuzione geografica delle esportazioni.</w:t>
      </w:r>
    </w:p>
    <w:p w14:paraId="435E7962" w14:textId="0F5C64B5" w:rsidR="00C91C1B" w:rsidRPr="00C522AD" w:rsidRDefault="00C227BB" w:rsidP="00070AE0">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Le </w:t>
      </w:r>
      <w:r w:rsidRPr="00C522AD">
        <w:rPr>
          <w:rFonts w:ascii="Calibri" w:eastAsia="Calibri" w:hAnsi="Calibri" w:cs="Calibri"/>
          <w:b/>
          <w:bCs/>
          <w:sz w:val="24"/>
          <w:szCs w:val="24"/>
        </w:rPr>
        <w:t>macchine di impiego generale</w:t>
      </w:r>
      <w:r w:rsidRPr="00C522AD">
        <w:rPr>
          <w:rFonts w:ascii="Calibri" w:eastAsia="Calibri" w:hAnsi="Calibri" w:cs="Calibri"/>
          <w:sz w:val="24"/>
          <w:szCs w:val="24"/>
        </w:rPr>
        <w:t xml:space="preserve"> si sono confermate il principale settore per valore esportato, con oltre 1 miliardo di euro e una crescita del 173,2%. Il valore è superiore del 21% anche al dato 2023, ma risulta inferiore al biennio 2014-2015 quando le esportazioni del settore avevano superato rispettivamente 1,25 e 1,1 miliardi di euro. La ripresa è stata sostenuta da un rafforzamento diffuso delle commesse, molto marcato in diversi mercati, in particolare extraeuropei. Tra questi spiccano innanzitutto gli Stati Uniti, che hanno registrato un incremento particolarmente elevato, passando da</w:t>
      </w:r>
      <w:r w:rsidR="006F4179" w:rsidRPr="00C522AD">
        <w:rPr>
          <w:rFonts w:ascii="Calibri" w:eastAsia="Calibri" w:hAnsi="Calibri" w:cs="Calibri"/>
          <w:sz w:val="24"/>
          <w:szCs w:val="24"/>
        </w:rPr>
        <w:t>i</w:t>
      </w:r>
      <w:r w:rsidRPr="00C522AD">
        <w:rPr>
          <w:rFonts w:ascii="Calibri" w:eastAsia="Calibri" w:hAnsi="Calibri" w:cs="Calibri"/>
          <w:sz w:val="24"/>
          <w:szCs w:val="24"/>
        </w:rPr>
        <w:t xml:space="preserve"> 20 mi</w:t>
      </w:r>
      <w:r w:rsidR="00F41EE6" w:rsidRPr="00C522AD">
        <w:rPr>
          <w:rFonts w:ascii="Calibri" w:eastAsia="Calibri" w:hAnsi="Calibri" w:cs="Calibri"/>
          <w:sz w:val="24"/>
          <w:szCs w:val="24"/>
        </w:rPr>
        <w:t xml:space="preserve">lioni di </w:t>
      </w:r>
      <w:r w:rsidRPr="00C522AD">
        <w:rPr>
          <w:rFonts w:ascii="Calibri" w:eastAsia="Calibri" w:hAnsi="Calibri" w:cs="Calibri"/>
          <w:sz w:val="24"/>
          <w:szCs w:val="24"/>
        </w:rPr>
        <w:t xml:space="preserve">euro </w:t>
      </w:r>
      <w:r w:rsidR="006F4179" w:rsidRPr="00C522AD">
        <w:rPr>
          <w:rFonts w:ascii="Calibri" w:eastAsia="Calibri" w:hAnsi="Calibri" w:cs="Calibri"/>
          <w:sz w:val="24"/>
          <w:szCs w:val="24"/>
        </w:rPr>
        <w:t xml:space="preserve">del 2024 </w:t>
      </w:r>
      <w:r w:rsidRPr="00C522AD">
        <w:rPr>
          <w:rFonts w:ascii="Calibri" w:eastAsia="Calibri" w:hAnsi="Calibri" w:cs="Calibri"/>
          <w:sz w:val="24"/>
          <w:szCs w:val="24"/>
        </w:rPr>
        <w:t>ad oltre 320</w:t>
      </w:r>
      <w:r w:rsidR="00A163D2" w:rsidRPr="00C522AD">
        <w:rPr>
          <w:rFonts w:ascii="Calibri" w:eastAsia="Calibri" w:hAnsi="Calibri" w:cs="Calibri"/>
          <w:sz w:val="24"/>
          <w:szCs w:val="24"/>
        </w:rPr>
        <w:t xml:space="preserve"> milioni</w:t>
      </w:r>
      <w:r w:rsidR="006F4179" w:rsidRPr="00C522AD">
        <w:rPr>
          <w:rFonts w:ascii="Calibri" w:eastAsia="Calibri" w:hAnsi="Calibri" w:cs="Calibri"/>
          <w:sz w:val="24"/>
          <w:szCs w:val="24"/>
        </w:rPr>
        <w:t>,</w:t>
      </w:r>
      <w:r w:rsidRPr="00C522AD">
        <w:rPr>
          <w:rFonts w:ascii="Calibri" w:eastAsia="Calibri" w:hAnsi="Calibri" w:cs="Calibri"/>
          <w:sz w:val="24"/>
          <w:szCs w:val="24"/>
        </w:rPr>
        <w:t xml:space="preserve"> diventando di gran lunga il principale mercato di sbocco del comparto nell’anno. Le vendite sono aumentate su livelli particolarmente rilevanti anche in Corea del Sud, dove hanno superato i 157 milioni di euro, e in Qatar (90 milioni), Emirati Arabi Uniti (50 milioni), Singapore (49 milioni), Cina (46 milioni).</w:t>
      </w:r>
    </w:p>
    <w:p w14:paraId="7F7B584D" w14:textId="77777777" w:rsidR="00070AE0" w:rsidRPr="00C522AD" w:rsidRDefault="00070AE0" w:rsidP="00070AE0">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 xml:space="preserve">Al contrario, flessioni rilevanti si sono avute in alcuni mercati che nel 2024 avevano sostenuto il comparto, come la Norvegia (-35,8%), la Germania (-82,2%), l’Algeria (-11,6%) e la Malaysia (-40,3%). Particolarmente evidente anche l’azzeramento delle vendite verso alcuni mercati che nel 2024 avevano avuto un ruolo rilevante, come Indonesia, Ghana, Messico e Iraq, a conferma della presenza di rapporti commerciali legati alle singole commesse. Per le </w:t>
      </w:r>
      <w:r w:rsidRPr="00C522AD">
        <w:rPr>
          <w:rFonts w:ascii="Calibri" w:eastAsia="Calibri" w:hAnsi="Calibri" w:cs="Calibri"/>
          <w:b/>
          <w:bCs/>
          <w:sz w:val="24"/>
          <w:szCs w:val="24"/>
        </w:rPr>
        <w:t>altre macchine di impiego generale</w:t>
      </w:r>
      <w:r w:rsidRPr="00C522AD">
        <w:rPr>
          <w:rFonts w:ascii="Calibri" w:eastAsia="Calibri" w:hAnsi="Calibri" w:cs="Calibri"/>
          <w:sz w:val="24"/>
          <w:szCs w:val="24"/>
        </w:rPr>
        <w:t xml:space="preserve"> (583 milioni di euro; +37,8%) sono emerse dinamiche ancora più marcate nella ridefinizione geografica dei mercati. Gli Stati Uniti, pur rimanendo il principale partner commerciale con 241 milioni di euro, hanno chiuso il 2025 in forte contrazione (-37,4%), segnando una flessione di oltre 144 milioni di euro. Parallelamente si osservata una forte crescita in mercati che nel 2024 avevano avuto un peso marginale. Tra questi spiccano la Corea del Sud (96 milioni) e l’Algeria (64 milioni), </w:t>
      </w:r>
      <w:r w:rsidRPr="00C522AD">
        <w:rPr>
          <w:rFonts w:ascii="Calibri" w:eastAsia="Calibri" w:hAnsi="Calibri" w:cs="Calibri"/>
          <w:sz w:val="24"/>
          <w:szCs w:val="24"/>
        </w:rPr>
        <w:lastRenderedPageBreak/>
        <w:t xml:space="preserve">oltre agli Emirati Arabi Uniti (47 milioni) e al Qatar (36 milioni), che si stanno affermando come poli sempre più rilevanti per il comparto. </w:t>
      </w:r>
    </w:p>
    <w:tbl>
      <w:tblPr>
        <w:tblStyle w:val="a1"/>
        <w:tblW w:w="8953" w:type="dxa"/>
        <w:tblInd w:w="0" w:type="dxa"/>
        <w:tblLayout w:type="fixed"/>
        <w:tblLook w:val="0000" w:firstRow="0" w:lastRow="0" w:firstColumn="0" w:lastColumn="0" w:noHBand="0" w:noVBand="0"/>
      </w:tblPr>
      <w:tblGrid>
        <w:gridCol w:w="3859"/>
        <w:gridCol w:w="1314"/>
        <w:gridCol w:w="1314"/>
        <w:gridCol w:w="743"/>
        <w:gridCol w:w="739"/>
        <w:gridCol w:w="984"/>
      </w:tblGrid>
      <w:tr w:rsidR="00C522AD" w:rsidRPr="00C522AD" w14:paraId="27E754FD" w14:textId="77777777" w:rsidTr="00070AE0">
        <w:trPr>
          <w:cantSplit/>
          <w:trHeight w:val="193"/>
        </w:trPr>
        <w:tc>
          <w:tcPr>
            <w:tcW w:w="7969" w:type="dxa"/>
            <w:gridSpan w:val="5"/>
            <w:vMerge w:val="restart"/>
            <w:tcBorders>
              <w:top w:val="nil"/>
              <w:left w:val="nil"/>
              <w:right w:val="nil"/>
            </w:tcBorders>
            <w:shd w:val="clear" w:color="auto" w:fill="FFFFFF"/>
            <w:vAlign w:val="center"/>
          </w:tcPr>
          <w:p w14:paraId="1A637BE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I principali settori esportatori della provincia di Massa-Carrara - Anno 2025</w:t>
            </w:r>
          </w:p>
          <w:p w14:paraId="7594CB1E" w14:textId="77777777" w:rsidR="00C91C1B" w:rsidRPr="00C522AD" w:rsidRDefault="00C227BB">
            <w:pPr>
              <w:pBdr>
                <w:top w:val="nil"/>
                <w:left w:val="nil"/>
                <w:bottom w:val="nil"/>
                <w:right w:val="nil"/>
                <w:between w:val="nil"/>
              </w:pBdr>
            </w:pPr>
            <w:r w:rsidRPr="00C522AD">
              <w:rPr>
                <w:rFonts w:ascii="Calibri" w:eastAsia="Calibri" w:hAnsi="Calibri" w:cs="Calibri"/>
                <w:i/>
                <w:iCs/>
              </w:rPr>
              <w:t>Valori assoluti in euro, var. % e contributi % alla crescita </w:t>
            </w:r>
          </w:p>
        </w:tc>
        <w:tc>
          <w:tcPr>
            <w:tcW w:w="984" w:type="dxa"/>
            <w:tcBorders>
              <w:top w:val="nil"/>
              <w:left w:val="nil"/>
              <w:bottom w:val="nil"/>
              <w:right w:val="nil"/>
            </w:tcBorders>
            <w:vAlign w:val="center"/>
          </w:tcPr>
          <w:p w14:paraId="68413050" w14:textId="77777777" w:rsidR="00C91C1B" w:rsidRPr="00C522AD" w:rsidRDefault="00C91C1B">
            <w:pPr>
              <w:pBdr>
                <w:top w:val="nil"/>
                <w:left w:val="nil"/>
                <w:bottom w:val="nil"/>
                <w:right w:val="nil"/>
                <w:between w:val="nil"/>
              </w:pBdr>
            </w:pPr>
          </w:p>
        </w:tc>
      </w:tr>
      <w:tr w:rsidR="00C522AD" w:rsidRPr="00C522AD" w14:paraId="7D85FC4E" w14:textId="77777777" w:rsidTr="00070AE0">
        <w:trPr>
          <w:cantSplit/>
          <w:trHeight w:val="193"/>
        </w:trPr>
        <w:tc>
          <w:tcPr>
            <w:tcW w:w="7969" w:type="dxa"/>
            <w:gridSpan w:val="5"/>
            <w:vMerge/>
            <w:tcBorders>
              <w:top w:val="nil"/>
              <w:left w:val="nil"/>
              <w:right w:val="nil"/>
            </w:tcBorders>
            <w:shd w:val="clear" w:color="auto" w:fill="FFFFFF"/>
            <w:vAlign w:val="center"/>
          </w:tcPr>
          <w:p w14:paraId="70B44546" w14:textId="77777777" w:rsidR="00C91C1B" w:rsidRPr="00C522AD" w:rsidRDefault="00C91C1B">
            <w:pPr>
              <w:widowControl w:val="0"/>
              <w:pBdr>
                <w:top w:val="nil"/>
                <w:left w:val="nil"/>
                <w:bottom w:val="nil"/>
                <w:right w:val="nil"/>
                <w:between w:val="nil"/>
              </w:pBdr>
              <w:spacing w:line="276" w:lineRule="auto"/>
            </w:pPr>
          </w:p>
        </w:tc>
        <w:tc>
          <w:tcPr>
            <w:tcW w:w="984" w:type="dxa"/>
            <w:tcBorders>
              <w:top w:val="nil"/>
              <w:left w:val="nil"/>
              <w:bottom w:val="nil"/>
              <w:right w:val="nil"/>
            </w:tcBorders>
            <w:vAlign w:val="center"/>
          </w:tcPr>
          <w:p w14:paraId="4ED286B0" w14:textId="77777777" w:rsidR="00C91C1B" w:rsidRPr="00C522AD" w:rsidRDefault="00C91C1B">
            <w:pPr>
              <w:pBdr>
                <w:top w:val="nil"/>
                <w:left w:val="nil"/>
                <w:bottom w:val="nil"/>
                <w:right w:val="nil"/>
                <w:between w:val="nil"/>
              </w:pBdr>
            </w:pPr>
          </w:p>
        </w:tc>
      </w:tr>
      <w:tr w:rsidR="00C522AD" w:rsidRPr="00C522AD" w14:paraId="74D104FF" w14:textId="77777777" w:rsidTr="00070AE0">
        <w:trPr>
          <w:cantSplit/>
          <w:trHeight w:val="193"/>
        </w:trPr>
        <w:tc>
          <w:tcPr>
            <w:tcW w:w="3859" w:type="dxa"/>
            <w:vMerge w:val="restart"/>
            <w:tcBorders>
              <w:top w:val="single" w:sz="4" w:space="0" w:color="000000"/>
              <w:left w:val="nil"/>
              <w:bottom w:val="single" w:sz="4" w:space="0" w:color="000000"/>
              <w:right w:val="nil"/>
            </w:tcBorders>
            <w:vAlign w:val="center"/>
          </w:tcPr>
          <w:p w14:paraId="182D2B8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Settori di attività</w:t>
            </w:r>
          </w:p>
        </w:tc>
        <w:tc>
          <w:tcPr>
            <w:tcW w:w="2628" w:type="dxa"/>
            <w:gridSpan w:val="2"/>
            <w:tcBorders>
              <w:top w:val="single" w:sz="4" w:space="0" w:color="000000"/>
              <w:left w:val="nil"/>
              <w:bottom w:val="single" w:sz="4" w:space="0" w:color="000000"/>
              <w:right w:val="nil"/>
            </w:tcBorders>
            <w:vAlign w:val="center"/>
          </w:tcPr>
          <w:p w14:paraId="17EBC92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Valori assoluti in euro</w:t>
            </w:r>
          </w:p>
        </w:tc>
        <w:tc>
          <w:tcPr>
            <w:tcW w:w="743" w:type="dxa"/>
            <w:vMerge w:val="restart"/>
            <w:tcBorders>
              <w:top w:val="single" w:sz="4" w:space="0" w:color="000000"/>
              <w:left w:val="nil"/>
              <w:bottom w:val="single" w:sz="4" w:space="0" w:color="000000"/>
              <w:right w:val="nil"/>
            </w:tcBorders>
            <w:vAlign w:val="center"/>
          </w:tcPr>
          <w:p w14:paraId="4B91120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Quota %</w:t>
            </w:r>
          </w:p>
        </w:tc>
        <w:tc>
          <w:tcPr>
            <w:tcW w:w="739" w:type="dxa"/>
            <w:vMerge w:val="restart"/>
            <w:tcBorders>
              <w:top w:val="single" w:sz="4" w:space="0" w:color="000000"/>
              <w:left w:val="nil"/>
              <w:bottom w:val="single" w:sz="4" w:space="0" w:color="000000"/>
              <w:right w:val="nil"/>
            </w:tcBorders>
            <w:vAlign w:val="center"/>
          </w:tcPr>
          <w:p w14:paraId="176E1C45"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Var. %</w:t>
            </w:r>
          </w:p>
        </w:tc>
        <w:tc>
          <w:tcPr>
            <w:tcW w:w="984" w:type="dxa"/>
            <w:vMerge w:val="restart"/>
            <w:tcBorders>
              <w:top w:val="single" w:sz="4" w:space="0" w:color="000000"/>
              <w:left w:val="nil"/>
              <w:bottom w:val="single" w:sz="4" w:space="0" w:color="000000"/>
              <w:right w:val="nil"/>
            </w:tcBorders>
            <w:vAlign w:val="center"/>
          </w:tcPr>
          <w:p w14:paraId="763F489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Contributi %</w:t>
            </w:r>
          </w:p>
        </w:tc>
      </w:tr>
      <w:tr w:rsidR="00C522AD" w:rsidRPr="00C522AD" w14:paraId="2013B22F" w14:textId="77777777" w:rsidTr="00070AE0">
        <w:trPr>
          <w:cantSplit/>
          <w:trHeight w:val="387"/>
        </w:trPr>
        <w:tc>
          <w:tcPr>
            <w:tcW w:w="3859" w:type="dxa"/>
            <w:vMerge/>
            <w:tcBorders>
              <w:top w:val="single" w:sz="4" w:space="0" w:color="000000"/>
              <w:left w:val="nil"/>
              <w:bottom w:val="single" w:sz="4" w:space="0" w:color="000000"/>
              <w:right w:val="nil"/>
            </w:tcBorders>
            <w:vAlign w:val="center"/>
          </w:tcPr>
          <w:p w14:paraId="11B9AEBD"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314" w:type="dxa"/>
            <w:tcBorders>
              <w:top w:val="nil"/>
              <w:left w:val="nil"/>
              <w:bottom w:val="single" w:sz="4" w:space="0" w:color="000000"/>
              <w:right w:val="nil"/>
            </w:tcBorders>
            <w:vAlign w:val="center"/>
          </w:tcPr>
          <w:p w14:paraId="1B71452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Anno 2024</w:t>
            </w:r>
          </w:p>
        </w:tc>
        <w:tc>
          <w:tcPr>
            <w:tcW w:w="1314" w:type="dxa"/>
            <w:tcBorders>
              <w:top w:val="nil"/>
              <w:left w:val="nil"/>
              <w:bottom w:val="single" w:sz="4" w:space="0" w:color="000000"/>
              <w:right w:val="nil"/>
            </w:tcBorders>
            <w:vAlign w:val="center"/>
          </w:tcPr>
          <w:p w14:paraId="6375CCD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Anno 2025</w:t>
            </w:r>
          </w:p>
        </w:tc>
        <w:tc>
          <w:tcPr>
            <w:tcW w:w="743" w:type="dxa"/>
            <w:vMerge/>
            <w:tcBorders>
              <w:top w:val="single" w:sz="4" w:space="0" w:color="000000"/>
              <w:left w:val="nil"/>
              <w:bottom w:val="single" w:sz="4" w:space="0" w:color="000000"/>
              <w:right w:val="nil"/>
            </w:tcBorders>
            <w:vAlign w:val="center"/>
          </w:tcPr>
          <w:p w14:paraId="39413E3C"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739" w:type="dxa"/>
            <w:vMerge/>
            <w:tcBorders>
              <w:top w:val="single" w:sz="4" w:space="0" w:color="000000"/>
              <w:left w:val="nil"/>
              <w:bottom w:val="single" w:sz="4" w:space="0" w:color="000000"/>
              <w:right w:val="nil"/>
            </w:tcBorders>
            <w:vAlign w:val="center"/>
          </w:tcPr>
          <w:p w14:paraId="16FD589E"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984" w:type="dxa"/>
            <w:vMerge/>
            <w:tcBorders>
              <w:top w:val="single" w:sz="4" w:space="0" w:color="000000"/>
              <w:left w:val="nil"/>
              <w:bottom w:val="single" w:sz="4" w:space="0" w:color="000000"/>
              <w:right w:val="nil"/>
            </w:tcBorders>
            <w:vAlign w:val="center"/>
          </w:tcPr>
          <w:p w14:paraId="103D708E"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r>
      <w:tr w:rsidR="00C522AD" w:rsidRPr="00C522AD" w14:paraId="0028516B" w14:textId="77777777" w:rsidTr="00070AE0">
        <w:trPr>
          <w:trHeight w:val="193"/>
        </w:trPr>
        <w:tc>
          <w:tcPr>
            <w:tcW w:w="3859" w:type="dxa"/>
            <w:tcBorders>
              <w:top w:val="nil"/>
              <w:left w:val="nil"/>
              <w:bottom w:val="nil"/>
              <w:right w:val="nil"/>
            </w:tcBorders>
            <w:vAlign w:val="center"/>
          </w:tcPr>
          <w:p w14:paraId="2EA76A33"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Macchine di impiego generale</w:t>
            </w:r>
          </w:p>
        </w:tc>
        <w:tc>
          <w:tcPr>
            <w:tcW w:w="1314" w:type="dxa"/>
            <w:tcBorders>
              <w:top w:val="nil"/>
              <w:left w:val="nil"/>
              <w:bottom w:val="nil"/>
              <w:right w:val="nil"/>
            </w:tcBorders>
            <w:vAlign w:val="center"/>
          </w:tcPr>
          <w:p w14:paraId="67A1F80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371.931.158</w:t>
            </w:r>
          </w:p>
        </w:tc>
        <w:tc>
          <w:tcPr>
            <w:tcW w:w="1314" w:type="dxa"/>
            <w:tcBorders>
              <w:top w:val="nil"/>
              <w:left w:val="nil"/>
              <w:bottom w:val="nil"/>
              <w:right w:val="nil"/>
            </w:tcBorders>
            <w:vAlign w:val="center"/>
          </w:tcPr>
          <w:p w14:paraId="4BB5D62D"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1.016.270.763</w:t>
            </w:r>
          </w:p>
        </w:tc>
        <w:tc>
          <w:tcPr>
            <w:tcW w:w="743" w:type="dxa"/>
            <w:tcBorders>
              <w:top w:val="nil"/>
              <w:left w:val="nil"/>
              <w:bottom w:val="nil"/>
              <w:right w:val="nil"/>
            </w:tcBorders>
            <w:vAlign w:val="center"/>
          </w:tcPr>
          <w:p w14:paraId="19E652D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32,1%</w:t>
            </w:r>
          </w:p>
        </w:tc>
        <w:tc>
          <w:tcPr>
            <w:tcW w:w="739" w:type="dxa"/>
            <w:tcBorders>
              <w:top w:val="nil"/>
              <w:left w:val="nil"/>
              <w:bottom w:val="nil"/>
              <w:right w:val="nil"/>
            </w:tcBorders>
            <w:vAlign w:val="center"/>
          </w:tcPr>
          <w:p w14:paraId="3403E6E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173,2%</w:t>
            </w:r>
          </w:p>
        </w:tc>
        <w:tc>
          <w:tcPr>
            <w:tcW w:w="984" w:type="dxa"/>
            <w:tcBorders>
              <w:top w:val="nil"/>
              <w:left w:val="nil"/>
              <w:bottom w:val="nil"/>
              <w:right w:val="nil"/>
            </w:tcBorders>
            <w:vAlign w:val="center"/>
          </w:tcPr>
          <w:p w14:paraId="14BF0B7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30,6%</w:t>
            </w:r>
          </w:p>
        </w:tc>
      </w:tr>
      <w:tr w:rsidR="00C522AD" w:rsidRPr="00C522AD" w14:paraId="31071619" w14:textId="77777777" w:rsidTr="00070AE0">
        <w:trPr>
          <w:trHeight w:val="193"/>
        </w:trPr>
        <w:tc>
          <w:tcPr>
            <w:tcW w:w="3859" w:type="dxa"/>
            <w:tcBorders>
              <w:top w:val="nil"/>
              <w:left w:val="nil"/>
              <w:bottom w:val="nil"/>
              <w:right w:val="nil"/>
            </w:tcBorders>
            <w:vAlign w:val="center"/>
          </w:tcPr>
          <w:p w14:paraId="25C8204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Altre macchine di impiego generale</w:t>
            </w:r>
          </w:p>
        </w:tc>
        <w:tc>
          <w:tcPr>
            <w:tcW w:w="1314" w:type="dxa"/>
            <w:tcBorders>
              <w:top w:val="nil"/>
              <w:left w:val="nil"/>
              <w:bottom w:val="nil"/>
              <w:right w:val="nil"/>
            </w:tcBorders>
            <w:vAlign w:val="center"/>
          </w:tcPr>
          <w:p w14:paraId="098B3CA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423.351.098</w:t>
            </w:r>
          </w:p>
        </w:tc>
        <w:tc>
          <w:tcPr>
            <w:tcW w:w="1314" w:type="dxa"/>
            <w:tcBorders>
              <w:top w:val="nil"/>
              <w:left w:val="nil"/>
              <w:bottom w:val="nil"/>
              <w:right w:val="nil"/>
            </w:tcBorders>
            <w:vAlign w:val="center"/>
          </w:tcPr>
          <w:p w14:paraId="3DA2BA5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583.299.989</w:t>
            </w:r>
          </w:p>
        </w:tc>
        <w:tc>
          <w:tcPr>
            <w:tcW w:w="743" w:type="dxa"/>
            <w:tcBorders>
              <w:top w:val="nil"/>
              <w:left w:val="nil"/>
              <w:bottom w:val="nil"/>
              <w:right w:val="nil"/>
            </w:tcBorders>
            <w:vAlign w:val="center"/>
          </w:tcPr>
          <w:p w14:paraId="26D490F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18,4%</w:t>
            </w:r>
          </w:p>
        </w:tc>
        <w:tc>
          <w:tcPr>
            <w:tcW w:w="739" w:type="dxa"/>
            <w:tcBorders>
              <w:top w:val="nil"/>
              <w:left w:val="nil"/>
              <w:bottom w:val="nil"/>
              <w:right w:val="nil"/>
            </w:tcBorders>
            <w:vAlign w:val="center"/>
          </w:tcPr>
          <w:p w14:paraId="43CA7EB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37,8%</w:t>
            </w:r>
          </w:p>
        </w:tc>
        <w:tc>
          <w:tcPr>
            <w:tcW w:w="984" w:type="dxa"/>
            <w:tcBorders>
              <w:top w:val="nil"/>
              <w:left w:val="nil"/>
              <w:bottom w:val="nil"/>
              <w:right w:val="nil"/>
            </w:tcBorders>
            <w:vAlign w:val="center"/>
          </w:tcPr>
          <w:p w14:paraId="4A6C1FA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7,6%</w:t>
            </w:r>
          </w:p>
        </w:tc>
      </w:tr>
      <w:tr w:rsidR="00C522AD" w:rsidRPr="00C522AD" w14:paraId="1453CE5B" w14:textId="77777777" w:rsidTr="00070AE0">
        <w:trPr>
          <w:trHeight w:val="193"/>
        </w:trPr>
        <w:tc>
          <w:tcPr>
            <w:tcW w:w="3859" w:type="dxa"/>
            <w:tcBorders>
              <w:top w:val="nil"/>
              <w:left w:val="nil"/>
              <w:bottom w:val="nil"/>
              <w:right w:val="nil"/>
            </w:tcBorders>
            <w:vAlign w:val="center"/>
          </w:tcPr>
          <w:p w14:paraId="77E77B0B"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Navi e imbarcazioni</w:t>
            </w:r>
          </w:p>
        </w:tc>
        <w:tc>
          <w:tcPr>
            <w:tcW w:w="1314" w:type="dxa"/>
            <w:tcBorders>
              <w:top w:val="nil"/>
              <w:left w:val="nil"/>
              <w:bottom w:val="nil"/>
              <w:right w:val="nil"/>
            </w:tcBorders>
            <w:vAlign w:val="center"/>
          </w:tcPr>
          <w:p w14:paraId="06685D85"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219.565.590</w:t>
            </w:r>
          </w:p>
        </w:tc>
        <w:tc>
          <w:tcPr>
            <w:tcW w:w="1314" w:type="dxa"/>
            <w:tcBorders>
              <w:top w:val="nil"/>
              <w:left w:val="nil"/>
              <w:bottom w:val="nil"/>
              <w:right w:val="nil"/>
            </w:tcBorders>
            <w:vAlign w:val="center"/>
          </w:tcPr>
          <w:p w14:paraId="6CD868F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444.962.979</w:t>
            </w:r>
          </w:p>
        </w:tc>
        <w:tc>
          <w:tcPr>
            <w:tcW w:w="743" w:type="dxa"/>
            <w:tcBorders>
              <w:top w:val="nil"/>
              <w:left w:val="nil"/>
              <w:bottom w:val="nil"/>
              <w:right w:val="nil"/>
            </w:tcBorders>
            <w:vAlign w:val="center"/>
          </w:tcPr>
          <w:p w14:paraId="4540C28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14,1%</w:t>
            </w:r>
          </w:p>
        </w:tc>
        <w:tc>
          <w:tcPr>
            <w:tcW w:w="739" w:type="dxa"/>
            <w:tcBorders>
              <w:top w:val="nil"/>
              <w:left w:val="nil"/>
              <w:bottom w:val="nil"/>
              <w:right w:val="nil"/>
            </w:tcBorders>
            <w:vAlign w:val="center"/>
          </w:tcPr>
          <w:p w14:paraId="6073580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102,7%</w:t>
            </w:r>
          </w:p>
        </w:tc>
        <w:tc>
          <w:tcPr>
            <w:tcW w:w="984" w:type="dxa"/>
            <w:tcBorders>
              <w:top w:val="nil"/>
              <w:left w:val="nil"/>
              <w:bottom w:val="nil"/>
              <w:right w:val="nil"/>
            </w:tcBorders>
            <w:vAlign w:val="center"/>
          </w:tcPr>
          <w:p w14:paraId="4405247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10,7%</w:t>
            </w:r>
          </w:p>
        </w:tc>
      </w:tr>
      <w:tr w:rsidR="00C522AD" w:rsidRPr="00C522AD" w14:paraId="0273409D" w14:textId="77777777" w:rsidTr="00070AE0">
        <w:trPr>
          <w:trHeight w:val="193"/>
        </w:trPr>
        <w:tc>
          <w:tcPr>
            <w:tcW w:w="3859" w:type="dxa"/>
            <w:tcBorders>
              <w:top w:val="nil"/>
              <w:left w:val="nil"/>
              <w:bottom w:val="nil"/>
              <w:right w:val="nil"/>
            </w:tcBorders>
            <w:vAlign w:val="center"/>
          </w:tcPr>
          <w:p w14:paraId="6E204196"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Pietre tagliate, modellate e finite</w:t>
            </w:r>
          </w:p>
        </w:tc>
        <w:tc>
          <w:tcPr>
            <w:tcW w:w="1314" w:type="dxa"/>
            <w:tcBorders>
              <w:top w:val="nil"/>
              <w:left w:val="nil"/>
              <w:bottom w:val="nil"/>
              <w:right w:val="nil"/>
            </w:tcBorders>
            <w:vAlign w:val="center"/>
          </w:tcPr>
          <w:p w14:paraId="66811119"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421.003.136</w:t>
            </w:r>
          </w:p>
        </w:tc>
        <w:tc>
          <w:tcPr>
            <w:tcW w:w="1314" w:type="dxa"/>
            <w:tcBorders>
              <w:top w:val="nil"/>
              <w:left w:val="nil"/>
              <w:bottom w:val="nil"/>
              <w:right w:val="nil"/>
            </w:tcBorders>
            <w:vAlign w:val="center"/>
          </w:tcPr>
          <w:p w14:paraId="0079E4C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394.066.537</w:t>
            </w:r>
          </w:p>
        </w:tc>
        <w:tc>
          <w:tcPr>
            <w:tcW w:w="743" w:type="dxa"/>
            <w:tcBorders>
              <w:top w:val="nil"/>
              <w:left w:val="nil"/>
              <w:bottom w:val="nil"/>
              <w:right w:val="nil"/>
            </w:tcBorders>
            <w:vAlign w:val="center"/>
          </w:tcPr>
          <w:p w14:paraId="5F4B0B1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12,5%</w:t>
            </w:r>
          </w:p>
        </w:tc>
        <w:tc>
          <w:tcPr>
            <w:tcW w:w="739" w:type="dxa"/>
            <w:tcBorders>
              <w:top w:val="nil"/>
              <w:left w:val="nil"/>
              <w:bottom w:val="nil"/>
              <w:right w:val="nil"/>
            </w:tcBorders>
            <w:vAlign w:val="center"/>
          </w:tcPr>
          <w:p w14:paraId="5CF69A2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-6,4%</w:t>
            </w:r>
          </w:p>
        </w:tc>
        <w:tc>
          <w:tcPr>
            <w:tcW w:w="984" w:type="dxa"/>
            <w:tcBorders>
              <w:top w:val="nil"/>
              <w:left w:val="nil"/>
              <w:bottom w:val="nil"/>
              <w:right w:val="nil"/>
            </w:tcBorders>
            <w:vAlign w:val="center"/>
          </w:tcPr>
          <w:p w14:paraId="7B83983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-1,3%</w:t>
            </w:r>
          </w:p>
        </w:tc>
      </w:tr>
      <w:tr w:rsidR="00C522AD" w:rsidRPr="00C522AD" w14:paraId="09C2186B" w14:textId="77777777" w:rsidTr="00070AE0">
        <w:trPr>
          <w:trHeight w:val="193"/>
        </w:trPr>
        <w:tc>
          <w:tcPr>
            <w:tcW w:w="3859" w:type="dxa"/>
            <w:tcBorders>
              <w:top w:val="nil"/>
              <w:left w:val="nil"/>
              <w:bottom w:val="nil"/>
              <w:right w:val="nil"/>
            </w:tcBorders>
            <w:vAlign w:val="center"/>
          </w:tcPr>
          <w:p w14:paraId="1A827737"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Pietra, sabbia e argilla</w:t>
            </w:r>
          </w:p>
        </w:tc>
        <w:tc>
          <w:tcPr>
            <w:tcW w:w="1314" w:type="dxa"/>
            <w:tcBorders>
              <w:top w:val="nil"/>
              <w:left w:val="nil"/>
              <w:bottom w:val="nil"/>
              <w:right w:val="nil"/>
            </w:tcBorders>
            <w:vAlign w:val="center"/>
          </w:tcPr>
          <w:p w14:paraId="1A244AF5"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206.374.650</w:t>
            </w:r>
          </w:p>
        </w:tc>
        <w:tc>
          <w:tcPr>
            <w:tcW w:w="1314" w:type="dxa"/>
            <w:tcBorders>
              <w:top w:val="nil"/>
              <w:left w:val="nil"/>
              <w:bottom w:val="nil"/>
              <w:right w:val="nil"/>
            </w:tcBorders>
            <w:vAlign w:val="center"/>
          </w:tcPr>
          <w:p w14:paraId="7D5C588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200.491.950</w:t>
            </w:r>
          </w:p>
        </w:tc>
        <w:tc>
          <w:tcPr>
            <w:tcW w:w="743" w:type="dxa"/>
            <w:tcBorders>
              <w:top w:val="nil"/>
              <w:left w:val="nil"/>
              <w:bottom w:val="nil"/>
              <w:right w:val="nil"/>
            </w:tcBorders>
            <w:vAlign w:val="center"/>
          </w:tcPr>
          <w:p w14:paraId="5ABDA78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6,3%</w:t>
            </w:r>
          </w:p>
        </w:tc>
        <w:tc>
          <w:tcPr>
            <w:tcW w:w="739" w:type="dxa"/>
            <w:tcBorders>
              <w:top w:val="nil"/>
              <w:left w:val="nil"/>
              <w:bottom w:val="nil"/>
              <w:right w:val="nil"/>
            </w:tcBorders>
            <w:vAlign w:val="center"/>
          </w:tcPr>
          <w:p w14:paraId="38D100E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-2,9%</w:t>
            </w:r>
          </w:p>
        </w:tc>
        <w:tc>
          <w:tcPr>
            <w:tcW w:w="984" w:type="dxa"/>
            <w:tcBorders>
              <w:top w:val="nil"/>
              <w:left w:val="nil"/>
              <w:bottom w:val="nil"/>
              <w:right w:val="nil"/>
            </w:tcBorders>
            <w:vAlign w:val="center"/>
          </w:tcPr>
          <w:p w14:paraId="451D2285"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-0,3%</w:t>
            </w:r>
          </w:p>
        </w:tc>
      </w:tr>
      <w:tr w:rsidR="00C522AD" w:rsidRPr="00C522AD" w14:paraId="741539EC" w14:textId="77777777" w:rsidTr="00070AE0">
        <w:trPr>
          <w:trHeight w:val="193"/>
        </w:trPr>
        <w:tc>
          <w:tcPr>
            <w:tcW w:w="3859" w:type="dxa"/>
            <w:tcBorders>
              <w:top w:val="nil"/>
              <w:left w:val="nil"/>
              <w:bottom w:val="nil"/>
              <w:right w:val="nil"/>
            </w:tcBorders>
            <w:vAlign w:val="center"/>
          </w:tcPr>
          <w:p w14:paraId="762F7B03"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Altri prodotti chimici</w:t>
            </w:r>
          </w:p>
        </w:tc>
        <w:tc>
          <w:tcPr>
            <w:tcW w:w="1314" w:type="dxa"/>
            <w:tcBorders>
              <w:top w:val="nil"/>
              <w:left w:val="nil"/>
              <w:bottom w:val="nil"/>
              <w:right w:val="nil"/>
            </w:tcBorders>
            <w:vAlign w:val="center"/>
          </w:tcPr>
          <w:p w14:paraId="168F207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162.860.224</w:t>
            </w:r>
          </w:p>
        </w:tc>
        <w:tc>
          <w:tcPr>
            <w:tcW w:w="1314" w:type="dxa"/>
            <w:tcBorders>
              <w:top w:val="nil"/>
              <w:left w:val="nil"/>
              <w:bottom w:val="nil"/>
              <w:right w:val="nil"/>
            </w:tcBorders>
            <w:vAlign w:val="center"/>
          </w:tcPr>
          <w:p w14:paraId="0BDE6C1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167.315.463</w:t>
            </w:r>
          </w:p>
        </w:tc>
        <w:tc>
          <w:tcPr>
            <w:tcW w:w="743" w:type="dxa"/>
            <w:tcBorders>
              <w:top w:val="nil"/>
              <w:left w:val="nil"/>
              <w:bottom w:val="nil"/>
              <w:right w:val="nil"/>
            </w:tcBorders>
            <w:vAlign w:val="center"/>
          </w:tcPr>
          <w:p w14:paraId="6EE5CB4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5,3%</w:t>
            </w:r>
          </w:p>
        </w:tc>
        <w:tc>
          <w:tcPr>
            <w:tcW w:w="739" w:type="dxa"/>
            <w:tcBorders>
              <w:top w:val="nil"/>
              <w:left w:val="nil"/>
              <w:bottom w:val="nil"/>
              <w:right w:val="nil"/>
            </w:tcBorders>
            <w:vAlign w:val="center"/>
          </w:tcPr>
          <w:p w14:paraId="00B3641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2,7%</w:t>
            </w:r>
          </w:p>
        </w:tc>
        <w:tc>
          <w:tcPr>
            <w:tcW w:w="984" w:type="dxa"/>
            <w:tcBorders>
              <w:top w:val="nil"/>
              <w:left w:val="nil"/>
              <w:bottom w:val="nil"/>
              <w:right w:val="nil"/>
            </w:tcBorders>
            <w:vAlign w:val="center"/>
          </w:tcPr>
          <w:p w14:paraId="7D139A5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r>
      <w:tr w:rsidR="00C522AD" w:rsidRPr="00C522AD" w14:paraId="566FBD5E" w14:textId="77777777" w:rsidTr="00070AE0">
        <w:trPr>
          <w:trHeight w:val="193"/>
        </w:trPr>
        <w:tc>
          <w:tcPr>
            <w:tcW w:w="3859" w:type="dxa"/>
            <w:tcBorders>
              <w:top w:val="nil"/>
              <w:left w:val="nil"/>
              <w:bottom w:val="nil"/>
              <w:right w:val="nil"/>
            </w:tcBorders>
            <w:vAlign w:val="center"/>
          </w:tcPr>
          <w:p w14:paraId="6D5C0632" w14:textId="7B822FC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Motori, generat</w:t>
            </w:r>
            <w:r w:rsidR="002E000B" w:rsidRPr="00C522AD">
              <w:rPr>
                <w:rFonts w:ascii="Calibri" w:eastAsia="Calibri" w:hAnsi="Calibri" w:cs="Calibri"/>
              </w:rPr>
              <w:t xml:space="preserve">ori </w:t>
            </w:r>
            <w:r w:rsidRPr="00C522AD">
              <w:rPr>
                <w:rFonts w:ascii="Calibri" w:eastAsia="Calibri" w:hAnsi="Calibri" w:cs="Calibri"/>
              </w:rPr>
              <w:t>e trasform</w:t>
            </w:r>
            <w:r w:rsidR="002E000B" w:rsidRPr="00C522AD">
              <w:rPr>
                <w:rFonts w:ascii="Calibri" w:eastAsia="Calibri" w:hAnsi="Calibri" w:cs="Calibri"/>
              </w:rPr>
              <w:t>atori e</w:t>
            </w:r>
            <w:r w:rsidRPr="00C522AD">
              <w:rPr>
                <w:rFonts w:ascii="Calibri" w:eastAsia="Calibri" w:hAnsi="Calibri" w:cs="Calibri"/>
              </w:rPr>
              <w:t>lettrici</w:t>
            </w:r>
          </w:p>
        </w:tc>
        <w:tc>
          <w:tcPr>
            <w:tcW w:w="1314" w:type="dxa"/>
            <w:tcBorders>
              <w:top w:val="nil"/>
              <w:left w:val="nil"/>
              <w:bottom w:val="nil"/>
              <w:right w:val="nil"/>
            </w:tcBorders>
            <w:vAlign w:val="center"/>
          </w:tcPr>
          <w:p w14:paraId="7E66A8E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8.195.478</w:t>
            </w:r>
          </w:p>
        </w:tc>
        <w:tc>
          <w:tcPr>
            <w:tcW w:w="1314" w:type="dxa"/>
            <w:tcBorders>
              <w:top w:val="nil"/>
              <w:left w:val="nil"/>
              <w:bottom w:val="nil"/>
              <w:right w:val="nil"/>
            </w:tcBorders>
            <w:vAlign w:val="center"/>
          </w:tcPr>
          <w:p w14:paraId="436B29D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64.361.957</w:t>
            </w:r>
          </w:p>
        </w:tc>
        <w:tc>
          <w:tcPr>
            <w:tcW w:w="743" w:type="dxa"/>
            <w:tcBorders>
              <w:top w:val="nil"/>
              <w:left w:val="nil"/>
              <w:bottom w:val="nil"/>
              <w:right w:val="nil"/>
            </w:tcBorders>
            <w:vAlign w:val="center"/>
          </w:tcPr>
          <w:p w14:paraId="013121A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2,0%</w:t>
            </w:r>
          </w:p>
        </w:tc>
        <w:tc>
          <w:tcPr>
            <w:tcW w:w="739" w:type="dxa"/>
            <w:tcBorders>
              <w:top w:val="nil"/>
              <w:left w:val="nil"/>
              <w:bottom w:val="nil"/>
              <w:right w:val="nil"/>
            </w:tcBorders>
            <w:vAlign w:val="center"/>
          </w:tcPr>
          <w:p w14:paraId="54E4E9D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685,3%</w:t>
            </w:r>
          </w:p>
        </w:tc>
        <w:tc>
          <w:tcPr>
            <w:tcW w:w="984" w:type="dxa"/>
            <w:tcBorders>
              <w:top w:val="nil"/>
              <w:left w:val="nil"/>
              <w:bottom w:val="nil"/>
              <w:right w:val="nil"/>
            </w:tcBorders>
            <w:vAlign w:val="center"/>
          </w:tcPr>
          <w:p w14:paraId="6CECE08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2,7%</w:t>
            </w:r>
          </w:p>
        </w:tc>
      </w:tr>
      <w:tr w:rsidR="00C522AD" w:rsidRPr="00C522AD" w14:paraId="119790FD" w14:textId="77777777" w:rsidTr="00070AE0">
        <w:trPr>
          <w:trHeight w:val="193"/>
        </w:trPr>
        <w:tc>
          <w:tcPr>
            <w:tcW w:w="3859" w:type="dxa"/>
            <w:tcBorders>
              <w:top w:val="nil"/>
              <w:left w:val="nil"/>
              <w:bottom w:val="nil"/>
              <w:right w:val="nil"/>
            </w:tcBorders>
            <w:vAlign w:val="center"/>
          </w:tcPr>
          <w:p w14:paraId="17C09CE3" w14:textId="0F95FAF1"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 xml:space="preserve">Chimica di base, </w:t>
            </w:r>
            <w:proofErr w:type="spellStart"/>
            <w:r w:rsidR="002E000B" w:rsidRPr="00C522AD">
              <w:rPr>
                <w:rFonts w:ascii="Calibri" w:eastAsia="Calibri" w:hAnsi="Calibri" w:cs="Calibri"/>
              </w:rPr>
              <w:t>fert.ti</w:t>
            </w:r>
            <w:proofErr w:type="spellEnd"/>
            <w:r w:rsidR="002E000B" w:rsidRPr="00C522AD">
              <w:rPr>
                <w:rFonts w:ascii="Calibri" w:eastAsia="Calibri" w:hAnsi="Calibri" w:cs="Calibri"/>
              </w:rPr>
              <w:t xml:space="preserve">, </w:t>
            </w:r>
            <w:r w:rsidRPr="00C522AD">
              <w:rPr>
                <w:rFonts w:ascii="Calibri" w:eastAsia="Calibri" w:hAnsi="Calibri" w:cs="Calibri"/>
              </w:rPr>
              <w:t>plastica e gomma</w:t>
            </w:r>
          </w:p>
        </w:tc>
        <w:tc>
          <w:tcPr>
            <w:tcW w:w="1314" w:type="dxa"/>
            <w:tcBorders>
              <w:top w:val="nil"/>
              <w:left w:val="nil"/>
              <w:bottom w:val="nil"/>
              <w:right w:val="nil"/>
            </w:tcBorders>
            <w:vAlign w:val="center"/>
          </w:tcPr>
          <w:p w14:paraId="534F6CD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53.184.599</w:t>
            </w:r>
          </w:p>
        </w:tc>
        <w:tc>
          <w:tcPr>
            <w:tcW w:w="1314" w:type="dxa"/>
            <w:tcBorders>
              <w:top w:val="nil"/>
              <w:left w:val="nil"/>
              <w:bottom w:val="nil"/>
              <w:right w:val="nil"/>
            </w:tcBorders>
            <w:vAlign w:val="center"/>
          </w:tcPr>
          <w:p w14:paraId="290FF6D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43.249.323</w:t>
            </w:r>
          </w:p>
        </w:tc>
        <w:tc>
          <w:tcPr>
            <w:tcW w:w="743" w:type="dxa"/>
            <w:tcBorders>
              <w:top w:val="nil"/>
              <w:left w:val="nil"/>
              <w:bottom w:val="nil"/>
              <w:right w:val="nil"/>
            </w:tcBorders>
            <w:vAlign w:val="center"/>
          </w:tcPr>
          <w:p w14:paraId="647D2B15"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1,4%</w:t>
            </w:r>
          </w:p>
        </w:tc>
        <w:tc>
          <w:tcPr>
            <w:tcW w:w="739" w:type="dxa"/>
            <w:tcBorders>
              <w:top w:val="nil"/>
              <w:left w:val="nil"/>
              <w:bottom w:val="nil"/>
              <w:right w:val="nil"/>
            </w:tcBorders>
            <w:vAlign w:val="center"/>
          </w:tcPr>
          <w:p w14:paraId="30EABF7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-18,7%</w:t>
            </w:r>
          </w:p>
        </w:tc>
        <w:tc>
          <w:tcPr>
            <w:tcW w:w="984" w:type="dxa"/>
            <w:tcBorders>
              <w:top w:val="nil"/>
              <w:left w:val="nil"/>
              <w:bottom w:val="nil"/>
              <w:right w:val="nil"/>
            </w:tcBorders>
            <w:vAlign w:val="center"/>
          </w:tcPr>
          <w:p w14:paraId="38BEFA5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-0,5%</w:t>
            </w:r>
          </w:p>
        </w:tc>
      </w:tr>
      <w:tr w:rsidR="00C522AD" w:rsidRPr="00C522AD" w14:paraId="68553DD1" w14:textId="77777777" w:rsidTr="00070AE0">
        <w:trPr>
          <w:trHeight w:val="193"/>
        </w:trPr>
        <w:tc>
          <w:tcPr>
            <w:tcW w:w="3859" w:type="dxa"/>
            <w:tcBorders>
              <w:top w:val="nil"/>
              <w:left w:val="nil"/>
              <w:bottom w:val="nil"/>
              <w:right w:val="nil"/>
            </w:tcBorders>
            <w:vAlign w:val="center"/>
          </w:tcPr>
          <w:p w14:paraId="7EA1ED2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Macchine formatura metalli e utensili</w:t>
            </w:r>
          </w:p>
        </w:tc>
        <w:tc>
          <w:tcPr>
            <w:tcW w:w="1314" w:type="dxa"/>
            <w:tcBorders>
              <w:top w:val="nil"/>
              <w:left w:val="nil"/>
              <w:bottom w:val="nil"/>
              <w:right w:val="nil"/>
            </w:tcBorders>
            <w:vAlign w:val="center"/>
          </w:tcPr>
          <w:p w14:paraId="2514210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31.957.568</w:t>
            </w:r>
          </w:p>
        </w:tc>
        <w:tc>
          <w:tcPr>
            <w:tcW w:w="1314" w:type="dxa"/>
            <w:tcBorders>
              <w:top w:val="nil"/>
              <w:left w:val="nil"/>
              <w:bottom w:val="nil"/>
              <w:right w:val="nil"/>
            </w:tcBorders>
            <w:vAlign w:val="center"/>
          </w:tcPr>
          <w:p w14:paraId="1043C90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28.551.022</w:t>
            </w:r>
          </w:p>
        </w:tc>
        <w:tc>
          <w:tcPr>
            <w:tcW w:w="743" w:type="dxa"/>
            <w:tcBorders>
              <w:top w:val="nil"/>
              <w:left w:val="nil"/>
              <w:bottom w:val="nil"/>
              <w:right w:val="nil"/>
            </w:tcBorders>
            <w:vAlign w:val="center"/>
          </w:tcPr>
          <w:p w14:paraId="138325C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0,9%</w:t>
            </w:r>
          </w:p>
        </w:tc>
        <w:tc>
          <w:tcPr>
            <w:tcW w:w="739" w:type="dxa"/>
            <w:tcBorders>
              <w:top w:val="nil"/>
              <w:left w:val="nil"/>
              <w:bottom w:val="nil"/>
              <w:right w:val="nil"/>
            </w:tcBorders>
            <w:vAlign w:val="center"/>
          </w:tcPr>
          <w:p w14:paraId="294DD54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-10,7%</w:t>
            </w:r>
          </w:p>
        </w:tc>
        <w:tc>
          <w:tcPr>
            <w:tcW w:w="984" w:type="dxa"/>
            <w:tcBorders>
              <w:top w:val="nil"/>
              <w:left w:val="nil"/>
              <w:bottom w:val="nil"/>
              <w:right w:val="nil"/>
            </w:tcBorders>
            <w:vAlign w:val="center"/>
          </w:tcPr>
          <w:p w14:paraId="29FCF52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r>
      <w:tr w:rsidR="00C522AD" w:rsidRPr="00C522AD" w14:paraId="1A7106D7" w14:textId="77777777" w:rsidTr="00070AE0">
        <w:trPr>
          <w:trHeight w:val="193"/>
        </w:trPr>
        <w:tc>
          <w:tcPr>
            <w:tcW w:w="3859" w:type="dxa"/>
            <w:tcBorders>
              <w:top w:val="nil"/>
              <w:left w:val="nil"/>
              <w:bottom w:val="nil"/>
              <w:right w:val="nil"/>
            </w:tcBorders>
            <w:vAlign w:val="center"/>
          </w:tcPr>
          <w:p w14:paraId="29316FAA"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Altre macchine per impieghi speciali</w:t>
            </w:r>
          </w:p>
        </w:tc>
        <w:tc>
          <w:tcPr>
            <w:tcW w:w="1314" w:type="dxa"/>
            <w:tcBorders>
              <w:top w:val="nil"/>
              <w:left w:val="nil"/>
              <w:bottom w:val="nil"/>
              <w:right w:val="nil"/>
            </w:tcBorders>
            <w:vAlign w:val="center"/>
          </w:tcPr>
          <w:p w14:paraId="6895A67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29.017.887</w:t>
            </w:r>
          </w:p>
        </w:tc>
        <w:tc>
          <w:tcPr>
            <w:tcW w:w="1314" w:type="dxa"/>
            <w:tcBorders>
              <w:top w:val="nil"/>
              <w:left w:val="nil"/>
              <w:bottom w:val="nil"/>
              <w:right w:val="nil"/>
            </w:tcBorders>
            <w:vAlign w:val="center"/>
          </w:tcPr>
          <w:p w14:paraId="501F4D8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20.357.941</w:t>
            </w:r>
          </w:p>
        </w:tc>
        <w:tc>
          <w:tcPr>
            <w:tcW w:w="743" w:type="dxa"/>
            <w:tcBorders>
              <w:top w:val="nil"/>
              <w:left w:val="nil"/>
              <w:bottom w:val="nil"/>
              <w:right w:val="nil"/>
            </w:tcBorders>
            <w:vAlign w:val="center"/>
          </w:tcPr>
          <w:p w14:paraId="5BED7C3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0,6%</w:t>
            </w:r>
          </w:p>
        </w:tc>
        <w:tc>
          <w:tcPr>
            <w:tcW w:w="739" w:type="dxa"/>
            <w:tcBorders>
              <w:top w:val="nil"/>
              <w:left w:val="nil"/>
              <w:bottom w:val="nil"/>
              <w:right w:val="nil"/>
            </w:tcBorders>
            <w:vAlign w:val="center"/>
          </w:tcPr>
          <w:p w14:paraId="40C3642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-29,8%</w:t>
            </w:r>
          </w:p>
        </w:tc>
        <w:tc>
          <w:tcPr>
            <w:tcW w:w="984" w:type="dxa"/>
            <w:tcBorders>
              <w:top w:val="nil"/>
              <w:left w:val="nil"/>
              <w:bottom w:val="nil"/>
              <w:right w:val="nil"/>
            </w:tcBorders>
            <w:vAlign w:val="center"/>
          </w:tcPr>
          <w:p w14:paraId="22E731D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-0,4%</w:t>
            </w:r>
          </w:p>
        </w:tc>
      </w:tr>
      <w:tr w:rsidR="00C522AD" w:rsidRPr="00C522AD" w14:paraId="33FD2D34" w14:textId="77777777" w:rsidTr="00070AE0">
        <w:trPr>
          <w:trHeight w:val="193"/>
        </w:trPr>
        <w:tc>
          <w:tcPr>
            <w:tcW w:w="3859" w:type="dxa"/>
            <w:tcBorders>
              <w:top w:val="nil"/>
              <w:left w:val="nil"/>
              <w:bottom w:val="nil"/>
              <w:right w:val="nil"/>
            </w:tcBorders>
            <w:vAlign w:val="center"/>
          </w:tcPr>
          <w:p w14:paraId="7D201CE0"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Prodotti abrasivi</w:t>
            </w:r>
          </w:p>
        </w:tc>
        <w:tc>
          <w:tcPr>
            <w:tcW w:w="1314" w:type="dxa"/>
            <w:tcBorders>
              <w:top w:val="nil"/>
              <w:left w:val="nil"/>
              <w:bottom w:val="nil"/>
              <w:right w:val="nil"/>
            </w:tcBorders>
            <w:vAlign w:val="center"/>
          </w:tcPr>
          <w:p w14:paraId="5400B51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14.603.317</w:t>
            </w:r>
          </w:p>
        </w:tc>
        <w:tc>
          <w:tcPr>
            <w:tcW w:w="1314" w:type="dxa"/>
            <w:tcBorders>
              <w:top w:val="nil"/>
              <w:left w:val="nil"/>
              <w:bottom w:val="nil"/>
              <w:right w:val="nil"/>
            </w:tcBorders>
            <w:vAlign w:val="center"/>
          </w:tcPr>
          <w:p w14:paraId="3A30D73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15.971.776</w:t>
            </w:r>
          </w:p>
        </w:tc>
        <w:tc>
          <w:tcPr>
            <w:tcW w:w="743" w:type="dxa"/>
            <w:tcBorders>
              <w:top w:val="nil"/>
              <w:left w:val="nil"/>
              <w:bottom w:val="nil"/>
              <w:right w:val="nil"/>
            </w:tcBorders>
            <w:vAlign w:val="center"/>
          </w:tcPr>
          <w:p w14:paraId="7EBCAC2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0,5%</w:t>
            </w:r>
          </w:p>
        </w:tc>
        <w:tc>
          <w:tcPr>
            <w:tcW w:w="739" w:type="dxa"/>
            <w:tcBorders>
              <w:top w:val="nil"/>
              <w:left w:val="nil"/>
              <w:bottom w:val="nil"/>
              <w:right w:val="nil"/>
            </w:tcBorders>
            <w:vAlign w:val="center"/>
          </w:tcPr>
          <w:p w14:paraId="2725FC5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9,4%</w:t>
            </w:r>
          </w:p>
        </w:tc>
        <w:tc>
          <w:tcPr>
            <w:tcW w:w="984" w:type="dxa"/>
            <w:tcBorders>
              <w:top w:val="nil"/>
              <w:left w:val="nil"/>
              <w:bottom w:val="nil"/>
              <w:right w:val="nil"/>
            </w:tcBorders>
            <w:vAlign w:val="center"/>
          </w:tcPr>
          <w:p w14:paraId="774F304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271796BC" w14:textId="77777777" w:rsidTr="00070AE0">
        <w:trPr>
          <w:trHeight w:val="193"/>
        </w:trPr>
        <w:tc>
          <w:tcPr>
            <w:tcW w:w="3859" w:type="dxa"/>
            <w:tcBorders>
              <w:top w:val="nil"/>
              <w:left w:val="nil"/>
              <w:bottom w:val="nil"/>
              <w:right w:val="nil"/>
            </w:tcBorders>
            <w:vAlign w:val="center"/>
          </w:tcPr>
          <w:p w14:paraId="12BBE9F4"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Altri prodotti in metallo</w:t>
            </w:r>
          </w:p>
        </w:tc>
        <w:tc>
          <w:tcPr>
            <w:tcW w:w="1314" w:type="dxa"/>
            <w:tcBorders>
              <w:top w:val="nil"/>
              <w:left w:val="nil"/>
              <w:bottom w:val="nil"/>
              <w:right w:val="nil"/>
            </w:tcBorders>
            <w:vAlign w:val="center"/>
          </w:tcPr>
          <w:p w14:paraId="4E0AE2B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9.452.151</w:t>
            </w:r>
          </w:p>
        </w:tc>
        <w:tc>
          <w:tcPr>
            <w:tcW w:w="1314" w:type="dxa"/>
            <w:tcBorders>
              <w:top w:val="nil"/>
              <w:left w:val="nil"/>
              <w:bottom w:val="nil"/>
              <w:right w:val="nil"/>
            </w:tcBorders>
            <w:vAlign w:val="center"/>
          </w:tcPr>
          <w:p w14:paraId="12A9A09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13.704.547</w:t>
            </w:r>
          </w:p>
        </w:tc>
        <w:tc>
          <w:tcPr>
            <w:tcW w:w="743" w:type="dxa"/>
            <w:tcBorders>
              <w:top w:val="nil"/>
              <w:left w:val="nil"/>
              <w:bottom w:val="nil"/>
              <w:right w:val="nil"/>
            </w:tcBorders>
            <w:vAlign w:val="center"/>
          </w:tcPr>
          <w:p w14:paraId="108192B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0,4%</w:t>
            </w:r>
          </w:p>
        </w:tc>
        <w:tc>
          <w:tcPr>
            <w:tcW w:w="739" w:type="dxa"/>
            <w:tcBorders>
              <w:top w:val="nil"/>
              <w:left w:val="nil"/>
              <w:bottom w:val="nil"/>
              <w:right w:val="nil"/>
            </w:tcBorders>
            <w:vAlign w:val="center"/>
          </w:tcPr>
          <w:p w14:paraId="55E697F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45,0%</w:t>
            </w:r>
          </w:p>
        </w:tc>
        <w:tc>
          <w:tcPr>
            <w:tcW w:w="984" w:type="dxa"/>
            <w:tcBorders>
              <w:top w:val="nil"/>
              <w:left w:val="nil"/>
              <w:bottom w:val="nil"/>
              <w:right w:val="nil"/>
            </w:tcBorders>
            <w:vAlign w:val="center"/>
          </w:tcPr>
          <w:p w14:paraId="0A602FD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r>
      <w:tr w:rsidR="00C522AD" w:rsidRPr="00C522AD" w14:paraId="3B19D335" w14:textId="77777777" w:rsidTr="00070AE0">
        <w:trPr>
          <w:trHeight w:val="193"/>
        </w:trPr>
        <w:tc>
          <w:tcPr>
            <w:tcW w:w="3859" w:type="dxa"/>
            <w:tcBorders>
              <w:top w:val="nil"/>
              <w:left w:val="nil"/>
              <w:bottom w:val="nil"/>
              <w:right w:val="nil"/>
            </w:tcBorders>
            <w:vAlign w:val="center"/>
          </w:tcPr>
          <w:p w14:paraId="4EFE5F0C"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Pasta-carta, carta e cartone</w:t>
            </w:r>
          </w:p>
        </w:tc>
        <w:tc>
          <w:tcPr>
            <w:tcW w:w="1314" w:type="dxa"/>
            <w:tcBorders>
              <w:top w:val="nil"/>
              <w:left w:val="nil"/>
              <w:bottom w:val="nil"/>
              <w:right w:val="nil"/>
            </w:tcBorders>
            <w:vAlign w:val="center"/>
          </w:tcPr>
          <w:p w14:paraId="0F91246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15.486.262</w:t>
            </w:r>
          </w:p>
        </w:tc>
        <w:tc>
          <w:tcPr>
            <w:tcW w:w="1314" w:type="dxa"/>
            <w:tcBorders>
              <w:top w:val="nil"/>
              <w:left w:val="nil"/>
              <w:bottom w:val="nil"/>
              <w:right w:val="nil"/>
            </w:tcBorders>
            <w:vAlign w:val="center"/>
          </w:tcPr>
          <w:p w14:paraId="4E2E637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13.578.069</w:t>
            </w:r>
          </w:p>
        </w:tc>
        <w:tc>
          <w:tcPr>
            <w:tcW w:w="743" w:type="dxa"/>
            <w:tcBorders>
              <w:top w:val="nil"/>
              <w:left w:val="nil"/>
              <w:bottom w:val="nil"/>
              <w:right w:val="nil"/>
            </w:tcBorders>
            <w:vAlign w:val="center"/>
          </w:tcPr>
          <w:p w14:paraId="64AB13E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0,4%</w:t>
            </w:r>
          </w:p>
        </w:tc>
        <w:tc>
          <w:tcPr>
            <w:tcW w:w="739" w:type="dxa"/>
            <w:tcBorders>
              <w:top w:val="nil"/>
              <w:left w:val="nil"/>
              <w:bottom w:val="nil"/>
              <w:right w:val="nil"/>
            </w:tcBorders>
            <w:vAlign w:val="center"/>
          </w:tcPr>
          <w:p w14:paraId="1227D49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-12,3%</w:t>
            </w:r>
          </w:p>
        </w:tc>
        <w:tc>
          <w:tcPr>
            <w:tcW w:w="984" w:type="dxa"/>
            <w:tcBorders>
              <w:top w:val="nil"/>
              <w:left w:val="nil"/>
              <w:bottom w:val="nil"/>
              <w:right w:val="nil"/>
            </w:tcBorders>
            <w:vAlign w:val="center"/>
          </w:tcPr>
          <w:p w14:paraId="1D149EB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1A4C816E" w14:textId="77777777" w:rsidTr="00070AE0">
        <w:trPr>
          <w:trHeight w:val="193"/>
        </w:trPr>
        <w:tc>
          <w:tcPr>
            <w:tcW w:w="3859" w:type="dxa"/>
            <w:tcBorders>
              <w:top w:val="nil"/>
              <w:left w:val="nil"/>
              <w:bottom w:val="nil"/>
              <w:right w:val="nil"/>
            </w:tcBorders>
            <w:vAlign w:val="center"/>
          </w:tcPr>
          <w:p w14:paraId="68C87457"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Prodotti in calcestruzzo, cemento e gesso</w:t>
            </w:r>
          </w:p>
        </w:tc>
        <w:tc>
          <w:tcPr>
            <w:tcW w:w="1314" w:type="dxa"/>
            <w:tcBorders>
              <w:top w:val="nil"/>
              <w:left w:val="nil"/>
              <w:bottom w:val="nil"/>
              <w:right w:val="nil"/>
            </w:tcBorders>
            <w:vAlign w:val="center"/>
          </w:tcPr>
          <w:p w14:paraId="6D24108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1.696.968</w:t>
            </w:r>
          </w:p>
        </w:tc>
        <w:tc>
          <w:tcPr>
            <w:tcW w:w="1314" w:type="dxa"/>
            <w:tcBorders>
              <w:top w:val="nil"/>
              <w:left w:val="nil"/>
              <w:bottom w:val="nil"/>
              <w:right w:val="nil"/>
            </w:tcBorders>
            <w:vAlign w:val="center"/>
          </w:tcPr>
          <w:p w14:paraId="1B9A427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8.862.329</w:t>
            </w:r>
          </w:p>
        </w:tc>
        <w:tc>
          <w:tcPr>
            <w:tcW w:w="743" w:type="dxa"/>
            <w:tcBorders>
              <w:top w:val="nil"/>
              <w:left w:val="nil"/>
              <w:bottom w:val="nil"/>
              <w:right w:val="nil"/>
            </w:tcBorders>
            <w:vAlign w:val="center"/>
          </w:tcPr>
          <w:p w14:paraId="07F39C3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0,3%</w:t>
            </w:r>
          </w:p>
        </w:tc>
        <w:tc>
          <w:tcPr>
            <w:tcW w:w="739" w:type="dxa"/>
            <w:tcBorders>
              <w:top w:val="nil"/>
              <w:left w:val="nil"/>
              <w:bottom w:val="nil"/>
              <w:right w:val="nil"/>
            </w:tcBorders>
            <w:vAlign w:val="center"/>
          </w:tcPr>
          <w:p w14:paraId="27BD393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422,2%</w:t>
            </w:r>
          </w:p>
        </w:tc>
        <w:tc>
          <w:tcPr>
            <w:tcW w:w="984" w:type="dxa"/>
            <w:tcBorders>
              <w:top w:val="nil"/>
              <w:left w:val="nil"/>
              <w:bottom w:val="nil"/>
              <w:right w:val="nil"/>
            </w:tcBorders>
            <w:vAlign w:val="center"/>
          </w:tcPr>
          <w:p w14:paraId="2149764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0,3%</w:t>
            </w:r>
          </w:p>
        </w:tc>
      </w:tr>
      <w:tr w:rsidR="00C522AD" w:rsidRPr="00C522AD" w14:paraId="317D3F2F" w14:textId="77777777" w:rsidTr="00070AE0">
        <w:trPr>
          <w:trHeight w:val="193"/>
        </w:trPr>
        <w:tc>
          <w:tcPr>
            <w:tcW w:w="3859" w:type="dxa"/>
            <w:tcBorders>
              <w:top w:val="nil"/>
              <w:left w:val="nil"/>
              <w:bottom w:val="nil"/>
              <w:right w:val="nil"/>
            </w:tcBorders>
            <w:vAlign w:val="center"/>
          </w:tcPr>
          <w:p w14:paraId="040E0C7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Prodotti refrattari</w:t>
            </w:r>
          </w:p>
        </w:tc>
        <w:tc>
          <w:tcPr>
            <w:tcW w:w="1314" w:type="dxa"/>
            <w:tcBorders>
              <w:top w:val="nil"/>
              <w:left w:val="nil"/>
              <w:bottom w:val="nil"/>
              <w:right w:val="nil"/>
            </w:tcBorders>
            <w:vAlign w:val="center"/>
          </w:tcPr>
          <w:p w14:paraId="29FFF65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9.711.770</w:t>
            </w:r>
          </w:p>
        </w:tc>
        <w:tc>
          <w:tcPr>
            <w:tcW w:w="1314" w:type="dxa"/>
            <w:tcBorders>
              <w:top w:val="nil"/>
              <w:left w:val="nil"/>
              <w:bottom w:val="nil"/>
              <w:right w:val="nil"/>
            </w:tcBorders>
            <w:vAlign w:val="center"/>
          </w:tcPr>
          <w:p w14:paraId="5B9B00C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8.353.808</w:t>
            </w:r>
          </w:p>
        </w:tc>
        <w:tc>
          <w:tcPr>
            <w:tcW w:w="743" w:type="dxa"/>
            <w:tcBorders>
              <w:top w:val="nil"/>
              <w:left w:val="nil"/>
              <w:bottom w:val="nil"/>
              <w:right w:val="nil"/>
            </w:tcBorders>
            <w:vAlign w:val="center"/>
          </w:tcPr>
          <w:p w14:paraId="647AF9C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0,3%</w:t>
            </w:r>
          </w:p>
        </w:tc>
        <w:tc>
          <w:tcPr>
            <w:tcW w:w="739" w:type="dxa"/>
            <w:tcBorders>
              <w:top w:val="nil"/>
              <w:left w:val="nil"/>
              <w:bottom w:val="nil"/>
              <w:right w:val="nil"/>
            </w:tcBorders>
            <w:vAlign w:val="center"/>
          </w:tcPr>
          <w:p w14:paraId="5CCD862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-14,0%</w:t>
            </w:r>
          </w:p>
        </w:tc>
        <w:tc>
          <w:tcPr>
            <w:tcW w:w="984" w:type="dxa"/>
            <w:tcBorders>
              <w:top w:val="nil"/>
              <w:left w:val="nil"/>
              <w:bottom w:val="nil"/>
              <w:right w:val="nil"/>
            </w:tcBorders>
            <w:vAlign w:val="center"/>
          </w:tcPr>
          <w:p w14:paraId="539FB8B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r>
      <w:tr w:rsidR="00C522AD" w:rsidRPr="00C522AD" w14:paraId="734A6321" w14:textId="77777777" w:rsidTr="00070AE0">
        <w:trPr>
          <w:trHeight w:val="193"/>
        </w:trPr>
        <w:tc>
          <w:tcPr>
            <w:tcW w:w="3859" w:type="dxa"/>
            <w:tcBorders>
              <w:top w:val="nil"/>
              <w:left w:val="nil"/>
              <w:bottom w:val="nil"/>
              <w:right w:val="nil"/>
            </w:tcBorders>
            <w:vAlign w:val="center"/>
          </w:tcPr>
          <w:p w14:paraId="2CEDC298"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Materiali da costruzione in terracotta</w:t>
            </w:r>
          </w:p>
        </w:tc>
        <w:tc>
          <w:tcPr>
            <w:tcW w:w="1314" w:type="dxa"/>
            <w:tcBorders>
              <w:top w:val="nil"/>
              <w:left w:val="nil"/>
              <w:bottom w:val="nil"/>
              <w:right w:val="nil"/>
            </w:tcBorders>
            <w:vAlign w:val="center"/>
          </w:tcPr>
          <w:p w14:paraId="384F16DD"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8.044.486</w:t>
            </w:r>
          </w:p>
        </w:tc>
        <w:tc>
          <w:tcPr>
            <w:tcW w:w="1314" w:type="dxa"/>
            <w:tcBorders>
              <w:top w:val="nil"/>
              <w:left w:val="nil"/>
              <w:bottom w:val="nil"/>
              <w:right w:val="nil"/>
            </w:tcBorders>
            <w:vAlign w:val="center"/>
          </w:tcPr>
          <w:p w14:paraId="4D2CE75D"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8.222.536</w:t>
            </w:r>
          </w:p>
        </w:tc>
        <w:tc>
          <w:tcPr>
            <w:tcW w:w="743" w:type="dxa"/>
            <w:tcBorders>
              <w:top w:val="nil"/>
              <w:left w:val="nil"/>
              <w:bottom w:val="nil"/>
              <w:right w:val="nil"/>
            </w:tcBorders>
            <w:vAlign w:val="center"/>
          </w:tcPr>
          <w:p w14:paraId="4EB4B4C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0,3%</w:t>
            </w:r>
          </w:p>
        </w:tc>
        <w:tc>
          <w:tcPr>
            <w:tcW w:w="739" w:type="dxa"/>
            <w:tcBorders>
              <w:top w:val="nil"/>
              <w:left w:val="nil"/>
              <w:bottom w:val="nil"/>
              <w:right w:val="nil"/>
            </w:tcBorders>
            <w:vAlign w:val="center"/>
          </w:tcPr>
          <w:p w14:paraId="0587EF8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2,2%</w:t>
            </w:r>
          </w:p>
        </w:tc>
        <w:tc>
          <w:tcPr>
            <w:tcW w:w="984" w:type="dxa"/>
            <w:tcBorders>
              <w:top w:val="nil"/>
              <w:left w:val="nil"/>
              <w:bottom w:val="nil"/>
              <w:right w:val="nil"/>
            </w:tcBorders>
            <w:vAlign w:val="center"/>
          </w:tcPr>
          <w:p w14:paraId="4AFD524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r>
      <w:tr w:rsidR="00C522AD" w:rsidRPr="00C522AD" w14:paraId="50489F45" w14:textId="77777777" w:rsidTr="00070AE0">
        <w:trPr>
          <w:trHeight w:val="193"/>
        </w:trPr>
        <w:tc>
          <w:tcPr>
            <w:tcW w:w="3859" w:type="dxa"/>
            <w:tcBorders>
              <w:top w:val="nil"/>
              <w:left w:val="nil"/>
              <w:bottom w:val="nil"/>
              <w:right w:val="nil"/>
            </w:tcBorders>
            <w:vAlign w:val="center"/>
          </w:tcPr>
          <w:p w14:paraId="07C9D41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Altro</w:t>
            </w:r>
          </w:p>
        </w:tc>
        <w:tc>
          <w:tcPr>
            <w:tcW w:w="1314" w:type="dxa"/>
            <w:tcBorders>
              <w:top w:val="nil"/>
              <w:left w:val="nil"/>
              <w:bottom w:val="nil"/>
              <w:right w:val="nil"/>
            </w:tcBorders>
          </w:tcPr>
          <w:p w14:paraId="64D9330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116.126.405</w:t>
            </w:r>
          </w:p>
        </w:tc>
        <w:tc>
          <w:tcPr>
            <w:tcW w:w="1314" w:type="dxa"/>
            <w:tcBorders>
              <w:top w:val="nil"/>
              <w:left w:val="nil"/>
              <w:bottom w:val="nil"/>
              <w:right w:val="nil"/>
            </w:tcBorders>
          </w:tcPr>
          <w:p w14:paraId="7B870C0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131.134.658</w:t>
            </w:r>
          </w:p>
        </w:tc>
        <w:tc>
          <w:tcPr>
            <w:tcW w:w="743" w:type="dxa"/>
            <w:tcBorders>
              <w:top w:val="nil"/>
              <w:left w:val="nil"/>
              <w:bottom w:val="nil"/>
              <w:right w:val="nil"/>
            </w:tcBorders>
          </w:tcPr>
          <w:p w14:paraId="06E6224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4,1%</w:t>
            </w:r>
          </w:p>
        </w:tc>
        <w:tc>
          <w:tcPr>
            <w:tcW w:w="739" w:type="dxa"/>
            <w:tcBorders>
              <w:top w:val="nil"/>
              <w:left w:val="nil"/>
              <w:bottom w:val="nil"/>
              <w:right w:val="nil"/>
            </w:tcBorders>
          </w:tcPr>
          <w:p w14:paraId="45BD78E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12,9%</w:t>
            </w:r>
          </w:p>
        </w:tc>
        <w:tc>
          <w:tcPr>
            <w:tcW w:w="984" w:type="dxa"/>
            <w:tcBorders>
              <w:top w:val="nil"/>
              <w:left w:val="nil"/>
              <w:bottom w:val="nil"/>
              <w:right w:val="nil"/>
            </w:tcBorders>
          </w:tcPr>
          <w:p w14:paraId="10D4D6F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0,7%</w:t>
            </w:r>
          </w:p>
        </w:tc>
      </w:tr>
      <w:tr w:rsidR="00C522AD" w:rsidRPr="00C522AD" w14:paraId="760D35DB" w14:textId="77777777" w:rsidTr="00070AE0">
        <w:trPr>
          <w:trHeight w:val="193"/>
        </w:trPr>
        <w:tc>
          <w:tcPr>
            <w:tcW w:w="3859" w:type="dxa"/>
            <w:tcBorders>
              <w:top w:val="single" w:sz="4" w:space="0" w:color="000000"/>
              <w:left w:val="nil"/>
              <w:bottom w:val="single" w:sz="4" w:space="0" w:color="000000"/>
              <w:right w:val="nil"/>
            </w:tcBorders>
            <w:vAlign w:val="center"/>
          </w:tcPr>
          <w:p w14:paraId="0D130179"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Totale</w:t>
            </w:r>
          </w:p>
        </w:tc>
        <w:tc>
          <w:tcPr>
            <w:tcW w:w="1314" w:type="dxa"/>
            <w:tcBorders>
              <w:top w:val="single" w:sz="4" w:space="0" w:color="000000"/>
              <w:left w:val="nil"/>
              <w:bottom w:val="single" w:sz="4" w:space="0" w:color="000000"/>
              <w:right w:val="nil"/>
            </w:tcBorders>
          </w:tcPr>
          <w:p w14:paraId="2D2C258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2.102.562.747</w:t>
            </w:r>
          </w:p>
        </w:tc>
        <w:tc>
          <w:tcPr>
            <w:tcW w:w="1314" w:type="dxa"/>
            <w:tcBorders>
              <w:top w:val="single" w:sz="4" w:space="0" w:color="000000"/>
              <w:left w:val="nil"/>
              <w:bottom w:val="single" w:sz="4" w:space="0" w:color="000000"/>
              <w:right w:val="nil"/>
            </w:tcBorders>
          </w:tcPr>
          <w:p w14:paraId="11A9343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3.162.755.647</w:t>
            </w:r>
          </w:p>
        </w:tc>
        <w:tc>
          <w:tcPr>
            <w:tcW w:w="743" w:type="dxa"/>
            <w:tcBorders>
              <w:top w:val="single" w:sz="4" w:space="0" w:color="000000"/>
              <w:left w:val="nil"/>
              <w:bottom w:val="single" w:sz="4" w:space="0" w:color="000000"/>
              <w:right w:val="nil"/>
            </w:tcBorders>
          </w:tcPr>
          <w:p w14:paraId="2345F3D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100,0%</w:t>
            </w:r>
          </w:p>
        </w:tc>
        <w:tc>
          <w:tcPr>
            <w:tcW w:w="739" w:type="dxa"/>
            <w:tcBorders>
              <w:top w:val="single" w:sz="4" w:space="0" w:color="000000"/>
              <w:left w:val="nil"/>
              <w:bottom w:val="single" w:sz="4" w:space="0" w:color="000000"/>
              <w:right w:val="nil"/>
            </w:tcBorders>
          </w:tcPr>
          <w:p w14:paraId="4DA80CE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50,4%</w:t>
            </w:r>
          </w:p>
        </w:tc>
        <w:tc>
          <w:tcPr>
            <w:tcW w:w="984" w:type="dxa"/>
            <w:tcBorders>
              <w:top w:val="single" w:sz="4" w:space="0" w:color="000000"/>
              <w:left w:val="nil"/>
              <w:bottom w:val="single" w:sz="4" w:space="0" w:color="000000"/>
              <w:right w:val="nil"/>
            </w:tcBorders>
          </w:tcPr>
          <w:p w14:paraId="430370D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i/>
                <w:iCs/>
              </w:rPr>
              <w:t>50,4%</w:t>
            </w:r>
          </w:p>
        </w:tc>
      </w:tr>
      <w:tr w:rsidR="00C522AD" w:rsidRPr="00C522AD" w14:paraId="421862D0" w14:textId="77777777" w:rsidTr="00070AE0">
        <w:trPr>
          <w:trHeight w:val="193"/>
        </w:trPr>
        <w:tc>
          <w:tcPr>
            <w:tcW w:w="8953" w:type="dxa"/>
            <w:gridSpan w:val="6"/>
            <w:tcBorders>
              <w:top w:val="single" w:sz="4" w:space="0" w:color="000000"/>
              <w:left w:val="nil"/>
              <w:right w:val="nil"/>
            </w:tcBorders>
            <w:vAlign w:val="center"/>
          </w:tcPr>
          <w:p w14:paraId="73D80A84" w14:textId="5341B274" w:rsidR="00C91C1B" w:rsidRPr="00C522AD" w:rsidRDefault="00C227BB">
            <w:pPr>
              <w:pBdr>
                <w:top w:val="nil"/>
                <w:left w:val="nil"/>
                <w:bottom w:val="nil"/>
                <w:right w:val="nil"/>
                <w:between w:val="nil"/>
              </w:pBdr>
              <w:jc w:val="both"/>
              <w:rPr>
                <w:rFonts w:ascii="Calibri" w:eastAsia="Calibri" w:hAnsi="Calibri" w:cs="Calibri"/>
              </w:rPr>
            </w:pPr>
            <w:r w:rsidRPr="00C522AD">
              <w:rPr>
                <w:rFonts w:ascii="Calibri" w:eastAsia="Calibri" w:hAnsi="Calibri" w:cs="Calibri"/>
                <w:i/>
                <w:iCs/>
              </w:rPr>
              <w:t>Fonte: Elaborazioni Camera di Commercio Toscana Nord-Ovest-ISR su dati Istat (dati 2025 provvisori)</w:t>
            </w:r>
          </w:p>
        </w:tc>
      </w:tr>
    </w:tbl>
    <w:p w14:paraId="0645C4DF" w14:textId="55CFA929" w:rsidR="00C91C1B" w:rsidRPr="00C522AD" w:rsidRDefault="00C227BB" w:rsidP="00070AE0">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sz w:val="24"/>
          <w:szCs w:val="24"/>
        </w:rPr>
        <w:t xml:space="preserve">Nel comparto della </w:t>
      </w:r>
      <w:r w:rsidRPr="00C522AD">
        <w:rPr>
          <w:rFonts w:ascii="Calibri" w:eastAsia="Calibri" w:hAnsi="Calibri" w:cs="Calibri"/>
          <w:b/>
          <w:bCs/>
          <w:sz w:val="24"/>
          <w:szCs w:val="24"/>
        </w:rPr>
        <w:t>cantieristica nautica</w:t>
      </w:r>
      <w:r w:rsidRPr="00C522AD">
        <w:rPr>
          <w:rFonts w:ascii="Calibri" w:eastAsia="Calibri" w:hAnsi="Calibri" w:cs="Calibri"/>
          <w:sz w:val="24"/>
          <w:szCs w:val="24"/>
        </w:rPr>
        <w:t xml:space="preserve"> (445 milioni di euro; +102,7%) si è osservata una profonda ridefinizione dei mercati di sbocco e la conferma di una fortissima volatilità geografica, con un’elevata concentrazione delle vendite su commesse destinate a pochi paesi e con rapidi cambiamenti nei mercati leader da un anno all’altro. Le Isole Cayman si sono confermate il principale mercato con 217 milioni e una crescita molto sostenuta (+183,4%). Accanto alle Cayman si sono affermate nuove destinazioni quali la Libia, attestata su valori molto elevati (oltre 139 milioni di euro), e le Isole Vergini britanniche, anch’esse in forte crescita (oltre 41 milioni). Significativo anche il contributo di Hong Kong, che hanno acquistato natanti per oltre 38 milioni di euro. Di contro, si sono azzerate le vendite in numerosi mercati che nel 2024 avevano sostenuto il comparto, in particolare l’Angola e Malta. </w:t>
      </w:r>
      <w:proofErr w:type="spellStart"/>
      <w:r w:rsidRPr="00C522AD">
        <w:rPr>
          <w:rFonts w:ascii="Calibri" w:eastAsia="Calibri" w:hAnsi="Calibri" w:cs="Calibri"/>
          <w:sz w:val="24"/>
          <w:szCs w:val="24"/>
        </w:rPr>
        <w:t>ll</w:t>
      </w:r>
      <w:proofErr w:type="spellEnd"/>
      <w:r w:rsidRPr="00C522AD">
        <w:rPr>
          <w:rFonts w:ascii="Calibri" w:eastAsia="Calibri" w:hAnsi="Calibri" w:cs="Calibri"/>
          <w:sz w:val="24"/>
          <w:szCs w:val="24"/>
        </w:rPr>
        <w:t xml:space="preserve"> </w:t>
      </w:r>
      <w:r w:rsidRPr="00C522AD">
        <w:rPr>
          <w:rFonts w:ascii="Calibri" w:eastAsia="Calibri" w:hAnsi="Calibri" w:cs="Calibri"/>
          <w:b/>
          <w:bCs/>
          <w:sz w:val="24"/>
          <w:szCs w:val="24"/>
        </w:rPr>
        <w:t>comparto lapideo</w:t>
      </w:r>
      <w:r w:rsidRPr="00C522AD">
        <w:rPr>
          <w:rFonts w:ascii="Calibri" w:eastAsia="Calibri" w:hAnsi="Calibri" w:cs="Calibri"/>
          <w:sz w:val="24"/>
          <w:szCs w:val="24"/>
        </w:rPr>
        <w:t xml:space="preserve"> ha mostrato un’inversione rispetto al 2024. Le esportazioni di </w:t>
      </w:r>
      <w:r w:rsidRPr="00C522AD">
        <w:rPr>
          <w:rFonts w:ascii="Calibri" w:eastAsia="Calibri" w:hAnsi="Calibri" w:cs="Calibri"/>
          <w:b/>
          <w:bCs/>
          <w:sz w:val="24"/>
          <w:szCs w:val="24"/>
        </w:rPr>
        <w:t>pietre tagliate, modellate e finite</w:t>
      </w:r>
      <w:r w:rsidRPr="00C522AD">
        <w:rPr>
          <w:rFonts w:ascii="Calibri" w:eastAsia="Calibri" w:hAnsi="Calibri" w:cs="Calibri"/>
          <w:sz w:val="24"/>
          <w:szCs w:val="24"/>
        </w:rPr>
        <w:t xml:space="preserve"> si sono attestate a 394 milioni di euro (-6,4%), con gli Stati Uniti che hanno rafforzato il primato tra i mercati di destinazione con una crescita del 6,8% sfiorando i 200 milioni nell’anno. Tra gli altri mercati di rilievo sono emersi andamenti differenziati. In crescita gli Emirati Arabi Uniti (+2,6%; 32 milioni), il Canada (+3,4%) e l’India (+7,8%) con circa 8 milioni, e la Russia (+16,4%; 6,4 milioni). Al contrario, si sono registrate flessioni diffuse in diversi mercati tradizionali quali l’Arabia Saudita (-24,7%; 32 milioni), l’Australia (-24,3%, 15 milioni), il Regno Unito (-3,8%, 14 milioni) e l’Indonesia (-27,9%, 8 milioni). In calo anche le vendite in Marocco, Messico, Iraq, Cina e Francia. Anche il </w:t>
      </w:r>
      <w:r w:rsidRPr="00C522AD">
        <w:rPr>
          <w:rFonts w:ascii="Calibri" w:eastAsia="Calibri" w:hAnsi="Calibri" w:cs="Calibri"/>
          <w:b/>
          <w:bCs/>
          <w:sz w:val="24"/>
          <w:szCs w:val="24"/>
        </w:rPr>
        <w:t>lapideo grezzo</w:t>
      </w:r>
      <w:r w:rsidRPr="00C522AD">
        <w:rPr>
          <w:rFonts w:ascii="Calibri" w:eastAsia="Calibri" w:hAnsi="Calibri" w:cs="Calibri"/>
          <w:sz w:val="24"/>
          <w:szCs w:val="24"/>
        </w:rPr>
        <w:t xml:space="preserve"> ha rallentato nel 2025 (-2,9%), fermando le esportazioni a 200 milioni e mostrando una maggiore incidenza dei mercati asiatici a fronte del ridimensionamento di alcuni partner tradizionali. La Cina ha mantenuto il primato con 113,9 milioni di euro (oltre il 56% dell’export del settore) e una sostanziale stabilità. Accanto al mercato cinese, si sono rafforzati alcuni sbocchi asiatici e mediorientali: in crescita l’India (+9,3%, 22 milioni), l’altro grande mercato di sbocco del settore, seguita a distanza da Francia (+2,4%) ed Emirati Arabi Uniti (+19,9%), Tunisia e Algeria. Al contrario, hanno evidenziato flessioni alcuni mercati che nel 2024 avevano sostenuto il comparto, in </w:t>
      </w:r>
      <w:r w:rsidRPr="00C522AD">
        <w:rPr>
          <w:rFonts w:ascii="Calibri" w:eastAsia="Calibri" w:hAnsi="Calibri" w:cs="Calibri"/>
          <w:sz w:val="24"/>
          <w:szCs w:val="24"/>
        </w:rPr>
        <w:lastRenderedPageBreak/>
        <w:t xml:space="preserve">particolare l’Arabia Saudita (-27,7%, 6 milioni), la Germania (-16,3%) e gli Stati Uniti (-56,9%). Nel </w:t>
      </w:r>
      <w:r w:rsidRPr="00C522AD">
        <w:rPr>
          <w:rFonts w:ascii="Calibri" w:eastAsia="Calibri" w:hAnsi="Calibri" w:cs="Calibri"/>
          <w:b/>
          <w:bCs/>
          <w:sz w:val="24"/>
          <w:szCs w:val="24"/>
        </w:rPr>
        <w:t>comparto chimico</w:t>
      </w:r>
      <w:r w:rsidRPr="00C522AD">
        <w:rPr>
          <w:rFonts w:ascii="Calibri" w:eastAsia="Calibri" w:hAnsi="Calibri" w:cs="Calibri"/>
          <w:sz w:val="24"/>
          <w:szCs w:val="24"/>
        </w:rPr>
        <w:t xml:space="preserve">, gli </w:t>
      </w:r>
      <w:r w:rsidRPr="00C522AD">
        <w:rPr>
          <w:rFonts w:ascii="Calibri" w:eastAsia="Calibri" w:hAnsi="Calibri" w:cs="Calibri"/>
          <w:b/>
          <w:bCs/>
          <w:sz w:val="24"/>
          <w:szCs w:val="24"/>
        </w:rPr>
        <w:t>altri prodotti chimici</w:t>
      </w:r>
      <w:r w:rsidRPr="00C522AD">
        <w:rPr>
          <w:rFonts w:ascii="Calibri" w:eastAsia="Calibri" w:hAnsi="Calibri" w:cs="Calibri"/>
          <w:sz w:val="24"/>
          <w:szCs w:val="24"/>
        </w:rPr>
        <w:t xml:space="preserve"> sono cresciuti del +2,7%, ma con dinamiche differenziate tra i principali mercati europei: la Germania, primo paese di sbocco con 64 milioni di export, ha registrato una flessione (-5,8%), così come la Francia (-11,7%, 28 milioni) e il Belgio (-12,1%, 11 milioni), mentre la Spagna è risultata sostanzialmente stabile (+0,5%) mantenendo la terza posizione in graduatoria con 19 milioni. La crescita complessiva è stata sostenuta soprattutto dall’espansione verso i mercati extra-UE, in particolare la Turchia (9 milioni) e l’Azerbaigian (5 milioni), oltre a dinamiche particolarmente positive nel Regno Unito e in Romania. Al contrario, le vendite di </w:t>
      </w:r>
      <w:r w:rsidRPr="00C522AD">
        <w:rPr>
          <w:rFonts w:ascii="Calibri" w:eastAsia="Calibri" w:hAnsi="Calibri" w:cs="Calibri"/>
          <w:b/>
          <w:bCs/>
          <w:sz w:val="24"/>
          <w:szCs w:val="24"/>
        </w:rPr>
        <w:t xml:space="preserve">prodotti chimici di base </w:t>
      </w:r>
      <w:r w:rsidRPr="00C522AD">
        <w:rPr>
          <w:rFonts w:ascii="Calibri" w:eastAsia="Calibri" w:hAnsi="Calibri" w:cs="Calibri"/>
          <w:sz w:val="24"/>
          <w:szCs w:val="24"/>
        </w:rPr>
        <w:t xml:space="preserve">sono risultate in diminuzione (-18,7%) fermandosi a 43 milioni, con una flessione diffusa tra i principali partner industriali: in calo Germania (-6,8%) e soprattutto Cina (-14,4%), ma le contrazioni più marcate hanno interessato gli Stati Uniti (-39,1%) e il Giappone (-47,3%), mentre l’Austria ha segnato un +10,7%. Molto rilevante la crescita delle </w:t>
      </w:r>
      <w:r w:rsidRPr="00C522AD">
        <w:rPr>
          <w:rFonts w:ascii="Calibri" w:eastAsia="Calibri" w:hAnsi="Calibri" w:cs="Calibri"/>
          <w:b/>
          <w:bCs/>
          <w:sz w:val="24"/>
          <w:szCs w:val="24"/>
        </w:rPr>
        <w:t>apparecchiature elettriche</w:t>
      </w:r>
      <w:r w:rsidRPr="00C522AD">
        <w:rPr>
          <w:rFonts w:ascii="Calibri" w:eastAsia="Calibri" w:hAnsi="Calibri" w:cs="Calibri"/>
          <w:sz w:val="24"/>
          <w:szCs w:val="24"/>
        </w:rPr>
        <w:t xml:space="preserve"> (6</w:t>
      </w:r>
      <w:r w:rsidR="003B4B8E" w:rsidRPr="00C522AD">
        <w:rPr>
          <w:rFonts w:ascii="Calibri" w:eastAsia="Calibri" w:hAnsi="Calibri" w:cs="Calibri"/>
          <w:sz w:val="24"/>
          <w:szCs w:val="24"/>
        </w:rPr>
        <w:t>4</w:t>
      </w:r>
      <w:r w:rsidRPr="00C522AD">
        <w:rPr>
          <w:rFonts w:ascii="Calibri" w:eastAsia="Calibri" w:hAnsi="Calibri" w:cs="Calibri"/>
          <w:sz w:val="24"/>
          <w:szCs w:val="24"/>
        </w:rPr>
        <w:t xml:space="preserve"> milioni, +685,3%), trainata da poche commesse concentrate geograficamente verso Cina (46 milioni), Stati Uniti e Nigeria.</w:t>
      </w:r>
      <w:r w:rsidR="00070AE0" w:rsidRPr="00C522AD">
        <w:rPr>
          <w:rFonts w:ascii="Calibri" w:eastAsia="Calibri" w:hAnsi="Calibri" w:cs="Calibri"/>
          <w:sz w:val="24"/>
          <w:szCs w:val="24"/>
        </w:rPr>
        <w:t xml:space="preserve"> </w:t>
      </w:r>
    </w:p>
    <w:p w14:paraId="3D9E4467" w14:textId="281D5D7B" w:rsidR="00C91C1B" w:rsidRPr="00C522AD" w:rsidRDefault="00C227BB">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b/>
          <w:bCs/>
          <w:sz w:val="24"/>
          <w:szCs w:val="24"/>
        </w:rPr>
        <w:t>I mercati di destinazione</w:t>
      </w:r>
    </w:p>
    <w:p w14:paraId="1A96D694" w14:textId="67C80C45" w:rsidR="00C91C1B" w:rsidRPr="00C522AD" w:rsidRDefault="00C227BB" w:rsidP="00070AE0">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 xml:space="preserve">Nel 2025 le esportazioni della provincia apuana hanno mostrato una forte espansione e mostrato una significativa ridefinizione geografica dei mercati di sbocco. L’America Settentrionale si è confermata l’area principale, con gli Stati Uniti che hanno raggiunto 795 milioni di euro (+25,8%), pari a oltre un quarto dell’export complessivo grazie alle vendite del comparto meccanico. Particolarmente rilevante è stata anche la crescita verso l’Asia, sostenuta dall’elevato incremento della Corea del Sud (257 milioni; +6259,7%) determinato dalla meccanica, e dalla dinamica positiva della Cina (222 milioni; +17,7%) grazie alle vendite di motori, generatori e trasformatori elettrici. L’export verso Qatar (133 milioni) e Singapore (69 milioni) è cresciuto grazie alle vendite di macchinari per l’estrazione </w:t>
      </w:r>
      <w:r w:rsidR="00B60EDC" w:rsidRPr="00C522AD">
        <w:rPr>
          <w:rFonts w:ascii="Calibri" w:eastAsia="Calibri" w:hAnsi="Calibri" w:cs="Calibri"/>
          <w:sz w:val="24"/>
          <w:szCs w:val="24"/>
        </w:rPr>
        <w:t>di prodotti energetici</w:t>
      </w:r>
      <w:r w:rsidRPr="00C522AD">
        <w:rPr>
          <w:rFonts w:ascii="Calibri" w:eastAsia="Calibri" w:hAnsi="Calibri" w:cs="Calibri"/>
          <w:sz w:val="24"/>
          <w:szCs w:val="24"/>
        </w:rPr>
        <w:t>, mentre gli Emirati Arabi Uniti (135 milioni) hanno confermato anche una buona domanda di prodotti lapidei lavorati. Anche l’area africana si è rafforzata, con Libia (144 milioni</w:t>
      </w:r>
      <w:r w:rsidR="00FB7751" w:rsidRPr="00C522AD">
        <w:rPr>
          <w:rFonts w:ascii="Calibri" w:eastAsia="Calibri" w:hAnsi="Calibri" w:cs="Calibri"/>
          <w:sz w:val="24"/>
          <w:szCs w:val="24"/>
        </w:rPr>
        <w:t>, cantieristica</w:t>
      </w:r>
      <w:r w:rsidRPr="00C522AD">
        <w:rPr>
          <w:rFonts w:ascii="Calibri" w:eastAsia="Calibri" w:hAnsi="Calibri" w:cs="Calibri"/>
          <w:sz w:val="24"/>
          <w:szCs w:val="24"/>
        </w:rPr>
        <w:t>) e Algeria (113 milioni</w:t>
      </w:r>
      <w:r w:rsidR="00FB7751" w:rsidRPr="00C522AD">
        <w:rPr>
          <w:rFonts w:ascii="Calibri" w:eastAsia="Calibri" w:hAnsi="Calibri" w:cs="Calibri"/>
          <w:sz w:val="24"/>
          <w:szCs w:val="24"/>
        </w:rPr>
        <w:t>, meccanica</w:t>
      </w:r>
      <w:r w:rsidRPr="00C522AD">
        <w:rPr>
          <w:rFonts w:ascii="Calibri" w:eastAsia="Calibri" w:hAnsi="Calibri" w:cs="Calibri"/>
          <w:sz w:val="24"/>
          <w:szCs w:val="24"/>
        </w:rPr>
        <w:t xml:space="preserve">) tra i mercati più dinamici. </w:t>
      </w:r>
    </w:p>
    <w:tbl>
      <w:tblPr>
        <w:tblStyle w:val="a2"/>
        <w:tblW w:w="8681" w:type="dxa"/>
        <w:tblInd w:w="0" w:type="dxa"/>
        <w:tblLayout w:type="fixed"/>
        <w:tblLook w:val="0000" w:firstRow="0" w:lastRow="0" w:firstColumn="0" w:lastColumn="0" w:noHBand="0" w:noVBand="0"/>
      </w:tblPr>
      <w:tblGrid>
        <w:gridCol w:w="8681"/>
      </w:tblGrid>
      <w:tr w:rsidR="00C522AD" w:rsidRPr="00C522AD" w14:paraId="5D9C2717" w14:textId="77777777">
        <w:trPr>
          <w:trHeight w:val="246"/>
        </w:trPr>
        <w:tc>
          <w:tcPr>
            <w:tcW w:w="8681" w:type="dxa"/>
            <w:tcBorders>
              <w:top w:val="nil"/>
              <w:left w:val="nil"/>
              <w:bottom w:val="nil"/>
              <w:right w:val="nil"/>
            </w:tcBorders>
            <w:vAlign w:val="center"/>
          </w:tcPr>
          <w:tbl>
            <w:tblPr>
              <w:tblStyle w:val="a3"/>
              <w:tblW w:w="8496" w:type="dxa"/>
              <w:tblInd w:w="0" w:type="dxa"/>
              <w:tblLayout w:type="fixed"/>
              <w:tblLook w:val="0000" w:firstRow="0" w:lastRow="0" w:firstColumn="0" w:lastColumn="0" w:noHBand="0" w:noVBand="0"/>
            </w:tblPr>
            <w:tblGrid>
              <w:gridCol w:w="2619"/>
              <w:gridCol w:w="1417"/>
              <w:gridCol w:w="1418"/>
              <w:gridCol w:w="1057"/>
              <w:gridCol w:w="840"/>
              <w:gridCol w:w="1145"/>
            </w:tblGrid>
            <w:tr w:rsidR="00C522AD" w:rsidRPr="00C522AD" w14:paraId="6A4ED99D" w14:textId="77777777">
              <w:trPr>
                <w:trHeight w:val="206"/>
              </w:trPr>
              <w:tc>
                <w:tcPr>
                  <w:tcW w:w="7351" w:type="dxa"/>
                  <w:gridSpan w:val="5"/>
                  <w:tcBorders>
                    <w:top w:val="nil"/>
                    <w:left w:val="nil"/>
                    <w:bottom w:val="nil"/>
                    <w:right w:val="nil"/>
                  </w:tcBorders>
                  <w:vAlign w:val="center"/>
                </w:tcPr>
                <w:p w14:paraId="09CAA840"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I principali paesi esportatori della provincia di Massa-Carrara - Anno 2025</w:t>
                  </w:r>
                </w:p>
              </w:tc>
              <w:tc>
                <w:tcPr>
                  <w:tcW w:w="1145" w:type="dxa"/>
                  <w:tcBorders>
                    <w:top w:val="nil"/>
                    <w:left w:val="nil"/>
                    <w:bottom w:val="nil"/>
                    <w:right w:val="nil"/>
                  </w:tcBorders>
                  <w:vAlign w:val="center"/>
                </w:tcPr>
                <w:p w14:paraId="3EA56635" w14:textId="77777777" w:rsidR="00C91C1B" w:rsidRPr="00C522AD" w:rsidRDefault="00C91C1B">
                  <w:pPr>
                    <w:pBdr>
                      <w:top w:val="nil"/>
                      <w:left w:val="nil"/>
                      <w:bottom w:val="nil"/>
                      <w:right w:val="nil"/>
                      <w:between w:val="nil"/>
                    </w:pBdr>
                    <w:rPr>
                      <w:rFonts w:ascii="Calibri" w:eastAsia="Calibri" w:hAnsi="Calibri" w:cs="Calibri"/>
                    </w:rPr>
                  </w:pPr>
                </w:p>
              </w:tc>
            </w:tr>
            <w:tr w:rsidR="00C522AD" w:rsidRPr="00C522AD" w14:paraId="417216F3" w14:textId="77777777">
              <w:trPr>
                <w:trHeight w:val="206"/>
              </w:trPr>
              <w:tc>
                <w:tcPr>
                  <w:tcW w:w="6511" w:type="dxa"/>
                  <w:gridSpan w:val="4"/>
                  <w:tcBorders>
                    <w:top w:val="nil"/>
                    <w:left w:val="nil"/>
                    <w:bottom w:val="nil"/>
                    <w:right w:val="nil"/>
                  </w:tcBorders>
                  <w:vAlign w:val="center"/>
                </w:tcPr>
                <w:p w14:paraId="6DFF5E7C"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i/>
                      <w:iCs/>
                    </w:rPr>
                    <w:t>Valori assoluti in euro, var. % e contributi % alla crescita </w:t>
                  </w:r>
                </w:p>
              </w:tc>
              <w:tc>
                <w:tcPr>
                  <w:tcW w:w="840" w:type="dxa"/>
                  <w:tcBorders>
                    <w:top w:val="nil"/>
                    <w:left w:val="nil"/>
                    <w:bottom w:val="nil"/>
                    <w:right w:val="nil"/>
                  </w:tcBorders>
                  <w:vAlign w:val="center"/>
                </w:tcPr>
                <w:p w14:paraId="78D89DF3" w14:textId="77777777" w:rsidR="00C91C1B" w:rsidRPr="00C522AD" w:rsidRDefault="00C91C1B">
                  <w:pPr>
                    <w:pBdr>
                      <w:top w:val="nil"/>
                      <w:left w:val="nil"/>
                      <w:bottom w:val="nil"/>
                      <w:right w:val="nil"/>
                      <w:between w:val="nil"/>
                    </w:pBdr>
                    <w:rPr>
                      <w:rFonts w:ascii="Calibri" w:eastAsia="Calibri" w:hAnsi="Calibri" w:cs="Calibri"/>
                    </w:rPr>
                  </w:pPr>
                </w:p>
              </w:tc>
              <w:tc>
                <w:tcPr>
                  <w:tcW w:w="1145" w:type="dxa"/>
                  <w:tcBorders>
                    <w:top w:val="nil"/>
                    <w:left w:val="nil"/>
                    <w:bottom w:val="nil"/>
                    <w:right w:val="nil"/>
                  </w:tcBorders>
                  <w:vAlign w:val="center"/>
                </w:tcPr>
                <w:p w14:paraId="29306A7D" w14:textId="77777777" w:rsidR="00C91C1B" w:rsidRPr="00C522AD" w:rsidRDefault="00C91C1B">
                  <w:pPr>
                    <w:pBdr>
                      <w:top w:val="nil"/>
                      <w:left w:val="nil"/>
                      <w:bottom w:val="nil"/>
                      <w:right w:val="nil"/>
                      <w:between w:val="nil"/>
                    </w:pBdr>
                  </w:pPr>
                </w:p>
              </w:tc>
            </w:tr>
            <w:tr w:rsidR="00C522AD" w:rsidRPr="00C522AD" w14:paraId="6AC84CE0" w14:textId="77777777">
              <w:trPr>
                <w:cantSplit/>
                <w:trHeight w:val="206"/>
              </w:trPr>
              <w:tc>
                <w:tcPr>
                  <w:tcW w:w="2619" w:type="dxa"/>
                  <w:vMerge w:val="restart"/>
                  <w:tcBorders>
                    <w:top w:val="single" w:sz="4" w:space="0" w:color="000000"/>
                    <w:left w:val="nil"/>
                    <w:bottom w:val="single" w:sz="4" w:space="0" w:color="000000"/>
                    <w:right w:val="nil"/>
                  </w:tcBorders>
                  <w:vAlign w:val="center"/>
                </w:tcPr>
                <w:p w14:paraId="50E74470"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b/>
                      <w:bCs/>
                    </w:rPr>
                    <w:t>Settori di attività</w:t>
                  </w:r>
                </w:p>
              </w:tc>
              <w:tc>
                <w:tcPr>
                  <w:tcW w:w="2835" w:type="dxa"/>
                  <w:gridSpan w:val="2"/>
                  <w:tcBorders>
                    <w:top w:val="single" w:sz="4" w:space="0" w:color="000000"/>
                    <w:left w:val="nil"/>
                    <w:bottom w:val="single" w:sz="4" w:space="0" w:color="000000"/>
                    <w:right w:val="nil"/>
                  </w:tcBorders>
                  <w:vAlign w:val="center"/>
                </w:tcPr>
                <w:p w14:paraId="5339668F"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Valori assoluti in euro</w:t>
                  </w:r>
                </w:p>
              </w:tc>
              <w:tc>
                <w:tcPr>
                  <w:tcW w:w="1057" w:type="dxa"/>
                  <w:vMerge w:val="restart"/>
                  <w:tcBorders>
                    <w:top w:val="single" w:sz="4" w:space="0" w:color="000000"/>
                    <w:left w:val="nil"/>
                    <w:bottom w:val="single" w:sz="4" w:space="0" w:color="000000"/>
                    <w:right w:val="nil"/>
                  </w:tcBorders>
                  <w:vAlign w:val="center"/>
                </w:tcPr>
                <w:p w14:paraId="5C206F0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Quota %</w:t>
                  </w:r>
                </w:p>
              </w:tc>
              <w:tc>
                <w:tcPr>
                  <w:tcW w:w="840" w:type="dxa"/>
                  <w:vMerge w:val="restart"/>
                  <w:tcBorders>
                    <w:top w:val="single" w:sz="4" w:space="0" w:color="000000"/>
                    <w:left w:val="nil"/>
                    <w:bottom w:val="single" w:sz="4" w:space="0" w:color="000000"/>
                    <w:right w:val="nil"/>
                  </w:tcBorders>
                  <w:vAlign w:val="center"/>
                </w:tcPr>
                <w:p w14:paraId="6350AC7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Var. %</w:t>
                  </w:r>
                </w:p>
              </w:tc>
              <w:tc>
                <w:tcPr>
                  <w:tcW w:w="1145" w:type="dxa"/>
                  <w:vMerge w:val="restart"/>
                  <w:tcBorders>
                    <w:top w:val="single" w:sz="4" w:space="0" w:color="000000"/>
                    <w:left w:val="nil"/>
                    <w:bottom w:val="single" w:sz="4" w:space="0" w:color="000000"/>
                    <w:right w:val="nil"/>
                  </w:tcBorders>
                  <w:vAlign w:val="center"/>
                </w:tcPr>
                <w:p w14:paraId="28F56FA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Contributi %</w:t>
                  </w:r>
                </w:p>
              </w:tc>
            </w:tr>
            <w:tr w:rsidR="00C522AD" w:rsidRPr="00C522AD" w14:paraId="49980FD8" w14:textId="77777777">
              <w:trPr>
                <w:cantSplit/>
                <w:trHeight w:val="416"/>
              </w:trPr>
              <w:tc>
                <w:tcPr>
                  <w:tcW w:w="2619" w:type="dxa"/>
                  <w:vMerge/>
                  <w:tcBorders>
                    <w:top w:val="single" w:sz="4" w:space="0" w:color="000000"/>
                    <w:left w:val="nil"/>
                    <w:bottom w:val="single" w:sz="4" w:space="0" w:color="000000"/>
                    <w:right w:val="nil"/>
                  </w:tcBorders>
                  <w:vAlign w:val="center"/>
                </w:tcPr>
                <w:p w14:paraId="213A21F7"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rPr>
                  </w:pPr>
                </w:p>
              </w:tc>
              <w:tc>
                <w:tcPr>
                  <w:tcW w:w="1417" w:type="dxa"/>
                  <w:tcBorders>
                    <w:top w:val="nil"/>
                    <w:left w:val="nil"/>
                    <w:bottom w:val="single" w:sz="4" w:space="0" w:color="000000"/>
                    <w:right w:val="nil"/>
                  </w:tcBorders>
                  <w:vAlign w:val="center"/>
                </w:tcPr>
                <w:p w14:paraId="4E35CC7C"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b/>
                      <w:bCs/>
                    </w:rPr>
                    <w:t>Anno 2024</w:t>
                  </w:r>
                </w:p>
              </w:tc>
              <w:tc>
                <w:tcPr>
                  <w:tcW w:w="1418" w:type="dxa"/>
                  <w:tcBorders>
                    <w:top w:val="nil"/>
                    <w:left w:val="nil"/>
                    <w:bottom w:val="single" w:sz="4" w:space="0" w:color="000000"/>
                    <w:right w:val="nil"/>
                  </w:tcBorders>
                  <w:vAlign w:val="center"/>
                </w:tcPr>
                <w:p w14:paraId="00F27D0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b/>
                      <w:bCs/>
                    </w:rPr>
                    <w:t>Anno 2025</w:t>
                  </w:r>
                </w:p>
              </w:tc>
              <w:tc>
                <w:tcPr>
                  <w:tcW w:w="1057" w:type="dxa"/>
                  <w:vMerge/>
                  <w:tcBorders>
                    <w:top w:val="single" w:sz="4" w:space="0" w:color="000000"/>
                    <w:left w:val="nil"/>
                    <w:bottom w:val="single" w:sz="4" w:space="0" w:color="000000"/>
                    <w:right w:val="nil"/>
                  </w:tcBorders>
                  <w:vAlign w:val="center"/>
                </w:tcPr>
                <w:p w14:paraId="71B3300F"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rPr>
                  </w:pPr>
                </w:p>
              </w:tc>
              <w:tc>
                <w:tcPr>
                  <w:tcW w:w="840" w:type="dxa"/>
                  <w:vMerge/>
                  <w:tcBorders>
                    <w:top w:val="single" w:sz="4" w:space="0" w:color="000000"/>
                    <w:left w:val="nil"/>
                    <w:bottom w:val="single" w:sz="4" w:space="0" w:color="000000"/>
                    <w:right w:val="nil"/>
                  </w:tcBorders>
                  <w:vAlign w:val="center"/>
                </w:tcPr>
                <w:p w14:paraId="0247AA56"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rPr>
                  </w:pPr>
                </w:p>
              </w:tc>
              <w:tc>
                <w:tcPr>
                  <w:tcW w:w="1145" w:type="dxa"/>
                  <w:vMerge/>
                  <w:tcBorders>
                    <w:top w:val="single" w:sz="4" w:space="0" w:color="000000"/>
                    <w:left w:val="nil"/>
                    <w:bottom w:val="single" w:sz="4" w:space="0" w:color="000000"/>
                    <w:right w:val="nil"/>
                  </w:tcBorders>
                  <w:vAlign w:val="center"/>
                </w:tcPr>
                <w:p w14:paraId="125E6010"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rPr>
                  </w:pPr>
                </w:p>
              </w:tc>
            </w:tr>
            <w:tr w:rsidR="00C522AD" w:rsidRPr="00C522AD" w14:paraId="23A637C0" w14:textId="77777777">
              <w:trPr>
                <w:trHeight w:val="206"/>
              </w:trPr>
              <w:tc>
                <w:tcPr>
                  <w:tcW w:w="2619" w:type="dxa"/>
                  <w:tcBorders>
                    <w:top w:val="nil"/>
                    <w:left w:val="nil"/>
                    <w:bottom w:val="nil"/>
                    <w:right w:val="nil"/>
                  </w:tcBorders>
                  <w:vAlign w:val="center"/>
                </w:tcPr>
                <w:p w14:paraId="69A4ADA1"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Stati Uniti</w:t>
                  </w:r>
                </w:p>
              </w:tc>
              <w:tc>
                <w:tcPr>
                  <w:tcW w:w="1417" w:type="dxa"/>
                  <w:tcBorders>
                    <w:top w:val="nil"/>
                    <w:left w:val="nil"/>
                    <w:bottom w:val="nil"/>
                    <w:right w:val="nil"/>
                  </w:tcBorders>
                  <w:vAlign w:val="center"/>
                </w:tcPr>
                <w:p w14:paraId="6DA5E35C"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631.930.308</w:t>
                  </w:r>
                </w:p>
              </w:tc>
              <w:tc>
                <w:tcPr>
                  <w:tcW w:w="1418" w:type="dxa"/>
                  <w:tcBorders>
                    <w:top w:val="nil"/>
                    <w:left w:val="nil"/>
                    <w:bottom w:val="nil"/>
                    <w:right w:val="nil"/>
                  </w:tcBorders>
                  <w:vAlign w:val="center"/>
                </w:tcPr>
                <w:p w14:paraId="10103384"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794.920.903</w:t>
                  </w:r>
                </w:p>
              </w:tc>
              <w:tc>
                <w:tcPr>
                  <w:tcW w:w="1057" w:type="dxa"/>
                  <w:tcBorders>
                    <w:top w:val="nil"/>
                    <w:left w:val="nil"/>
                    <w:bottom w:val="nil"/>
                    <w:right w:val="nil"/>
                  </w:tcBorders>
                  <w:vAlign w:val="center"/>
                </w:tcPr>
                <w:p w14:paraId="5895026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25,1%</w:t>
                  </w:r>
                </w:p>
              </w:tc>
              <w:tc>
                <w:tcPr>
                  <w:tcW w:w="840" w:type="dxa"/>
                  <w:tcBorders>
                    <w:top w:val="nil"/>
                    <w:left w:val="nil"/>
                    <w:bottom w:val="nil"/>
                    <w:right w:val="nil"/>
                  </w:tcBorders>
                  <w:vAlign w:val="center"/>
                </w:tcPr>
                <w:p w14:paraId="678B07A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25,8%</w:t>
                  </w:r>
                </w:p>
              </w:tc>
              <w:tc>
                <w:tcPr>
                  <w:tcW w:w="1145" w:type="dxa"/>
                  <w:tcBorders>
                    <w:top w:val="nil"/>
                    <w:left w:val="nil"/>
                    <w:bottom w:val="nil"/>
                    <w:right w:val="nil"/>
                  </w:tcBorders>
                  <w:vAlign w:val="center"/>
                </w:tcPr>
                <w:p w14:paraId="5BB0AB3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7,8%</w:t>
                  </w:r>
                </w:p>
              </w:tc>
            </w:tr>
            <w:tr w:rsidR="00C522AD" w:rsidRPr="00C522AD" w14:paraId="366293D3" w14:textId="77777777">
              <w:trPr>
                <w:trHeight w:val="206"/>
              </w:trPr>
              <w:tc>
                <w:tcPr>
                  <w:tcW w:w="2619" w:type="dxa"/>
                  <w:tcBorders>
                    <w:top w:val="nil"/>
                    <w:left w:val="nil"/>
                    <w:bottom w:val="nil"/>
                    <w:right w:val="nil"/>
                  </w:tcBorders>
                  <w:vAlign w:val="center"/>
                </w:tcPr>
                <w:p w14:paraId="3AB58C81"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Corea del Sud</w:t>
                  </w:r>
                </w:p>
              </w:tc>
              <w:tc>
                <w:tcPr>
                  <w:tcW w:w="1417" w:type="dxa"/>
                  <w:tcBorders>
                    <w:top w:val="nil"/>
                    <w:left w:val="nil"/>
                    <w:bottom w:val="nil"/>
                    <w:right w:val="nil"/>
                  </w:tcBorders>
                  <w:vAlign w:val="center"/>
                </w:tcPr>
                <w:p w14:paraId="61DBFCD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4.039.172</w:t>
                  </w:r>
                </w:p>
              </w:tc>
              <w:tc>
                <w:tcPr>
                  <w:tcW w:w="1418" w:type="dxa"/>
                  <w:tcBorders>
                    <w:top w:val="nil"/>
                    <w:left w:val="nil"/>
                    <w:bottom w:val="nil"/>
                    <w:right w:val="nil"/>
                  </w:tcBorders>
                  <w:vAlign w:val="center"/>
                </w:tcPr>
                <w:p w14:paraId="4F7FA4FD"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256.879.746</w:t>
                  </w:r>
                </w:p>
              </w:tc>
              <w:tc>
                <w:tcPr>
                  <w:tcW w:w="1057" w:type="dxa"/>
                  <w:tcBorders>
                    <w:top w:val="nil"/>
                    <w:left w:val="nil"/>
                    <w:bottom w:val="nil"/>
                    <w:right w:val="nil"/>
                  </w:tcBorders>
                  <w:vAlign w:val="center"/>
                </w:tcPr>
                <w:p w14:paraId="6EE9526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8,1%</w:t>
                  </w:r>
                </w:p>
              </w:tc>
              <w:tc>
                <w:tcPr>
                  <w:tcW w:w="840" w:type="dxa"/>
                  <w:tcBorders>
                    <w:top w:val="nil"/>
                    <w:left w:val="nil"/>
                    <w:bottom w:val="nil"/>
                    <w:right w:val="nil"/>
                  </w:tcBorders>
                  <w:vAlign w:val="center"/>
                </w:tcPr>
                <w:p w14:paraId="080C1B9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6259,7%</w:t>
                  </w:r>
                </w:p>
              </w:tc>
              <w:tc>
                <w:tcPr>
                  <w:tcW w:w="1145" w:type="dxa"/>
                  <w:tcBorders>
                    <w:top w:val="nil"/>
                    <w:left w:val="nil"/>
                    <w:bottom w:val="nil"/>
                    <w:right w:val="nil"/>
                  </w:tcBorders>
                  <w:vAlign w:val="center"/>
                </w:tcPr>
                <w:p w14:paraId="538BD476"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12,0%</w:t>
                  </w:r>
                </w:p>
              </w:tc>
            </w:tr>
            <w:tr w:rsidR="00C522AD" w:rsidRPr="00C522AD" w14:paraId="6BC2BEF2" w14:textId="77777777">
              <w:trPr>
                <w:trHeight w:val="206"/>
              </w:trPr>
              <w:tc>
                <w:tcPr>
                  <w:tcW w:w="2619" w:type="dxa"/>
                  <w:tcBorders>
                    <w:top w:val="nil"/>
                    <w:left w:val="nil"/>
                    <w:bottom w:val="nil"/>
                    <w:right w:val="nil"/>
                  </w:tcBorders>
                  <w:vAlign w:val="center"/>
                </w:tcPr>
                <w:p w14:paraId="7ECDE123"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Cina</w:t>
                  </w:r>
                </w:p>
              </w:tc>
              <w:tc>
                <w:tcPr>
                  <w:tcW w:w="1417" w:type="dxa"/>
                  <w:tcBorders>
                    <w:top w:val="nil"/>
                    <w:left w:val="nil"/>
                    <w:bottom w:val="nil"/>
                    <w:right w:val="nil"/>
                  </w:tcBorders>
                  <w:vAlign w:val="center"/>
                </w:tcPr>
                <w:p w14:paraId="3B42F39A"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188.582.452</w:t>
                  </w:r>
                </w:p>
              </w:tc>
              <w:tc>
                <w:tcPr>
                  <w:tcW w:w="1418" w:type="dxa"/>
                  <w:tcBorders>
                    <w:top w:val="nil"/>
                    <w:left w:val="nil"/>
                    <w:bottom w:val="nil"/>
                    <w:right w:val="nil"/>
                  </w:tcBorders>
                  <w:vAlign w:val="center"/>
                </w:tcPr>
                <w:p w14:paraId="1288266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222.035.335</w:t>
                  </w:r>
                </w:p>
              </w:tc>
              <w:tc>
                <w:tcPr>
                  <w:tcW w:w="1057" w:type="dxa"/>
                  <w:tcBorders>
                    <w:top w:val="nil"/>
                    <w:left w:val="nil"/>
                    <w:bottom w:val="nil"/>
                    <w:right w:val="nil"/>
                  </w:tcBorders>
                  <w:vAlign w:val="center"/>
                </w:tcPr>
                <w:p w14:paraId="0C35ED87"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7,0%</w:t>
                  </w:r>
                </w:p>
              </w:tc>
              <w:tc>
                <w:tcPr>
                  <w:tcW w:w="840" w:type="dxa"/>
                  <w:tcBorders>
                    <w:top w:val="nil"/>
                    <w:left w:val="nil"/>
                    <w:bottom w:val="nil"/>
                    <w:right w:val="nil"/>
                  </w:tcBorders>
                  <w:vAlign w:val="center"/>
                </w:tcPr>
                <w:p w14:paraId="0BE5F8B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17,7%</w:t>
                  </w:r>
                </w:p>
              </w:tc>
              <w:tc>
                <w:tcPr>
                  <w:tcW w:w="1145" w:type="dxa"/>
                  <w:tcBorders>
                    <w:top w:val="nil"/>
                    <w:left w:val="nil"/>
                    <w:bottom w:val="nil"/>
                    <w:right w:val="nil"/>
                  </w:tcBorders>
                  <w:vAlign w:val="center"/>
                </w:tcPr>
                <w:p w14:paraId="10822499"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1,6%</w:t>
                  </w:r>
                </w:p>
              </w:tc>
            </w:tr>
            <w:tr w:rsidR="00C522AD" w:rsidRPr="00C522AD" w14:paraId="00C2F8B5" w14:textId="77777777">
              <w:trPr>
                <w:trHeight w:val="206"/>
              </w:trPr>
              <w:tc>
                <w:tcPr>
                  <w:tcW w:w="2619" w:type="dxa"/>
                  <w:tcBorders>
                    <w:top w:val="nil"/>
                    <w:left w:val="nil"/>
                    <w:bottom w:val="nil"/>
                    <w:right w:val="nil"/>
                  </w:tcBorders>
                  <w:vAlign w:val="center"/>
                </w:tcPr>
                <w:p w14:paraId="2924410D"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Isole Cayman</w:t>
                  </w:r>
                </w:p>
              </w:tc>
              <w:tc>
                <w:tcPr>
                  <w:tcW w:w="1417" w:type="dxa"/>
                  <w:tcBorders>
                    <w:top w:val="nil"/>
                    <w:left w:val="nil"/>
                    <w:bottom w:val="nil"/>
                    <w:right w:val="nil"/>
                  </w:tcBorders>
                  <w:vAlign w:val="center"/>
                </w:tcPr>
                <w:p w14:paraId="6EE0625E"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76.726.776</w:t>
                  </w:r>
                </w:p>
              </w:tc>
              <w:tc>
                <w:tcPr>
                  <w:tcW w:w="1418" w:type="dxa"/>
                  <w:tcBorders>
                    <w:top w:val="nil"/>
                    <w:left w:val="nil"/>
                    <w:bottom w:val="nil"/>
                    <w:right w:val="nil"/>
                  </w:tcBorders>
                  <w:vAlign w:val="center"/>
                </w:tcPr>
                <w:p w14:paraId="312A976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216.620.963</w:t>
                  </w:r>
                </w:p>
              </w:tc>
              <w:tc>
                <w:tcPr>
                  <w:tcW w:w="1057" w:type="dxa"/>
                  <w:tcBorders>
                    <w:top w:val="nil"/>
                    <w:left w:val="nil"/>
                    <w:bottom w:val="nil"/>
                    <w:right w:val="nil"/>
                  </w:tcBorders>
                  <w:vAlign w:val="center"/>
                </w:tcPr>
                <w:p w14:paraId="49FF0995"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6,8%</w:t>
                  </w:r>
                </w:p>
              </w:tc>
              <w:tc>
                <w:tcPr>
                  <w:tcW w:w="840" w:type="dxa"/>
                  <w:tcBorders>
                    <w:top w:val="nil"/>
                    <w:left w:val="nil"/>
                    <w:bottom w:val="nil"/>
                    <w:right w:val="nil"/>
                  </w:tcBorders>
                  <w:vAlign w:val="center"/>
                </w:tcPr>
                <w:p w14:paraId="581F77B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182,3%</w:t>
                  </w:r>
                </w:p>
              </w:tc>
              <w:tc>
                <w:tcPr>
                  <w:tcW w:w="1145" w:type="dxa"/>
                  <w:tcBorders>
                    <w:top w:val="nil"/>
                    <w:left w:val="nil"/>
                    <w:bottom w:val="nil"/>
                    <w:right w:val="nil"/>
                  </w:tcBorders>
                  <w:vAlign w:val="center"/>
                </w:tcPr>
                <w:p w14:paraId="4A3F7D9E"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6,7%</w:t>
                  </w:r>
                </w:p>
              </w:tc>
            </w:tr>
            <w:tr w:rsidR="00C522AD" w:rsidRPr="00C522AD" w14:paraId="027EAB59" w14:textId="77777777">
              <w:trPr>
                <w:trHeight w:val="206"/>
              </w:trPr>
              <w:tc>
                <w:tcPr>
                  <w:tcW w:w="2619" w:type="dxa"/>
                  <w:tcBorders>
                    <w:top w:val="nil"/>
                    <w:left w:val="nil"/>
                    <w:bottom w:val="nil"/>
                    <w:right w:val="nil"/>
                  </w:tcBorders>
                  <w:vAlign w:val="center"/>
                </w:tcPr>
                <w:p w14:paraId="52CBF738"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Libia</w:t>
                  </w:r>
                </w:p>
              </w:tc>
              <w:tc>
                <w:tcPr>
                  <w:tcW w:w="1417" w:type="dxa"/>
                  <w:tcBorders>
                    <w:top w:val="nil"/>
                    <w:left w:val="nil"/>
                    <w:bottom w:val="nil"/>
                    <w:right w:val="nil"/>
                  </w:tcBorders>
                  <w:vAlign w:val="center"/>
                </w:tcPr>
                <w:p w14:paraId="75D7F369"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12.859.917</w:t>
                  </w:r>
                </w:p>
              </w:tc>
              <w:tc>
                <w:tcPr>
                  <w:tcW w:w="1418" w:type="dxa"/>
                  <w:tcBorders>
                    <w:top w:val="nil"/>
                    <w:left w:val="nil"/>
                    <w:bottom w:val="nil"/>
                    <w:right w:val="nil"/>
                  </w:tcBorders>
                  <w:vAlign w:val="center"/>
                </w:tcPr>
                <w:p w14:paraId="78A2072A"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143.595.393</w:t>
                  </w:r>
                </w:p>
              </w:tc>
              <w:tc>
                <w:tcPr>
                  <w:tcW w:w="1057" w:type="dxa"/>
                  <w:tcBorders>
                    <w:top w:val="nil"/>
                    <w:left w:val="nil"/>
                    <w:bottom w:val="nil"/>
                    <w:right w:val="nil"/>
                  </w:tcBorders>
                  <w:vAlign w:val="center"/>
                </w:tcPr>
                <w:p w14:paraId="7AF9D88E"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4,5%</w:t>
                  </w:r>
                </w:p>
              </w:tc>
              <w:tc>
                <w:tcPr>
                  <w:tcW w:w="840" w:type="dxa"/>
                  <w:tcBorders>
                    <w:top w:val="nil"/>
                    <w:left w:val="nil"/>
                    <w:bottom w:val="nil"/>
                    <w:right w:val="nil"/>
                  </w:tcBorders>
                  <w:vAlign w:val="center"/>
                </w:tcPr>
                <w:p w14:paraId="5DF5BAFE"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1016,6%</w:t>
                  </w:r>
                </w:p>
              </w:tc>
              <w:tc>
                <w:tcPr>
                  <w:tcW w:w="1145" w:type="dxa"/>
                  <w:tcBorders>
                    <w:top w:val="nil"/>
                    <w:left w:val="nil"/>
                    <w:bottom w:val="nil"/>
                    <w:right w:val="nil"/>
                  </w:tcBorders>
                  <w:vAlign w:val="center"/>
                </w:tcPr>
                <w:p w14:paraId="3713826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6,2%</w:t>
                  </w:r>
                </w:p>
              </w:tc>
            </w:tr>
            <w:tr w:rsidR="00C522AD" w:rsidRPr="00C522AD" w14:paraId="1C76F7F7" w14:textId="77777777">
              <w:trPr>
                <w:trHeight w:val="206"/>
              </w:trPr>
              <w:tc>
                <w:tcPr>
                  <w:tcW w:w="2619" w:type="dxa"/>
                  <w:tcBorders>
                    <w:top w:val="nil"/>
                    <w:left w:val="nil"/>
                    <w:bottom w:val="nil"/>
                    <w:right w:val="nil"/>
                  </w:tcBorders>
                  <w:vAlign w:val="center"/>
                </w:tcPr>
                <w:p w14:paraId="50802775"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Emirati Arabi Uniti</w:t>
                  </w:r>
                </w:p>
              </w:tc>
              <w:tc>
                <w:tcPr>
                  <w:tcW w:w="1417" w:type="dxa"/>
                  <w:tcBorders>
                    <w:top w:val="nil"/>
                    <w:left w:val="nil"/>
                    <w:bottom w:val="nil"/>
                    <w:right w:val="nil"/>
                  </w:tcBorders>
                  <w:vAlign w:val="center"/>
                </w:tcPr>
                <w:p w14:paraId="5F76A133"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48.147.556</w:t>
                  </w:r>
                </w:p>
              </w:tc>
              <w:tc>
                <w:tcPr>
                  <w:tcW w:w="1418" w:type="dxa"/>
                  <w:tcBorders>
                    <w:top w:val="nil"/>
                    <w:left w:val="nil"/>
                    <w:bottom w:val="nil"/>
                    <w:right w:val="nil"/>
                  </w:tcBorders>
                  <w:vAlign w:val="center"/>
                </w:tcPr>
                <w:p w14:paraId="65130F5F"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134.668.098</w:t>
                  </w:r>
                </w:p>
              </w:tc>
              <w:tc>
                <w:tcPr>
                  <w:tcW w:w="1057" w:type="dxa"/>
                  <w:tcBorders>
                    <w:top w:val="nil"/>
                    <w:left w:val="nil"/>
                    <w:bottom w:val="nil"/>
                    <w:right w:val="nil"/>
                  </w:tcBorders>
                  <w:vAlign w:val="center"/>
                </w:tcPr>
                <w:p w14:paraId="2741944B"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4,3%</w:t>
                  </w:r>
                </w:p>
              </w:tc>
              <w:tc>
                <w:tcPr>
                  <w:tcW w:w="840" w:type="dxa"/>
                  <w:tcBorders>
                    <w:top w:val="nil"/>
                    <w:left w:val="nil"/>
                    <w:bottom w:val="nil"/>
                    <w:right w:val="nil"/>
                  </w:tcBorders>
                  <w:vAlign w:val="center"/>
                </w:tcPr>
                <w:p w14:paraId="19E2C07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179,7%</w:t>
                  </w:r>
                </w:p>
              </w:tc>
              <w:tc>
                <w:tcPr>
                  <w:tcW w:w="1145" w:type="dxa"/>
                  <w:tcBorders>
                    <w:top w:val="nil"/>
                    <w:left w:val="nil"/>
                    <w:bottom w:val="nil"/>
                    <w:right w:val="nil"/>
                  </w:tcBorders>
                  <w:vAlign w:val="center"/>
                </w:tcPr>
                <w:p w14:paraId="2AFF3A94"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4,1%</w:t>
                  </w:r>
                </w:p>
              </w:tc>
            </w:tr>
            <w:tr w:rsidR="00C522AD" w:rsidRPr="00C522AD" w14:paraId="6A9DD1A5" w14:textId="77777777">
              <w:trPr>
                <w:trHeight w:val="206"/>
              </w:trPr>
              <w:tc>
                <w:tcPr>
                  <w:tcW w:w="2619" w:type="dxa"/>
                  <w:tcBorders>
                    <w:top w:val="nil"/>
                    <w:left w:val="nil"/>
                    <w:bottom w:val="nil"/>
                    <w:right w:val="nil"/>
                  </w:tcBorders>
                  <w:vAlign w:val="center"/>
                </w:tcPr>
                <w:p w14:paraId="1B137B0D"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Qatar</w:t>
                  </w:r>
                </w:p>
              </w:tc>
              <w:tc>
                <w:tcPr>
                  <w:tcW w:w="1417" w:type="dxa"/>
                  <w:tcBorders>
                    <w:top w:val="nil"/>
                    <w:left w:val="nil"/>
                    <w:bottom w:val="nil"/>
                    <w:right w:val="nil"/>
                  </w:tcBorders>
                  <w:vAlign w:val="center"/>
                </w:tcPr>
                <w:p w14:paraId="55645DAA"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12.135.395</w:t>
                  </w:r>
                </w:p>
              </w:tc>
              <w:tc>
                <w:tcPr>
                  <w:tcW w:w="1418" w:type="dxa"/>
                  <w:tcBorders>
                    <w:top w:val="nil"/>
                    <w:left w:val="nil"/>
                    <w:bottom w:val="nil"/>
                    <w:right w:val="nil"/>
                  </w:tcBorders>
                  <w:vAlign w:val="center"/>
                </w:tcPr>
                <w:p w14:paraId="066A289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133.302.878</w:t>
                  </w:r>
                </w:p>
              </w:tc>
              <w:tc>
                <w:tcPr>
                  <w:tcW w:w="1057" w:type="dxa"/>
                  <w:tcBorders>
                    <w:top w:val="nil"/>
                    <w:left w:val="nil"/>
                    <w:bottom w:val="nil"/>
                    <w:right w:val="nil"/>
                  </w:tcBorders>
                  <w:vAlign w:val="center"/>
                </w:tcPr>
                <w:p w14:paraId="31A3D69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4,2%</w:t>
                  </w:r>
                </w:p>
              </w:tc>
              <w:tc>
                <w:tcPr>
                  <w:tcW w:w="840" w:type="dxa"/>
                  <w:tcBorders>
                    <w:top w:val="nil"/>
                    <w:left w:val="nil"/>
                    <w:bottom w:val="nil"/>
                    <w:right w:val="nil"/>
                  </w:tcBorders>
                  <w:vAlign w:val="center"/>
                </w:tcPr>
                <w:p w14:paraId="756B248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998,5%</w:t>
                  </w:r>
                </w:p>
              </w:tc>
              <w:tc>
                <w:tcPr>
                  <w:tcW w:w="1145" w:type="dxa"/>
                  <w:tcBorders>
                    <w:top w:val="nil"/>
                    <w:left w:val="nil"/>
                    <w:bottom w:val="nil"/>
                    <w:right w:val="nil"/>
                  </w:tcBorders>
                  <w:vAlign w:val="center"/>
                </w:tcPr>
                <w:p w14:paraId="2A64730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5,8%</w:t>
                  </w:r>
                </w:p>
              </w:tc>
            </w:tr>
            <w:tr w:rsidR="00C522AD" w:rsidRPr="00C522AD" w14:paraId="0E03934E" w14:textId="77777777">
              <w:trPr>
                <w:trHeight w:val="206"/>
              </w:trPr>
              <w:tc>
                <w:tcPr>
                  <w:tcW w:w="2619" w:type="dxa"/>
                  <w:tcBorders>
                    <w:top w:val="nil"/>
                    <w:left w:val="nil"/>
                    <w:bottom w:val="nil"/>
                    <w:right w:val="nil"/>
                  </w:tcBorders>
                  <w:vAlign w:val="center"/>
                </w:tcPr>
                <w:p w14:paraId="43809BAE"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Algeria</w:t>
                  </w:r>
                </w:p>
              </w:tc>
              <w:tc>
                <w:tcPr>
                  <w:tcW w:w="1417" w:type="dxa"/>
                  <w:tcBorders>
                    <w:top w:val="nil"/>
                    <w:left w:val="nil"/>
                    <w:bottom w:val="nil"/>
                    <w:right w:val="nil"/>
                  </w:tcBorders>
                  <w:vAlign w:val="center"/>
                </w:tcPr>
                <w:p w14:paraId="37E13BE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42.495.923</w:t>
                  </w:r>
                </w:p>
              </w:tc>
              <w:tc>
                <w:tcPr>
                  <w:tcW w:w="1418" w:type="dxa"/>
                  <w:tcBorders>
                    <w:top w:val="nil"/>
                    <w:left w:val="nil"/>
                    <w:bottom w:val="nil"/>
                    <w:right w:val="nil"/>
                  </w:tcBorders>
                  <w:vAlign w:val="center"/>
                </w:tcPr>
                <w:p w14:paraId="56C3D0A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112.802.189</w:t>
                  </w:r>
                </w:p>
              </w:tc>
              <w:tc>
                <w:tcPr>
                  <w:tcW w:w="1057" w:type="dxa"/>
                  <w:tcBorders>
                    <w:top w:val="nil"/>
                    <w:left w:val="nil"/>
                    <w:bottom w:val="nil"/>
                    <w:right w:val="nil"/>
                  </w:tcBorders>
                  <w:vAlign w:val="center"/>
                </w:tcPr>
                <w:p w14:paraId="3128784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3,6%</w:t>
                  </w:r>
                </w:p>
              </w:tc>
              <w:tc>
                <w:tcPr>
                  <w:tcW w:w="840" w:type="dxa"/>
                  <w:tcBorders>
                    <w:top w:val="nil"/>
                    <w:left w:val="nil"/>
                    <w:bottom w:val="nil"/>
                    <w:right w:val="nil"/>
                  </w:tcBorders>
                  <w:vAlign w:val="center"/>
                </w:tcPr>
                <w:p w14:paraId="789BEF7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165,4%</w:t>
                  </w:r>
                </w:p>
              </w:tc>
              <w:tc>
                <w:tcPr>
                  <w:tcW w:w="1145" w:type="dxa"/>
                  <w:tcBorders>
                    <w:top w:val="nil"/>
                    <w:left w:val="nil"/>
                    <w:bottom w:val="nil"/>
                    <w:right w:val="nil"/>
                  </w:tcBorders>
                  <w:vAlign w:val="center"/>
                </w:tcPr>
                <w:p w14:paraId="113DE194"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3,3%</w:t>
                  </w:r>
                </w:p>
              </w:tc>
            </w:tr>
            <w:tr w:rsidR="00C522AD" w:rsidRPr="00C522AD" w14:paraId="5C20ABB8" w14:textId="77777777">
              <w:trPr>
                <w:trHeight w:val="206"/>
              </w:trPr>
              <w:tc>
                <w:tcPr>
                  <w:tcW w:w="2619" w:type="dxa"/>
                  <w:tcBorders>
                    <w:top w:val="nil"/>
                    <w:left w:val="nil"/>
                    <w:bottom w:val="nil"/>
                    <w:right w:val="nil"/>
                  </w:tcBorders>
                  <w:vAlign w:val="center"/>
                </w:tcPr>
                <w:p w14:paraId="3A36D514"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Germania</w:t>
                  </w:r>
                </w:p>
              </w:tc>
              <w:tc>
                <w:tcPr>
                  <w:tcW w:w="1417" w:type="dxa"/>
                  <w:tcBorders>
                    <w:top w:val="nil"/>
                    <w:left w:val="nil"/>
                    <w:bottom w:val="nil"/>
                    <w:right w:val="nil"/>
                  </w:tcBorders>
                  <w:vAlign w:val="center"/>
                </w:tcPr>
                <w:p w14:paraId="64992D84"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120.481.330</w:t>
                  </w:r>
                </w:p>
              </w:tc>
              <w:tc>
                <w:tcPr>
                  <w:tcW w:w="1418" w:type="dxa"/>
                  <w:tcBorders>
                    <w:top w:val="nil"/>
                    <w:left w:val="nil"/>
                    <w:bottom w:val="nil"/>
                    <w:right w:val="nil"/>
                  </w:tcBorders>
                  <w:vAlign w:val="center"/>
                </w:tcPr>
                <w:p w14:paraId="63740535"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94.552.644</w:t>
                  </w:r>
                </w:p>
              </w:tc>
              <w:tc>
                <w:tcPr>
                  <w:tcW w:w="1057" w:type="dxa"/>
                  <w:tcBorders>
                    <w:top w:val="nil"/>
                    <w:left w:val="nil"/>
                    <w:bottom w:val="nil"/>
                    <w:right w:val="nil"/>
                  </w:tcBorders>
                  <w:vAlign w:val="center"/>
                </w:tcPr>
                <w:p w14:paraId="74F89D7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3,0%</w:t>
                  </w:r>
                </w:p>
              </w:tc>
              <w:tc>
                <w:tcPr>
                  <w:tcW w:w="840" w:type="dxa"/>
                  <w:tcBorders>
                    <w:top w:val="nil"/>
                    <w:left w:val="nil"/>
                    <w:bottom w:val="nil"/>
                    <w:right w:val="nil"/>
                  </w:tcBorders>
                  <w:vAlign w:val="center"/>
                </w:tcPr>
                <w:p w14:paraId="00BCD41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-21,5%</w:t>
                  </w:r>
                </w:p>
              </w:tc>
              <w:tc>
                <w:tcPr>
                  <w:tcW w:w="1145" w:type="dxa"/>
                  <w:tcBorders>
                    <w:top w:val="nil"/>
                    <w:left w:val="nil"/>
                    <w:bottom w:val="nil"/>
                    <w:right w:val="nil"/>
                  </w:tcBorders>
                  <w:vAlign w:val="center"/>
                </w:tcPr>
                <w:p w14:paraId="672045BF"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-1,2%</w:t>
                  </w:r>
                </w:p>
              </w:tc>
            </w:tr>
            <w:tr w:rsidR="00C522AD" w:rsidRPr="00C522AD" w14:paraId="00AA09CC" w14:textId="77777777">
              <w:trPr>
                <w:trHeight w:val="206"/>
              </w:trPr>
              <w:tc>
                <w:tcPr>
                  <w:tcW w:w="2619" w:type="dxa"/>
                  <w:tcBorders>
                    <w:top w:val="nil"/>
                    <w:left w:val="nil"/>
                    <w:bottom w:val="nil"/>
                    <w:right w:val="nil"/>
                  </w:tcBorders>
                  <w:vAlign w:val="center"/>
                </w:tcPr>
                <w:p w14:paraId="6C689665"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Singapore</w:t>
                  </w:r>
                </w:p>
              </w:tc>
              <w:tc>
                <w:tcPr>
                  <w:tcW w:w="1417" w:type="dxa"/>
                  <w:tcBorders>
                    <w:top w:val="nil"/>
                    <w:left w:val="nil"/>
                    <w:bottom w:val="nil"/>
                    <w:right w:val="nil"/>
                  </w:tcBorders>
                  <w:vAlign w:val="center"/>
                </w:tcPr>
                <w:p w14:paraId="035E97C2"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11.387.030</w:t>
                  </w:r>
                </w:p>
              </w:tc>
              <w:tc>
                <w:tcPr>
                  <w:tcW w:w="1418" w:type="dxa"/>
                  <w:tcBorders>
                    <w:top w:val="nil"/>
                    <w:left w:val="nil"/>
                    <w:bottom w:val="nil"/>
                    <w:right w:val="nil"/>
                  </w:tcBorders>
                  <w:vAlign w:val="center"/>
                </w:tcPr>
                <w:p w14:paraId="5EF092B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68.988.646</w:t>
                  </w:r>
                </w:p>
              </w:tc>
              <w:tc>
                <w:tcPr>
                  <w:tcW w:w="1057" w:type="dxa"/>
                  <w:tcBorders>
                    <w:top w:val="nil"/>
                    <w:left w:val="nil"/>
                    <w:bottom w:val="nil"/>
                    <w:right w:val="nil"/>
                  </w:tcBorders>
                  <w:vAlign w:val="center"/>
                </w:tcPr>
                <w:p w14:paraId="4E395AE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2,2%</w:t>
                  </w:r>
                </w:p>
              </w:tc>
              <w:tc>
                <w:tcPr>
                  <w:tcW w:w="840" w:type="dxa"/>
                  <w:tcBorders>
                    <w:top w:val="nil"/>
                    <w:left w:val="nil"/>
                    <w:bottom w:val="nil"/>
                    <w:right w:val="nil"/>
                  </w:tcBorders>
                  <w:vAlign w:val="center"/>
                </w:tcPr>
                <w:p w14:paraId="0960793B"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505,9%</w:t>
                  </w:r>
                </w:p>
              </w:tc>
              <w:tc>
                <w:tcPr>
                  <w:tcW w:w="1145" w:type="dxa"/>
                  <w:tcBorders>
                    <w:top w:val="nil"/>
                    <w:left w:val="nil"/>
                    <w:bottom w:val="nil"/>
                    <w:right w:val="nil"/>
                  </w:tcBorders>
                  <w:vAlign w:val="center"/>
                </w:tcPr>
                <w:p w14:paraId="551779D7"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2,7%</w:t>
                  </w:r>
                </w:p>
              </w:tc>
            </w:tr>
            <w:tr w:rsidR="00C522AD" w:rsidRPr="00C522AD" w14:paraId="6FEF706B" w14:textId="77777777">
              <w:trPr>
                <w:trHeight w:val="206"/>
              </w:trPr>
              <w:tc>
                <w:tcPr>
                  <w:tcW w:w="2619" w:type="dxa"/>
                  <w:tcBorders>
                    <w:top w:val="nil"/>
                    <w:left w:val="nil"/>
                    <w:bottom w:val="nil"/>
                    <w:right w:val="nil"/>
                  </w:tcBorders>
                  <w:vAlign w:val="center"/>
                </w:tcPr>
                <w:p w14:paraId="16467EAD"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Arabia Saudita</w:t>
                  </w:r>
                </w:p>
              </w:tc>
              <w:tc>
                <w:tcPr>
                  <w:tcW w:w="1417" w:type="dxa"/>
                  <w:tcBorders>
                    <w:top w:val="nil"/>
                    <w:left w:val="nil"/>
                    <w:bottom w:val="nil"/>
                    <w:right w:val="nil"/>
                  </w:tcBorders>
                  <w:vAlign w:val="center"/>
                </w:tcPr>
                <w:p w14:paraId="297662BB"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68.596.398</w:t>
                  </w:r>
                </w:p>
              </w:tc>
              <w:tc>
                <w:tcPr>
                  <w:tcW w:w="1418" w:type="dxa"/>
                  <w:tcBorders>
                    <w:top w:val="nil"/>
                    <w:left w:val="nil"/>
                    <w:bottom w:val="nil"/>
                    <w:right w:val="nil"/>
                  </w:tcBorders>
                  <w:vAlign w:val="center"/>
                </w:tcPr>
                <w:p w14:paraId="3DB66189"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66.993.534</w:t>
                  </w:r>
                </w:p>
              </w:tc>
              <w:tc>
                <w:tcPr>
                  <w:tcW w:w="1057" w:type="dxa"/>
                  <w:tcBorders>
                    <w:top w:val="nil"/>
                    <w:left w:val="nil"/>
                    <w:bottom w:val="nil"/>
                    <w:right w:val="nil"/>
                  </w:tcBorders>
                  <w:vAlign w:val="center"/>
                </w:tcPr>
                <w:p w14:paraId="18C88C7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2,1%</w:t>
                  </w:r>
                </w:p>
              </w:tc>
              <w:tc>
                <w:tcPr>
                  <w:tcW w:w="840" w:type="dxa"/>
                  <w:tcBorders>
                    <w:top w:val="nil"/>
                    <w:left w:val="nil"/>
                    <w:bottom w:val="nil"/>
                    <w:right w:val="nil"/>
                  </w:tcBorders>
                  <w:vAlign w:val="center"/>
                </w:tcPr>
                <w:p w14:paraId="60C087BE"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-2,3%</w:t>
                  </w:r>
                </w:p>
              </w:tc>
              <w:tc>
                <w:tcPr>
                  <w:tcW w:w="1145" w:type="dxa"/>
                  <w:tcBorders>
                    <w:top w:val="nil"/>
                    <w:left w:val="nil"/>
                    <w:bottom w:val="nil"/>
                    <w:right w:val="nil"/>
                  </w:tcBorders>
                  <w:vAlign w:val="center"/>
                </w:tcPr>
                <w:p w14:paraId="552462CF"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-0,1%</w:t>
                  </w:r>
                </w:p>
              </w:tc>
            </w:tr>
            <w:tr w:rsidR="00C522AD" w:rsidRPr="00C522AD" w14:paraId="24E36662" w14:textId="77777777">
              <w:trPr>
                <w:trHeight w:val="206"/>
              </w:trPr>
              <w:tc>
                <w:tcPr>
                  <w:tcW w:w="2619" w:type="dxa"/>
                  <w:tcBorders>
                    <w:top w:val="nil"/>
                    <w:left w:val="nil"/>
                    <w:bottom w:val="nil"/>
                    <w:right w:val="nil"/>
                  </w:tcBorders>
                  <w:vAlign w:val="center"/>
                </w:tcPr>
                <w:p w14:paraId="4FB8B52D"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Francia</w:t>
                  </w:r>
                </w:p>
              </w:tc>
              <w:tc>
                <w:tcPr>
                  <w:tcW w:w="1417" w:type="dxa"/>
                  <w:tcBorders>
                    <w:top w:val="nil"/>
                    <w:left w:val="nil"/>
                    <w:bottom w:val="nil"/>
                    <w:right w:val="nil"/>
                  </w:tcBorders>
                  <w:vAlign w:val="center"/>
                </w:tcPr>
                <w:p w14:paraId="7C0B665F"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75.293.322</w:t>
                  </w:r>
                </w:p>
              </w:tc>
              <w:tc>
                <w:tcPr>
                  <w:tcW w:w="1418" w:type="dxa"/>
                  <w:tcBorders>
                    <w:top w:val="nil"/>
                    <w:left w:val="nil"/>
                    <w:bottom w:val="nil"/>
                    <w:right w:val="nil"/>
                  </w:tcBorders>
                  <w:vAlign w:val="center"/>
                </w:tcPr>
                <w:p w14:paraId="5C634159"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66.098.827</w:t>
                  </w:r>
                </w:p>
              </w:tc>
              <w:tc>
                <w:tcPr>
                  <w:tcW w:w="1057" w:type="dxa"/>
                  <w:tcBorders>
                    <w:top w:val="nil"/>
                    <w:left w:val="nil"/>
                    <w:bottom w:val="nil"/>
                    <w:right w:val="nil"/>
                  </w:tcBorders>
                  <w:vAlign w:val="center"/>
                </w:tcPr>
                <w:p w14:paraId="66CED077"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2,1%</w:t>
                  </w:r>
                </w:p>
              </w:tc>
              <w:tc>
                <w:tcPr>
                  <w:tcW w:w="840" w:type="dxa"/>
                  <w:tcBorders>
                    <w:top w:val="nil"/>
                    <w:left w:val="nil"/>
                    <w:bottom w:val="nil"/>
                    <w:right w:val="nil"/>
                  </w:tcBorders>
                  <w:vAlign w:val="center"/>
                </w:tcPr>
                <w:p w14:paraId="27205CF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-12,2%</w:t>
                  </w:r>
                </w:p>
              </w:tc>
              <w:tc>
                <w:tcPr>
                  <w:tcW w:w="1145" w:type="dxa"/>
                  <w:tcBorders>
                    <w:top w:val="nil"/>
                    <w:left w:val="nil"/>
                    <w:bottom w:val="nil"/>
                    <w:right w:val="nil"/>
                  </w:tcBorders>
                  <w:vAlign w:val="center"/>
                </w:tcPr>
                <w:p w14:paraId="1F9B539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-0,4%</w:t>
                  </w:r>
                </w:p>
              </w:tc>
            </w:tr>
            <w:tr w:rsidR="00C522AD" w:rsidRPr="00C522AD" w14:paraId="5A75D26E" w14:textId="77777777">
              <w:trPr>
                <w:trHeight w:val="206"/>
              </w:trPr>
              <w:tc>
                <w:tcPr>
                  <w:tcW w:w="2619" w:type="dxa"/>
                  <w:tcBorders>
                    <w:top w:val="nil"/>
                    <w:left w:val="nil"/>
                    <w:bottom w:val="nil"/>
                    <w:right w:val="nil"/>
                  </w:tcBorders>
                  <w:vAlign w:val="center"/>
                </w:tcPr>
                <w:p w14:paraId="42DB87DB"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India</w:t>
                  </w:r>
                </w:p>
              </w:tc>
              <w:tc>
                <w:tcPr>
                  <w:tcW w:w="1417" w:type="dxa"/>
                  <w:tcBorders>
                    <w:top w:val="nil"/>
                    <w:left w:val="nil"/>
                    <w:bottom w:val="nil"/>
                    <w:right w:val="nil"/>
                  </w:tcBorders>
                  <w:vAlign w:val="center"/>
                </w:tcPr>
                <w:p w14:paraId="7AF7B69E"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41.310.182</w:t>
                  </w:r>
                </w:p>
              </w:tc>
              <w:tc>
                <w:tcPr>
                  <w:tcW w:w="1418" w:type="dxa"/>
                  <w:tcBorders>
                    <w:top w:val="nil"/>
                    <w:left w:val="nil"/>
                    <w:bottom w:val="nil"/>
                    <w:right w:val="nil"/>
                  </w:tcBorders>
                  <w:vAlign w:val="center"/>
                </w:tcPr>
                <w:p w14:paraId="0C25D858"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57.541.108</w:t>
                  </w:r>
                </w:p>
              </w:tc>
              <w:tc>
                <w:tcPr>
                  <w:tcW w:w="1057" w:type="dxa"/>
                  <w:tcBorders>
                    <w:top w:val="nil"/>
                    <w:left w:val="nil"/>
                    <w:bottom w:val="nil"/>
                    <w:right w:val="nil"/>
                  </w:tcBorders>
                  <w:vAlign w:val="center"/>
                </w:tcPr>
                <w:p w14:paraId="22E94EB5"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1,8%</w:t>
                  </w:r>
                </w:p>
              </w:tc>
              <w:tc>
                <w:tcPr>
                  <w:tcW w:w="840" w:type="dxa"/>
                  <w:tcBorders>
                    <w:top w:val="nil"/>
                    <w:left w:val="nil"/>
                    <w:bottom w:val="nil"/>
                    <w:right w:val="nil"/>
                  </w:tcBorders>
                  <w:vAlign w:val="center"/>
                </w:tcPr>
                <w:p w14:paraId="6B7D4C1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39,3%</w:t>
                  </w:r>
                </w:p>
              </w:tc>
              <w:tc>
                <w:tcPr>
                  <w:tcW w:w="1145" w:type="dxa"/>
                  <w:tcBorders>
                    <w:top w:val="nil"/>
                    <w:left w:val="nil"/>
                    <w:bottom w:val="nil"/>
                    <w:right w:val="nil"/>
                  </w:tcBorders>
                  <w:vAlign w:val="center"/>
                </w:tcPr>
                <w:p w14:paraId="40DC31F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0,8%</w:t>
                  </w:r>
                </w:p>
              </w:tc>
            </w:tr>
            <w:tr w:rsidR="00C522AD" w:rsidRPr="00C522AD" w14:paraId="01DF6848" w14:textId="77777777">
              <w:trPr>
                <w:trHeight w:val="206"/>
              </w:trPr>
              <w:tc>
                <w:tcPr>
                  <w:tcW w:w="2619" w:type="dxa"/>
                  <w:tcBorders>
                    <w:top w:val="nil"/>
                    <w:left w:val="nil"/>
                    <w:bottom w:val="nil"/>
                    <w:right w:val="nil"/>
                  </w:tcBorders>
                  <w:vAlign w:val="center"/>
                </w:tcPr>
                <w:p w14:paraId="7516AFE8"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Australia</w:t>
                  </w:r>
                </w:p>
              </w:tc>
              <w:tc>
                <w:tcPr>
                  <w:tcW w:w="1417" w:type="dxa"/>
                  <w:tcBorders>
                    <w:top w:val="nil"/>
                    <w:left w:val="nil"/>
                    <w:bottom w:val="nil"/>
                    <w:right w:val="nil"/>
                  </w:tcBorders>
                  <w:vAlign w:val="center"/>
                </w:tcPr>
                <w:p w14:paraId="02675158"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48.254.425</w:t>
                  </w:r>
                </w:p>
              </w:tc>
              <w:tc>
                <w:tcPr>
                  <w:tcW w:w="1418" w:type="dxa"/>
                  <w:tcBorders>
                    <w:top w:val="nil"/>
                    <w:left w:val="nil"/>
                    <w:bottom w:val="nil"/>
                    <w:right w:val="nil"/>
                  </w:tcBorders>
                  <w:vAlign w:val="center"/>
                </w:tcPr>
                <w:p w14:paraId="50A84C66"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52.622.637</w:t>
                  </w:r>
                </w:p>
              </w:tc>
              <w:tc>
                <w:tcPr>
                  <w:tcW w:w="1057" w:type="dxa"/>
                  <w:tcBorders>
                    <w:top w:val="nil"/>
                    <w:left w:val="nil"/>
                    <w:bottom w:val="nil"/>
                    <w:right w:val="nil"/>
                  </w:tcBorders>
                  <w:vAlign w:val="center"/>
                </w:tcPr>
                <w:p w14:paraId="6387BE1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1,7%</w:t>
                  </w:r>
                </w:p>
              </w:tc>
              <w:tc>
                <w:tcPr>
                  <w:tcW w:w="840" w:type="dxa"/>
                  <w:tcBorders>
                    <w:top w:val="nil"/>
                    <w:left w:val="nil"/>
                    <w:bottom w:val="nil"/>
                    <w:right w:val="nil"/>
                  </w:tcBorders>
                  <w:vAlign w:val="center"/>
                </w:tcPr>
                <w:p w14:paraId="6993A149"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9,1%</w:t>
                  </w:r>
                </w:p>
              </w:tc>
              <w:tc>
                <w:tcPr>
                  <w:tcW w:w="1145" w:type="dxa"/>
                  <w:tcBorders>
                    <w:top w:val="nil"/>
                    <w:left w:val="nil"/>
                    <w:bottom w:val="nil"/>
                    <w:right w:val="nil"/>
                  </w:tcBorders>
                  <w:vAlign w:val="center"/>
                </w:tcPr>
                <w:p w14:paraId="5F9F6B2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0,2%</w:t>
                  </w:r>
                </w:p>
              </w:tc>
            </w:tr>
            <w:tr w:rsidR="00C522AD" w:rsidRPr="00C522AD" w14:paraId="62ACC67F" w14:textId="77777777">
              <w:trPr>
                <w:trHeight w:val="206"/>
              </w:trPr>
              <w:tc>
                <w:tcPr>
                  <w:tcW w:w="2619" w:type="dxa"/>
                  <w:tcBorders>
                    <w:top w:val="nil"/>
                    <w:left w:val="nil"/>
                    <w:bottom w:val="nil"/>
                    <w:right w:val="nil"/>
                  </w:tcBorders>
                  <w:vAlign w:val="center"/>
                </w:tcPr>
                <w:p w14:paraId="72B037D8"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Norvegia</w:t>
                  </w:r>
                </w:p>
              </w:tc>
              <w:tc>
                <w:tcPr>
                  <w:tcW w:w="1417" w:type="dxa"/>
                  <w:tcBorders>
                    <w:top w:val="nil"/>
                    <w:left w:val="nil"/>
                    <w:bottom w:val="nil"/>
                    <w:right w:val="nil"/>
                  </w:tcBorders>
                  <w:vAlign w:val="center"/>
                </w:tcPr>
                <w:p w14:paraId="6D5B4152"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60.949.074</w:t>
                  </w:r>
                </w:p>
              </w:tc>
              <w:tc>
                <w:tcPr>
                  <w:tcW w:w="1418" w:type="dxa"/>
                  <w:tcBorders>
                    <w:top w:val="nil"/>
                    <w:left w:val="nil"/>
                    <w:bottom w:val="nil"/>
                    <w:right w:val="nil"/>
                  </w:tcBorders>
                  <w:vAlign w:val="center"/>
                </w:tcPr>
                <w:p w14:paraId="60E5CE43"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46.353.135</w:t>
                  </w:r>
                </w:p>
              </w:tc>
              <w:tc>
                <w:tcPr>
                  <w:tcW w:w="1057" w:type="dxa"/>
                  <w:tcBorders>
                    <w:top w:val="nil"/>
                    <w:left w:val="nil"/>
                    <w:bottom w:val="nil"/>
                    <w:right w:val="nil"/>
                  </w:tcBorders>
                  <w:vAlign w:val="center"/>
                </w:tcPr>
                <w:p w14:paraId="6B26DAB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1,5%</w:t>
                  </w:r>
                </w:p>
              </w:tc>
              <w:tc>
                <w:tcPr>
                  <w:tcW w:w="840" w:type="dxa"/>
                  <w:tcBorders>
                    <w:top w:val="nil"/>
                    <w:left w:val="nil"/>
                    <w:bottom w:val="nil"/>
                    <w:right w:val="nil"/>
                  </w:tcBorders>
                  <w:vAlign w:val="center"/>
                </w:tcPr>
                <w:p w14:paraId="4CA0D04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-23,9%</w:t>
                  </w:r>
                </w:p>
              </w:tc>
              <w:tc>
                <w:tcPr>
                  <w:tcW w:w="1145" w:type="dxa"/>
                  <w:tcBorders>
                    <w:top w:val="nil"/>
                    <w:left w:val="nil"/>
                    <w:bottom w:val="nil"/>
                    <w:right w:val="nil"/>
                  </w:tcBorders>
                  <w:vAlign w:val="center"/>
                </w:tcPr>
                <w:p w14:paraId="5062358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-0,7%</w:t>
                  </w:r>
                </w:p>
              </w:tc>
            </w:tr>
            <w:tr w:rsidR="00C522AD" w:rsidRPr="00C522AD" w14:paraId="77E88692" w14:textId="77777777">
              <w:trPr>
                <w:trHeight w:val="206"/>
              </w:trPr>
              <w:tc>
                <w:tcPr>
                  <w:tcW w:w="2619" w:type="dxa"/>
                  <w:tcBorders>
                    <w:top w:val="nil"/>
                    <w:left w:val="nil"/>
                    <w:bottom w:val="nil"/>
                    <w:right w:val="nil"/>
                  </w:tcBorders>
                  <w:vAlign w:val="center"/>
                </w:tcPr>
                <w:p w14:paraId="1947EE66"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Altro</w:t>
                  </w:r>
                </w:p>
              </w:tc>
              <w:tc>
                <w:tcPr>
                  <w:tcW w:w="1417" w:type="dxa"/>
                  <w:tcBorders>
                    <w:top w:val="nil"/>
                    <w:left w:val="nil"/>
                    <w:bottom w:val="nil"/>
                    <w:right w:val="nil"/>
                  </w:tcBorders>
                </w:tcPr>
                <w:p w14:paraId="779186FC"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659.373.487</w:t>
                  </w:r>
                </w:p>
              </w:tc>
              <w:tc>
                <w:tcPr>
                  <w:tcW w:w="1418" w:type="dxa"/>
                  <w:tcBorders>
                    <w:top w:val="nil"/>
                    <w:left w:val="nil"/>
                    <w:bottom w:val="nil"/>
                    <w:right w:val="nil"/>
                  </w:tcBorders>
                </w:tcPr>
                <w:p w14:paraId="24F459C6"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694.779.611</w:t>
                  </w:r>
                </w:p>
              </w:tc>
              <w:tc>
                <w:tcPr>
                  <w:tcW w:w="1057" w:type="dxa"/>
                  <w:tcBorders>
                    <w:top w:val="nil"/>
                    <w:left w:val="nil"/>
                    <w:bottom w:val="nil"/>
                    <w:right w:val="nil"/>
                  </w:tcBorders>
                </w:tcPr>
                <w:p w14:paraId="4D24CDE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22,0%</w:t>
                  </w:r>
                </w:p>
              </w:tc>
              <w:tc>
                <w:tcPr>
                  <w:tcW w:w="840" w:type="dxa"/>
                  <w:tcBorders>
                    <w:top w:val="nil"/>
                    <w:left w:val="nil"/>
                    <w:bottom w:val="nil"/>
                    <w:right w:val="nil"/>
                  </w:tcBorders>
                </w:tcPr>
                <w:p w14:paraId="17FB1F7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5,4%</w:t>
                  </w:r>
                </w:p>
              </w:tc>
              <w:tc>
                <w:tcPr>
                  <w:tcW w:w="1145" w:type="dxa"/>
                  <w:tcBorders>
                    <w:top w:val="nil"/>
                    <w:left w:val="nil"/>
                    <w:bottom w:val="nil"/>
                    <w:right w:val="nil"/>
                  </w:tcBorders>
                </w:tcPr>
                <w:p w14:paraId="17F39D5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1,7%</w:t>
                  </w:r>
                </w:p>
              </w:tc>
            </w:tr>
            <w:tr w:rsidR="00C522AD" w:rsidRPr="00C522AD" w14:paraId="2CE6DAA3" w14:textId="77777777">
              <w:trPr>
                <w:trHeight w:val="206"/>
              </w:trPr>
              <w:tc>
                <w:tcPr>
                  <w:tcW w:w="2619" w:type="dxa"/>
                  <w:tcBorders>
                    <w:top w:val="single" w:sz="4" w:space="0" w:color="000000"/>
                    <w:left w:val="nil"/>
                    <w:bottom w:val="single" w:sz="4" w:space="0" w:color="000000"/>
                    <w:right w:val="nil"/>
                  </w:tcBorders>
                  <w:vAlign w:val="center"/>
                </w:tcPr>
                <w:p w14:paraId="2E7F7910"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b/>
                      <w:bCs/>
                    </w:rPr>
                    <w:t>Totale</w:t>
                  </w:r>
                </w:p>
              </w:tc>
              <w:tc>
                <w:tcPr>
                  <w:tcW w:w="1417" w:type="dxa"/>
                  <w:tcBorders>
                    <w:top w:val="single" w:sz="4" w:space="0" w:color="000000"/>
                    <w:left w:val="nil"/>
                    <w:bottom w:val="single" w:sz="4" w:space="0" w:color="000000"/>
                    <w:right w:val="nil"/>
                  </w:tcBorders>
                </w:tcPr>
                <w:p w14:paraId="6B54358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2.102.562.747</w:t>
                  </w:r>
                </w:p>
              </w:tc>
              <w:tc>
                <w:tcPr>
                  <w:tcW w:w="1418" w:type="dxa"/>
                  <w:tcBorders>
                    <w:top w:val="single" w:sz="4" w:space="0" w:color="000000"/>
                    <w:left w:val="nil"/>
                    <w:bottom w:val="single" w:sz="4" w:space="0" w:color="000000"/>
                    <w:right w:val="nil"/>
                  </w:tcBorders>
                </w:tcPr>
                <w:p w14:paraId="18973AC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3.162.755.647</w:t>
                  </w:r>
                </w:p>
              </w:tc>
              <w:tc>
                <w:tcPr>
                  <w:tcW w:w="1057" w:type="dxa"/>
                  <w:tcBorders>
                    <w:top w:val="single" w:sz="4" w:space="0" w:color="000000"/>
                    <w:left w:val="nil"/>
                    <w:bottom w:val="single" w:sz="4" w:space="0" w:color="000000"/>
                    <w:right w:val="nil"/>
                  </w:tcBorders>
                </w:tcPr>
                <w:p w14:paraId="7CB725D4"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100,0%</w:t>
                  </w:r>
                </w:p>
              </w:tc>
              <w:tc>
                <w:tcPr>
                  <w:tcW w:w="840" w:type="dxa"/>
                  <w:tcBorders>
                    <w:top w:val="single" w:sz="4" w:space="0" w:color="000000"/>
                    <w:left w:val="nil"/>
                    <w:bottom w:val="single" w:sz="4" w:space="0" w:color="000000"/>
                    <w:right w:val="nil"/>
                  </w:tcBorders>
                </w:tcPr>
                <w:p w14:paraId="19333D0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50,4%</w:t>
                  </w:r>
                </w:p>
              </w:tc>
              <w:tc>
                <w:tcPr>
                  <w:tcW w:w="1145" w:type="dxa"/>
                  <w:tcBorders>
                    <w:top w:val="single" w:sz="4" w:space="0" w:color="000000"/>
                    <w:left w:val="nil"/>
                    <w:bottom w:val="single" w:sz="4" w:space="0" w:color="000000"/>
                    <w:right w:val="nil"/>
                  </w:tcBorders>
                </w:tcPr>
                <w:p w14:paraId="5DB96865"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i/>
                      <w:iCs/>
                    </w:rPr>
                    <w:t>50,4%</w:t>
                  </w:r>
                </w:p>
              </w:tc>
            </w:tr>
            <w:tr w:rsidR="00C522AD" w:rsidRPr="00C522AD" w14:paraId="52B94966" w14:textId="77777777">
              <w:trPr>
                <w:trHeight w:val="206"/>
              </w:trPr>
              <w:tc>
                <w:tcPr>
                  <w:tcW w:w="8496" w:type="dxa"/>
                  <w:gridSpan w:val="6"/>
                  <w:tcBorders>
                    <w:top w:val="single" w:sz="4" w:space="0" w:color="000000"/>
                    <w:left w:val="nil"/>
                    <w:right w:val="nil"/>
                  </w:tcBorders>
                  <w:vAlign w:val="center"/>
                </w:tcPr>
                <w:p w14:paraId="2F5E60EE" w14:textId="02A6C78A"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i/>
                      <w:iCs/>
                    </w:rPr>
                    <w:t>Fonte: Elaborazioni Camera di Commercio Toscana Nord-Ovest-ISR su dati Istat (dati 2025 provvisori)</w:t>
                  </w:r>
                </w:p>
              </w:tc>
            </w:tr>
            <w:tr w:rsidR="00C522AD" w:rsidRPr="00C522AD" w14:paraId="5A25A795" w14:textId="77777777">
              <w:trPr>
                <w:trHeight w:val="80"/>
              </w:trPr>
              <w:tc>
                <w:tcPr>
                  <w:tcW w:w="8496" w:type="dxa"/>
                  <w:gridSpan w:val="6"/>
                  <w:tcBorders>
                    <w:left w:val="nil"/>
                    <w:right w:val="nil"/>
                  </w:tcBorders>
                  <w:vAlign w:val="center"/>
                </w:tcPr>
                <w:p w14:paraId="2941BE13" w14:textId="77777777" w:rsidR="00C91C1B" w:rsidRPr="00C522AD" w:rsidRDefault="00C91C1B">
                  <w:pPr>
                    <w:pBdr>
                      <w:top w:val="nil"/>
                      <w:left w:val="nil"/>
                      <w:bottom w:val="nil"/>
                      <w:right w:val="nil"/>
                      <w:between w:val="nil"/>
                    </w:pBdr>
                  </w:pPr>
                </w:p>
              </w:tc>
            </w:tr>
          </w:tbl>
          <w:p w14:paraId="719AE04F" w14:textId="77777777" w:rsidR="00C91C1B" w:rsidRPr="00C522AD" w:rsidRDefault="00C91C1B">
            <w:pPr>
              <w:pBdr>
                <w:top w:val="nil"/>
                <w:left w:val="nil"/>
                <w:bottom w:val="nil"/>
                <w:right w:val="nil"/>
                <w:between w:val="nil"/>
              </w:pBdr>
              <w:rPr>
                <w:rFonts w:ascii="Calibri" w:eastAsia="Calibri" w:hAnsi="Calibri" w:cs="Calibri"/>
              </w:rPr>
            </w:pPr>
          </w:p>
        </w:tc>
      </w:tr>
    </w:tbl>
    <w:p w14:paraId="694CE54A" w14:textId="77777777" w:rsidR="00070AE0" w:rsidRPr="00C522AD" w:rsidRDefault="00070AE0" w:rsidP="00070AE0">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sz w:val="24"/>
          <w:szCs w:val="24"/>
        </w:rPr>
        <w:lastRenderedPageBreak/>
        <w:t>Al contrario, l’export verso l’Europa ha evidenziato un indebolimento, con flessioni in Germania (95 milioni; -21,5%) e Francia (66 milioni; -12,2%), a fronte di un calo della Norvegia (46 milioni; -23,9%).</w:t>
      </w:r>
    </w:p>
    <w:p w14:paraId="4A9488E1" w14:textId="46053E45" w:rsidR="00C91C1B" w:rsidRPr="00C522AD" w:rsidRDefault="00070AE0" w:rsidP="00070AE0">
      <w:pPr>
        <w:pBdr>
          <w:top w:val="nil"/>
          <w:left w:val="nil"/>
          <w:bottom w:val="nil"/>
          <w:right w:val="nil"/>
          <w:between w:val="nil"/>
        </w:pBdr>
        <w:jc w:val="both"/>
        <w:rPr>
          <w:rFonts w:ascii="Calibri" w:eastAsia="Calibri" w:hAnsi="Calibri" w:cs="Calibri"/>
          <w:sz w:val="28"/>
          <w:szCs w:val="28"/>
        </w:rPr>
      </w:pPr>
      <w:r w:rsidRPr="00C522AD">
        <w:rPr>
          <w:rFonts w:ascii="Calibri" w:eastAsia="Calibri" w:hAnsi="Calibri" w:cs="Calibri"/>
          <w:sz w:val="24"/>
          <w:szCs w:val="24"/>
        </w:rPr>
        <w:t>L’export provinciale è risultato fortemente concentrato in pochi mercati: i primi tre paesi (Stati Uniti, Corea del Sud e Cina) rappresentano complessivamente circa il 40% delle esportazioni. Gli Stati Uniti hanno consolidato il proprio primato grazie alla crescita diffusa di più comparti, mentre la Corea del Sud è emersa come nuovo mercato, trainando in modo decisivo l’espansione complessiva. La Cina, pur mantenendo un ruolo centrale, ha mostrato una crescita più contenuta rispetto ad altri mercati emergenti. In Europa, la Germania ha perso peso relativo, mentre si sono rafforzati nuovi poli extra-europei, come le Isole Cayman (217 milioni; +182,3%) e Singapore (69 milioni; +505,9%) a conferma dell’elevata volatilità e concentrazione geografica dell’export apuano.</w:t>
      </w:r>
      <w:r w:rsidR="00C227BB" w:rsidRPr="00C522AD">
        <w:br w:type="page"/>
      </w:r>
      <w:r w:rsidR="00C227BB" w:rsidRPr="00C522AD">
        <w:rPr>
          <w:rFonts w:ascii="Calibri" w:eastAsia="Calibri" w:hAnsi="Calibri" w:cs="Calibri"/>
          <w:b/>
          <w:bCs/>
          <w:sz w:val="28"/>
          <w:szCs w:val="28"/>
        </w:rPr>
        <w:lastRenderedPageBreak/>
        <w:t>L’ANDAMENTO DELL’EXPORT DELLA PROVINCIA DI PISA</w:t>
      </w:r>
    </w:p>
    <w:p w14:paraId="68C28F6D" w14:textId="77777777" w:rsidR="00C91C1B" w:rsidRPr="00C522AD" w:rsidRDefault="00C227BB" w:rsidP="00070AE0">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b/>
          <w:bCs/>
          <w:sz w:val="24"/>
          <w:szCs w:val="24"/>
        </w:rPr>
        <w:t>La dinamica provinciale</w:t>
      </w:r>
    </w:p>
    <w:p w14:paraId="0B05479B" w14:textId="574215AD"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Nel 2025 l’export della provincia di Pisa ha mostrato un moderato recupero, con una crescita del 2% rispetto al 2024 attestandosi a 3 miliardi e 394 milioni di euro in valore delle merci vendute. Si tratta di un dato positivo anche se lontano dalla forte espansione registrata a livello regionale (+21,3%) e più in linea a quello nazionale (+3,3%). Nell’ambito dell’Area Toscana Nord-Ovest, Pisa ha evidenziato una dinamica più debole rispetto alla media (+9%) un risultato, quest'ultimo, che ha risentito tuttavia in modo significativo della forte crescita della provincia di Massa-Carrara (+50,4%), legata in larga parte a commesse straordinarie del comparto meccanico che hanno inciso in maniera determinante sul dato aggregato dell’area. Le importazioni sono invece aumentate del 3,7% attestandosi a 2 miliardi e 146 milioni di euro e segnalando una ripresa della domanda interna e dei cicli produttivi, sebbene in un contesto ancora caratterizzato da una crescita complessiva moderata degli scambi commerciali provinciali.</w:t>
      </w:r>
    </w:p>
    <w:p w14:paraId="6498B436" w14:textId="77777777" w:rsidR="00C91C1B" w:rsidRPr="00C522AD" w:rsidRDefault="00C227BB">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b/>
          <w:bCs/>
          <w:sz w:val="24"/>
          <w:szCs w:val="24"/>
        </w:rPr>
        <w:t>Gli andamenti settoriali</w:t>
      </w:r>
    </w:p>
    <w:p w14:paraId="55584F53" w14:textId="4C4B3158" w:rsidR="009233CF"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Nel contesto della moderata ripresa dell’export pisano nel 2025, i </w:t>
      </w:r>
      <w:r w:rsidRPr="00C522AD">
        <w:rPr>
          <w:rFonts w:ascii="Calibri" w:eastAsia="Calibri" w:hAnsi="Calibri" w:cs="Calibri"/>
          <w:b/>
          <w:bCs/>
          <w:sz w:val="24"/>
          <w:szCs w:val="24"/>
        </w:rPr>
        <w:t>cicli e motocicli</w:t>
      </w:r>
      <w:r w:rsidRPr="00C522AD">
        <w:rPr>
          <w:rFonts w:ascii="Calibri" w:eastAsia="Calibri" w:hAnsi="Calibri" w:cs="Calibri"/>
          <w:sz w:val="24"/>
          <w:szCs w:val="24"/>
        </w:rPr>
        <w:t xml:space="preserve"> si sono confermati il primo comparto per valore esportato, con 631 milioni di euro, corrispondente al 18,6% del totale, nonostante una flessione del</w:t>
      </w:r>
      <w:r w:rsidR="009233CF" w:rsidRPr="00C522AD">
        <w:rPr>
          <w:rFonts w:ascii="Calibri" w:eastAsia="Calibri" w:hAnsi="Calibri" w:cs="Calibri"/>
          <w:sz w:val="24"/>
          <w:szCs w:val="24"/>
        </w:rPr>
        <w:t>l’</w:t>
      </w:r>
      <w:r w:rsidRPr="00C522AD">
        <w:rPr>
          <w:rFonts w:ascii="Calibri" w:eastAsia="Calibri" w:hAnsi="Calibri" w:cs="Calibri"/>
          <w:sz w:val="24"/>
          <w:szCs w:val="24"/>
        </w:rPr>
        <w:t>11,2% rispetto al 2024 (-80 milioni). La Germania ha conservato il primato tra i mercati di destinazione con 157 milioni di euro, pur registrando una contrazione del 10,3% (18 milioni di euro</w:t>
      </w:r>
      <w:r w:rsidR="009233CF" w:rsidRPr="00C522AD">
        <w:rPr>
          <w:rFonts w:ascii="Calibri" w:eastAsia="Calibri" w:hAnsi="Calibri" w:cs="Calibri"/>
          <w:sz w:val="24"/>
          <w:szCs w:val="24"/>
        </w:rPr>
        <w:t xml:space="preserve"> in meno</w:t>
      </w:r>
      <w:r w:rsidRPr="00C522AD">
        <w:rPr>
          <w:rFonts w:ascii="Calibri" w:eastAsia="Calibri" w:hAnsi="Calibri" w:cs="Calibri"/>
          <w:sz w:val="24"/>
          <w:szCs w:val="24"/>
        </w:rPr>
        <w:t>). In seconda posizione si è collocata la Spagna, uno dei pochi mercati in crescita tra i principali, con</w:t>
      </w:r>
      <w:r w:rsidR="009B388B" w:rsidRPr="00C522AD">
        <w:rPr>
          <w:rFonts w:ascii="Calibri" w:eastAsia="Calibri" w:hAnsi="Calibri" w:cs="Calibri"/>
          <w:sz w:val="24"/>
          <w:szCs w:val="24"/>
        </w:rPr>
        <w:t xml:space="preserve"> quasi</w:t>
      </w:r>
      <w:r w:rsidRPr="00C522AD">
        <w:rPr>
          <w:rFonts w:ascii="Calibri" w:eastAsia="Calibri" w:hAnsi="Calibri" w:cs="Calibri"/>
          <w:sz w:val="24"/>
          <w:szCs w:val="24"/>
        </w:rPr>
        <w:t xml:space="preserve"> 64 milioni di euro e un incremento del 2%. </w:t>
      </w:r>
      <w:r w:rsidR="00105523" w:rsidRPr="00C522AD">
        <w:rPr>
          <w:rFonts w:ascii="Calibri" w:eastAsia="Calibri" w:hAnsi="Calibri" w:cs="Calibri"/>
          <w:sz w:val="24"/>
          <w:szCs w:val="24"/>
        </w:rPr>
        <w:t>M</w:t>
      </w:r>
      <w:r w:rsidRPr="00C522AD">
        <w:rPr>
          <w:rFonts w:ascii="Calibri" w:eastAsia="Calibri" w:hAnsi="Calibri" w:cs="Calibri"/>
          <w:sz w:val="24"/>
          <w:szCs w:val="24"/>
        </w:rPr>
        <w:t xml:space="preserve">arcata è risultata invece la flessione </w:t>
      </w:r>
      <w:r w:rsidR="009233CF" w:rsidRPr="00C522AD">
        <w:rPr>
          <w:rFonts w:ascii="Calibri" w:eastAsia="Calibri" w:hAnsi="Calibri" w:cs="Calibri"/>
          <w:sz w:val="24"/>
          <w:szCs w:val="24"/>
        </w:rPr>
        <w:t>d</w:t>
      </w:r>
      <w:r w:rsidRPr="00C522AD">
        <w:rPr>
          <w:rFonts w:ascii="Calibri" w:eastAsia="Calibri" w:hAnsi="Calibri" w:cs="Calibri"/>
          <w:sz w:val="24"/>
          <w:szCs w:val="24"/>
        </w:rPr>
        <w:t>ella Francia che, con 63 milioni di euro, ha perso il 20,6% (-16 milioni). Dinamiche negative hanno contraddistinto anche gli altri partner europei come l’Austria (-7,3%),</w:t>
      </w:r>
      <w:r w:rsidR="009233CF" w:rsidRPr="00C522AD">
        <w:rPr>
          <w:rFonts w:ascii="Calibri" w:eastAsia="Calibri" w:hAnsi="Calibri" w:cs="Calibri"/>
          <w:sz w:val="24"/>
          <w:szCs w:val="24"/>
        </w:rPr>
        <w:t xml:space="preserve"> la Grecia (-7,5%),</w:t>
      </w:r>
      <w:r w:rsidRPr="00C522AD">
        <w:rPr>
          <w:rFonts w:ascii="Calibri" w:eastAsia="Calibri" w:hAnsi="Calibri" w:cs="Calibri"/>
          <w:sz w:val="24"/>
          <w:szCs w:val="24"/>
        </w:rPr>
        <w:t xml:space="preserve"> i Paesi Bassi (-10%)</w:t>
      </w:r>
      <w:r w:rsidR="009233CF" w:rsidRPr="00C522AD">
        <w:rPr>
          <w:rFonts w:ascii="Calibri" w:eastAsia="Calibri" w:hAnsi="Calibri" w:cs="Calibri"/>
          <w:sz w:val="24"/>
          <w:szCs w:val="24"/>
        </w:rPr>
        <w:t xml:space="preserve"> e la Svezia (-90,5%)</w:t>
      </w:r>
      <w:r w:rsidRPr="00C522AD">
        <w:rPr>
          <w:rFonts w:ascii="Calibri" w:eastAsia="Calibri" w:hAnsi="Calibri" w:cs="Calibri"/>
          <w:sz w:val="24"/>
          <w:szCs w:val="24"/>
        </w:rPr>
        <w:t>. In controtendenza invece la Polonia (+26,9%), la Svizzera (+6,4%) e il Regno Unito (+4%). Fuori dall’Europa il quadro è risultato ancora più debole. Gli Stati Uniti, principale mercato extra-UE, hanno registrato una forte contrazione del 29,1%, scendendo a 43 milioni di euro (-18 milioni)</w:t>
      </w:r>
      <w:r w:rsidR="009233CF" w:rsidRPr="00C522AD">
        <w:rPr>
          <w:rFonts w:ascii="Calibri" w:eastAsia="Calibri" w:hAnsi="Calibri" w:cs="Calibri"/>
          <w:sz w:val="24"/>
          <w:szCs w:val="24"/>
        </w:rPr>
        <w:t xml:space="preserve">, e </w:t>
      </w:r>
      <w:r w:rsidR="006309DA" w:rsidRPr="00C522AD">
        <w:rPr>
          <w:rFonts w:ascii="Calibri" w:eastAsia="Calibri" w:hAnsi="Calibri" w:cs="Calibri"/>
          <w:sz w:val="24"/>
          <w:szCs w:val="24"/>
        </w:rPr>
        <w:t xml:space="preserve">significativi </w:t>
      </w:r>
      <w:r w:rsidR="009233CF" w:rsidRPr="00C522AD">
        <w:rPr>
          <w:rFonts w:ascii="Calibri" w:eastAsia="Calibri" w:hAnsi="Calibri" w:cs="Calibri"/>
          <w:sz w:val="24"/>
          <w:szCs w:val="24"/>
        </w:rPr>
        <w:t>cal</w:t>
      </w:r>
      <w:r w:rsidR="006309DA" w:rsidRPr="00C522AD">
        <w:rPr>
          <w:rFonts w:ascii="Calibri" w:eastAsia="Calibri" w:hAnsi="Calibri" w:cs="Calibri"/>
          <w:sz w:val="24"/>
          <w:szCs w:val="24"/>
        </w:rPr>
        <w:t xml:space="preserve">i hanno interessato anche le vendite in </w:t>
      </w:r>
      <w:r w:rsidR="009233CF" w:rsidRPr="00C522AD">
        <w:rPr>
          <w:rFonts w:ascii="Calibri" w:eastAsia="Calibri" w:hAnsi="Calibri" w:cs="Calibri"/>
          <w:sz w:val="24"/>
          <w:szCs w:val="24"/>
        </w:rPr>
        <w:t>Turchia (-25,4%), Canada (-22,2%) e</w:t>
      </w:r>
      <w:r w:rsidR="006309DA" w:rsidRPr="00C522AD">
        <w:rPr>
          <w:rFonts w:ascii="Calibri" w:eastAsia="Calibri" w:hAnsi="Calibri" w:cs="Calibri"/>
          <w:sz w:val="24"/>
          <w:szCs w:val="24"/>
        </w:rPr>
        <w:t>d</w:t>
      </w:r>
      <w:r w:rsidR="009233CF" w:rsidRPr="00C522AD">
        <w:rPr>
          <w:rFonts w:ascii="Calibri" w:eastAsia="Calibri" w:hAnsi="Calibri" w:cs="Calibri"/>
          <w:sz w:val="24"/>
          <w:szCs w:val="24"/>
        </w:rPr>
        <w:t xml:space="preserve"> Emirati Arabi Uniti (-54,2%).</w:t>
      </w:r>
    </w:p>
    <w:p w14:paraId="1659CC5D" w14:textId="31FFCA41"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I dati relativi all’export del </w:t>
      </w:r>
      <w:r w:rsidRPr="00C522AD">
        <w:rPr>
          <w:rFonts w:ascii="Calibri" w:eastAsia="Calibri" w:hAnsi="Calibri" w:cs="Calibri"/>
          <w:b/>
          <w:bCs/>
          <w:sz w:val="24"/>
          <w:szCs w:val="24"/>
        </w:rPr>
        <w:t xml:space="preserve">“sistema moda” </w:t>
      </w:r>
      <w:r w:rsidRPr="00C522AD">
        <w:rPr>
          <w:rFonts w:ascii="Calibri" w:eastAsia="Calibri" w:hAnsi="Calibri" w:cs="Calibri"/>
          <w:sz w:val="24"/>
          <w:szCs w:val="24"/>
        </w:rPr>
        <w:t xml:space="preserve">pisano hanno confermato anche nel 2025 una fase di difficoltà, pur con andamenti differenziati al suo interno. Nel comparto, il settore </w:t>
      </w:r>
      <w:r w:rsidRPr="00C522AD">
        <w:rPr>
          <w:rFonts w:ascii="Calibri" w:eastAsia="Calibri" w:hAnsi="Calibri" w:cs="Calibri"/>
          <w:b/>
          <w:bCs/>
          <w:sz w:val="24"/>
          <w:szCs w:val="24"/>
        </w:rPr>
        <w:t xml:space="preserve">cuoio </w:t>
      </w:r>
      <w:r w:rsidRPr="00C522AD">
        <w:rPr>
          <w:rFonts w:ascii="Calibri" w:eastAsia="Calibri" w:hAnsi="Calibri" w:cs="Calibri"/>
          <w:sz w:val="24"/>
          <w:szCs w:val="24"/>
        </w:rPr>
        <w:t>ha registrato una flessione del 5,8%, con un valore complessivo di vendite oltre confine pari a 532 milioni di euro, in calo di oltre 32 milioni rispetto al 2024.</w:t>
      </w:r>
    </w:p>
    <w:p w14:paraId="74A8B849" w14:textId="58A69F66"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A sostenere il comparto hanno continuato a contribuire anzitutto le principali destinazioni commerciali. In primo luogo la Francia, che ha consolidato il primato con oltre 140 milioni di euro di acquisti e una crescita del 4,8% rispetto al 2024, confermandosi il principale mercato di sbocco. Segno positivo confermato anche in Germania (+16,2%</w:t>
      </w:r>
      <w:r w:rsidR="00066656" w:rsidRPr="00C522AD">
        <w:rPr>
          <w:rFonts w:ascii="Calibri" w:eastAsia="Calibri" w:hAnsi="Calibri" w:cs="Calibri"/>
          <w:sz w:val="24"/>
          <w:szCs w:val="24"/>
        </w:rPr>
        <w:t>;</w:t>
      </w:r>
      <w:r w:rsidR="00614AB0" w:rsidRPr="00C522AD">
        <w:rPr>
          <w:rFonts w:ascii="Calibri" w:eastAsia="Calibri" w:hAnsi="Calibri" w:cs="Calibri"/>
          <w:sz w:val="24"/>
          <w:szCs w:val="24"/>
        </w:rPr>
        <w:t xml:space="preserve"> 38 milioni</w:t>
      </w:r>
      <w:r w:rsidRPr="00C522AD">
        <w:rPr>
          <w:rFonts w:ascii="Calibri" w:eastAsia="Calibri" w:hAnsi="Calibri" w:cs="Calibri"/>
          <w:sz w:val="24"/>
          <w:szCs w:val="24"/>
        </w:rPr>
        <w:t>) e in Portogallo (+5,7%</w:t>
      </w:r>
      <w:r w:rsidR="00066656" w:rsidRPr="00C522AD">
        <w:rPr>
          <w:rFonts w:ascii="Calibri" w:eastAsia="Calibri" w:hAnsi="Calibri" w:cs="Calibri"/>
          <w:sz w:val="24"/>
          <w:szCs w:val="24"/>
        </w:rPr>
        <w:t>;</w:t>
      </w:r>
      <w:r w:rsidR="00614AB0" w:rsidRPr="00C522AD">
        <w:rPr>
          <w:rFonts w:ascii="Calibri" w:eastAsia="Calibri" w:hAnsi="Calibri" w:cs="Calibri"/>
          <w:sz w:val="24"/>
          <w:szCs w:val="24"/>
        </w:rPr>
        <w:t xml:space="preserve"> 35 milioni</w:t>
      </w:r>
      <w:r w:rsidRPr="00C522AD">
        <w:rPr>
          <w:rFonts w:ascii="Calibri" w:eastAsia="Calibri" w:hAnsi="Calibri" w:cs="Calibri"/>
          <w:sz w:val="24"/>
          <w:szCs w:val="24"/>
        </w:rPr>
        <w:t>)</w:t>
      </w:r>
      <w:r w:rsidR="00614AB0" w:rsidRPr="00C522AD">
        <w:rPr>
          <w:rFonts w:ascii="Calibri" w:eastAsia="Calibri" w:hAnsi="Calibri" w:cs="Calibri"/>
          <w:sz w:val="24"/>
          <w:szCs w:val="24"/>
        </w:rPr>
        <w:t>.</w:t>
      </w:r>
      <w:r w:rsidRPr="00C522AD">
        <w:rPr>
          <w:rFonts w:ascii="Calibri" w:eastAsia="Calibri" w:hAnsi="Calibri" w:cs="Calibri"/>
          <w:sz w:val="24"/>
          <w:szCs w:val="24"/>
        </w:rPr>
        <w:t xml:space="preserve"> Sono cresciute inoltre le vendite in Giappone (+35,6%), in Messico (+16,1%), in Corea del Sud (+24,8%), in Turchia (+43,8%)</w:t>
      </w:r>
      <w:r w:rsidR="00B22EF9" w:rsidRPr="00C522AD">
        <w:rPr>
          <w:rFonts w:ascii="Calibri" w:eastAsia="Calibri" w:hAnsi="Calibri" w:cs="Calibri"/>
          <w:sz w:val="24"/>
          <w:szCs w:val="24"/>
        </w:rPr>
        <w:t>,</w:t>
      </w:r>
      <w:r w:rsidRPr="00C522AD">
        <w:rPr>
          <w:rFonts w:ascii="Calibri" w:eastAsia="Calibri" w:hAnsi="Calibri" w:cs="Calibri"/>
          <w:sz w:val="24"/>
          <w:szCs w:val="24"/>
        </w:rPr>
        <w:t xml:space="preserve"> </w:t>
      </w:r>
      <w:r w:rsidR="00B22EF9" w:rsidRPr="00C522AD">
        <w:rPr>
          <w:rFonts w:ascii="Calibri" w:eastAsia="Calibri" w:hAnsi="Calibri" w:cs="Calibri"/>
          <w:sz w:val="24"/>
          <w:szCs w:val="24"/>
        </w:rPr>
        <w:t>nella Repubblica Dominicana e</w:t>
      </w:r>
      <w:r w:rsidRPr="00C522AD">
        <w:rPr>
          <w:rFonts w:ascii="Calibri" w:eastAsia="Calibri" w:hAnsi="Calibri" w:cs="Calibri"/>
          <w:sz w:val="24"/>
          <w:szCs w:val="24"/>
        </w:rPr>
        <w:t xml:space="preserve"> in Australia</w:t>
      </w:r>
      <w:r w:rsidR="00B22EF9" w:rsidRPr="00C522AD">
        <w:rPr>
          <w:rFonts w:ascii="Calibri" w:eastAsia="Calibri" w:hAnsi="Calibri" w:cs="Calibri"/>
          <w:sz w:val="24"/>
          <w:szCs w:val="24"/>
        </w:rPr>
        <w:t>.</w:t>
      </w:r>
      <w:r w:rsidR="00066656" w:rsidRPr="00C522AD">
        <w:rPr>
          <w:rFonts w:ascii="Calibri" w:eastAsia="Calibri" w:hAnsi="Calibri" w:cs="Calibri"/>
          <w:sz w:val="24"/>
          <w:szCs w:val="24"/>
        </w:rPr>
        <w:t xml:space="preserve"> </w:t>
      </w:r>
      <w:r w:rsidRPr="00C522AD">
        <w:rPr>
          <w:rFonts w:ascii="Calibri" w:eastAsia="Calibri" w:hAnsi="Calibri" w:cs="Calibri"/>
          <w:sz w:val="24"/>
          <w:szCs w:val="24"/>
        </w:rPr>
        <w:t xml:space="preserve">A ridimensionare sensibilmente il quadro hanno contribuito tuttavia le flessioni registrate in diversi mercati di riferimento. In particolare </w:t>
      </w:r>
      <w:r w:rsidR="00614AB0" w:rsidRPr="00C522AD">
        <w:rPr>
          <w:rFonts w:ascii="Calibri" w:eastAsia="Calibri" w:hAnsi="Calibri" w:cs="Calibri"/>
          <w:sz w:val="24"/>
          <w:szCs w:val="24"/>
        </w:rPr>
        <w:t>la</w:t>
      </w:r>
      <w:r w:rsidRPr="00C522AD">
        <w:rPr>
          <w:rFonts w:ascii="Calibri" w:eastAsia="Calibri" w:hAnsi="Calibri" w:cs="Calibri"/>
          <w:sz w:val="24"/>
          <w:szCs w:val="24"/>
        </w:rPr>
        <w:t xml:space="preserve"> Spagna, secondo mercato di sbocco</w:t>
      </w:r>
      <w:r w:rsidR="00B22EF9" w:rsidRPr="00C522AD">
        <w:rPr>
          <w:rFonts w:ascii="Calibri" w:eastAsia="Calibri" w:hAnsi="Calibri" w:cs="Calibri"/>
          <w:sz w:val="24"/>
          <w:szCs w:val="24"/>
        </w:rPr>
        <w:t xml:space="preserve"> con 70 milioni di euro</w:t>
      </w:r>
      <w:r w:rsidRPr="00C522AD">
        <w:rPr>
          <w:rFonts w:ascii="Calibri" w:eastAsia="Calibri" w:hAnsi="Calibri" w:cs="Calibri"/>
          <w:sz w:val="24"/>
          <w:szCs w:val="24"/>
        </w:rPr>
        <w:t xml:space="preserve"> che ha perso il 6,5%</w:t>
      </w:r>
      <w:r w:rsidR="00B22EF9" w:rsidRPr="00C522AD">
        <w:rPr>
          <w:rFonts w:ascii="Calibri" w:eastAsia="Calibri" w:hAnsi="Calibri" w:cs="Calibri"/>
          <w:sz w:val="24"/>
          <w:szCs w:val="24"/>
        </w:rPr>
        <w:t>,</w:t>
      </w:r>
      <w:r w:rsidRPr="00C522AD">
        <w:rPr>
          <w:rFonts w:ascii="Calibri" w:eastAsia="Calibri" w:hAnsi="Calibri" w:cs="Calibri"/>
          <w:sz w:val="24"/>
          <w:szCs w:val="24"/>
        </w:rPr>
        <w:t xml:space="preserve"> </w:t>
      </w:r>
      <w:r w:rsidR="00614AB0" w:rsidRPr="00C522AD">
        <w:rPr>
          <w:rFonts w:ascii="Calibri" w:eastAsia="Calibri" w:hAnsi="Calibri" w:cs="Calibri"/>
          <w:sz w:val="24"/>
          <w:szCs w:val="24"/>
        </w:rPr>
        <w:t>e il Vietnam, che nel 2024 era la terza destinazione commerciale con oltre 53 milioni di euro, ma che nel 2025 ha perso il 29,3% scendendo a 38 milioni. Anche la</w:t>
      </w:r>
      <w:r w:rsidR="00B22EF9" w:rsidRPr="00C522AD">
        <w:rPr>
          <w:rFonts w:ascii="Calibri" w:eastAsia="Calibri" w:hAnsi="Calibri" w:cs="Calibri"/>
          <w:sz w:val="24"/>
          <w:szCs w:val="24"/>
        </w:rPr>
        <w:t xml:space="preserve"> </w:t>
      </w:r>
      <w:r w:rsidRPr="00C522AD">
        <w:rPr>
          <w:rFonts w:ascii="Calibri" w:eastAsia="Calibri" w:hAnsi="Calibri" w:cs="Calibri"/>
          <w:sz w:val="24"/>
          <w:szCs w:val="24"/>
        </w:rPr>
        <w:t xml:space="preserve">Cina, che nel 2024 rappresentava </w:t>
      </w:r>
      <w:r w:rsidR="00B22EF9" w:rsidRPr="00C522AD">
        <w:rPr>
          <w:rFonts w:ascii="Calibri" w:eastAsia="Calibri" w:hAnsi="Calibri" w:cs="Calibri"/>
          <w:sz w:val="24"/>
          <w:szCs w:val="24"/>
        </w:rPr>
        <w:t xml:space="preserve">la </w:t>
      </w:r>
      <w:r w:rsidR="00614AB0" w:rsidRPr="00C522AD">
        <w:rPr>
          <w:rFonts w:ascii="Calibri" w:eastAsia="Calibri" w:hAnsi="Calibri" w:cs="Calibri"/>
          <w:sz w:val="24"/>
          <w:szCs w:val="24"/>
        </w:rPr>
        <w:t>quarta</w:t>
      </w:r>
      <w:r w:rsidR="00B22EF9" w:rsidRPr="00C522AD">
        <w:rPr>
          <w:rFonts w:ascii="Calibri" w:eastAsia="Calibri" w:hAnsi="Calibri" w:cs="Calibri"/>
          <w:sz w:val="24"/>
          <w:szCs w:val="24"/>
        </w:rPr>
        <w:t xml:space="preserve"> destinazione </w:t>
      </w:r>
      <w:r w:rsidRPr="00C522AD">
        <w:rPr>
          <w:rFonts w:ascii="Calibri" w:eastAsia="Calibri" w:hAnsi="Calibri" w:cs="Calibri"/>
          <w:sz w:val="24"/>
          <w:szCs w:val="24"/>
        </w:rPr>
        <w:t>commerciale del comparto, ha sub</w:t>
      </w:r>
      <w:r w:rsidR="00614AB0" w:rsidRPr="00C522AD">
        <w:rPr>
          <w:rFonts w:ascii="Calibri" w:eastAsia="Calibri" w:hAnsi="Calibri" w:cs="Calibri"/>
          <w:sz w:val="24"/>
          <w:szCs w:val="24"/>
        </w:rPr>
        <w:t>ì</w:t>
      </w:r>
      <w:r w:rsidRPr="00C522AD">
        <w:rPr>
          <w:rFonts w:ascii="Calibri" w:eastAsia="Calibri" w:hAnsi="Calibri" w:cs="Calibri"/>
          <w:sz w:val="24"/>
          <w:szCs w:val="24"/>
        </w:rPr>
        <w:t>to una forte contrazione del 42,1%, passando da 3</w:t>
      </w:r>
      <w:r w:rsidR="00614AB0" w:rsidRPr="00C522AD">
        <w:rPr>
          <w:rFonts w:ascii="Calibri" w:eastAsia="Calibri" w:hAnsi="Calibri" w:cs="Calibri"/>
          <w:sz w:val="24"/>
          <w:szCs w:val="24"/>
        </w:rPr>
        <w:t>9</w:t>
      </w:r>
      <w:r w:rsidRPr="00C522AD">
        <w:rPr>
          <w:rFonts w:ascii="Calibri" w:eastAsia="Calibri" w:hAnsi="Calibri" w:cs="Calibri"/>
          <w:sz w:val="24"/>
          <w:szCs w:val="24"/>
        </w:rPr>
        <w:t xml:space="preserve"> a 22 milioni di euro. </w:t>
      </w:r>
    </w:p>
    <w:p w14:paraId="35D850E7" w14:textId="77777777" w:rsidR="00504B82" w:rsidRPr="00C522AD" w:rsidRDefault="00504B82">
      <w:pPr>
        <w:pBdr>
          <w:top w:val="nil"/>
          <w:left w:val="nil"/>
          <w:bottom w:val="nil"/>
          <w:right w:val="nil"/>
          <w:between w:val="nil"/>
        </w:pBdr>
        <w:jc w:val="both"/>
        <w:rPr>
          <w:rFonts w:ascii="Calibri" w:eastAsia="Calibri" w:hAnsi="Calibri" w:cs="Calibri"/>
          <w:sz w:val="24"/>
          <w:szCs w:val="24"/>
        </w:rPr>
      </w:pPr>
    </w:p>
    <w:tbl>
      <w:tblPr>
        <w:tblStyle w:val="a4"/>
        <w:tblW w:w="9091" w:type="dxa"/>
        <w:tblInd w:w="0" w:type="dxa"/>
        <w:tblLayout w:type="fixed"/>
        <w:tblLook w:val="0000" w:firstRow="0" w:lastRow="0" w:firstColumn="0" w:lastColumn="0" w:noHBand="0" w:noVBand="0"/>
      </w:tblPr>
      <w:tblGrid>
        <w:gridCol w:w="3686"/>
        <w:gridCol w:w="1314"/>
        <w:gridCol w:w="1314"/>
        <w:gridCol w:w="840"/>
        <w:gridCol w:w="942"/>
        <w:gridCol w:w="984"/>
        <w:gridCol w:w="11"/>
      </w:tblGrid>
      <w:tr w:rsidR="00C522AD" w:rsidRPr="00C522AD" w14:paraId="6E440874" w14:textId="77777777" w:rsidTr="002D3A63">
        <w:trPr>
          <w:trHeight w:val="743"/>
        </w:trPr>
        <w:tc>
          <w:tcPr>
            <w:tcW w:w="9091" w:type="dxa"/>
            <w:gridSpan w:val="7"/>
            <w:tcBorders>
              <w:top w:val="nil"/>
              <w:left w:val="nil"/>
              <w:right w:val="nil"/>
            </w:tcBorders>
            <w:shd w:val="clear" w:color="auto" w:fill="FFFFFF"/>
            <w:vAlign w:val="center"/>
          </w:tcPr>
          <w:p w14:paraId="07B2B1CC"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lastRenderedPageBreak/>
              <w:t>I principali settori esportatori della provincia di Pisa - Anno 2025</w:t>
            </w:r>
          </w:p>
          <w:p w14:paraId="6D5B9A86" w14:textId="77777777" w:rsidR="00C91C1B" w:rsidRPr="00C522AD" w:rsidRDefault="00C227BB">
            <w:pPr>
              <w:pBdr>
                <w:top w:val="nil"/>
                <w:left w:val="nil"/>
                <w:bottom w:val="nil"/>
                <w:right w:val="nil"/>
                <w:between w:val="nil"/>
              </w:pBdr>
            </w:pPr>
            <w:r w:rsidRPr="00C522AD">
              <w:rPr>
                <w:rFonts w:ascii="Calibri" w:eastAsia="Calibri" w:hAnsi="Calibri" w:cs="Calibri"/>
                <w:i/>
                <w:iCs/>
              </w:rPr>
              <w:t>Valori assoluti in euro, var. % e contributi % alla crescita </w:t>
            </w:r>
          </w:p>
        </w:tc>
      </w:tr>
      <w:tr w:rsidR="00C522AD" w:rsidRPr="00C522AD" w14:paraId="00CDEEEF" w14:textId="77777777" w:rsidTr="002D3A63">
        <w:trPr>
          <w:gridAfter w:val="1"/>
          <w:wAfter w:w="11" w:type="dxa"/>
          <w:cantSplit/>
          <w:trHeight w:val="255"/>
        </w:trPr>
        <w:tc>
          <w:tcPr>
            <w:tcW w:w="3686" w:type="dxa"/>
            <w:vMerge w:val="restart"/>
            <w:tcBorders>
              <w:top w:val="single" w:sz="4" w:space="0" w:color="000000"/>
              <w:left w:val="nil"/>
              <w:bottom w:val="single" w:sz="4" w:space="0" w:color="000000"/>
              <w:right w:val="nil"/>
            </w:tcBorders>
            <w:vAlign w:val="center"/>
          </w:tcPr>
          <w:p w14:paraId="43053B0F"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b/>
                <w:bCs/>
              </w:rPr>
              <w:t>Settori di attività</w:t>
            </w:r>
          </w:p>
        </w:tc>
        <w:tc>
          <w:tcPr>
            <w:tcW w:w="2628" w:type="dxa"/>
            <w:gridSpan w:val="2"/>
            <w:tcBorders>
              <w:top w:val="single" w:sz="4" w:space="0" w:color="000000"/>
              <w:left w:val="nil"/>
              <w:bottom w:val="single" w:sz="4" w:space="0" w:color="000000"/>
              <w:right w:val="nil"/>
            </w:tcBorders>
            <w:vAlign w:val="center"/>
          </w:tcPr>
          <w:p w14:paraId="3AB77E19"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Valori assoluti in euro</w:t>
            </w:r>
          </w:p>
        </w:tc>
        <w:tc>
          <w:tcPr>
            <w:tcW w:w="840" w:type="dxa"/>
            <w:vMerge w:val="restart"/>
            <w:tcBorders>
              <w:top w:val="single" w:sz="4" w:space="0" w:color="000000"/>
              <w:left w:val="nil"/>
              <w:bottom w:val="single" w:sz="4" w:space="0" w:color="000000"/>
              <w:right w:val="nil"/>
            </w:tcBorders>
            <w:vAlign w:val="center"/>
          </w:tcPr>
          <w:p w14:paraId="2C6D6225"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Quota %</w:t>
            </w:r>
          </w:p>
        </w:tc>
        <w:tc>
          <w:tcPr>
            <w:tcW w:w="942" w:type="dxa"/>
            <w:vMerge w:val="restart"/>
            <w:tcBorders>
              <w:top w:val="single" w:sz="4" w:space="0" w:color="000000"/>
              <w:left w:val="nil"/>
              <w:bottom w:val="single" w:sz="4" w:space="0" w:color="000000"/>
              <w:right w:val="nil"/>
            </w:tcBorders>
            <w:vAlign w:val="center"/>
          </w:tcPr>
          <w:p w14:paraId="7B5AEFD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Var. %</w:t>
            </w:r>
          </w:p>
        </w:tc>
        <w:tc>
          <w:tcPr>
            <w:tcW w:w="984" w:type="dxa"/>
            <w:vMerge w:val="restart"/>
            <w:tcBorders>
              <w:top w:val="single" w:sz="4" w:space="0" w:color="000000"/>
              <w:left w:val="nil"/>
              <w:bottom w:val="single" w:sz="4" w:space="0" w:color="000000"/>
              <w:right w:val="nil"/>
            </w:tcBorders>
            <w:vAlign w:val="center"/>
          </w:tcPr>
          <w:p w14:paraId="6AB0197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Contributi %</w:t>
            </w:r>
          </w:p>
        </w:tc>
      </w:tr>
      <w:tr w:rsidR="00C522AD" w:rsidRPr="00C522AD" w14:paraId="6C486ADF" w14:textId="77777777" w:rsidTr="002D3A63">
        <w:trPr>
          <w:gridAfter w:val="1"/>
          <w:wAfter w:w="11" w:type="dxa"/>
          <w:cantSplit/>
          <w:trHeight w:val="511"/>
        </w:trPr>
        <w:tc>
          <w:tcPr>
            <w:tcW w:w="3686" w:type="dxa"/>
            <w:vMerge/>
            <w:tcBorders>
              <w:top w:val="single" w:sz="4" w:space="0" w:color="000000"/>
              <w:left w:val="nil"/>
              <w:bottom w:val="single" w:sz="4" w:space="0" w:color="000000"/>
              <w:right w:val="nil"/>
            </w:tcBorders>
            <w:vAlign w:val="center"/>
          </w:tcPr>
          <w:p w14:paraId="7753EE3C"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rPr>
            </w:pPr>
          </w:p>
        </w:tc>
        <w:tc>
          <w:tcPr>
            <w:tcW w:w="1314" w:type="dxa"/>
            <w:tcBorders>
              <w:top w:val="nil"/>
              <w:left w:val="nil"/>
              <w:bottom w:val="single" w:sz="4" w:space="0" w:color="000000"/>
              <w:right w:val="nil"/>
            </w:tcBorders>
            <w:vAlign w:val="center"/>
          </w:tcPr>
          <w:p w14:paraId="69E76277" w14:textId="77777777" w:rsidR="00C91C1B" w:rsidRPr="00C522AD" w:rsidRDefault="00C227BB">
            <w:pPr>
              <w:pBdr>
                <w:top w:val="nil"/>
                <w:left w:val="nil"/>
                <w:bottom w:val="nil"/>
                <w:right w:val="nil"/>
                <w:between w:val="nil"/>
              </w:pBdr>
              <w:jc w:val="right"/>
              <w:rPr>
                <w:rFonts w:asciiTheme="majorHAnsi" w:eastAsia="Calibri" w:hAnsiTheme="majorHAnsi" w:cstheme="majorHAnsi"/>
                <w:sz w:val="22"/>
                <w:szCs w:val="22"/>
              </w:rPr>
            </w:pPr>
            <w:r w:rsidRPr="00C522AD">
              <w:rPr>
                <w:rFonts w:asciiTheme="majorHAnsi" w:eastAsia="Calibri" w:hAnsiTheme="majorHAnsi" w:cstheme="majorHAnsi"/>
                <w:b/>
                <w:bCs/>
                <w:sz w:val="22"/>
                <w:szCs w:val="22"/>
              </w:rPr>
              <w:t>Anno 2024</w:t>
            </w:r>
          </w:p>
        </w:tc>
        <w:tc>
          <w:tcPr>
            <w:tcW w:w="1314" w:type="dxa"/>
            <w:tcBorders>
              <w:top w:val="nil"/>
              <w:left w:val="nil"/>
              <w:bottom w:val="single" w:sz="4" w:space="0" w:color="000000"/>
              <w:right w:val="nil"/>
            </w:tcBorders>
            <w:vAlign w:val="center"/>
          </w:tcPr>
          <w:p w14:paraId="6CB95F8C" w14:textId="77777777" w:rsidR="00C91C1B" w:rsidRPr="00C522AD" w:rsidRDefault="00C227BB">
            <w:pPr>
              <w:pBdr>
                <w:top w:val="nil"/>
                <w:left w:val="nil"/>
                <w:bottom w:val="nil"/>
                <w:right w:val="nil"/>
                <w:between w:val="nil"/>
              </w:pBdr>
              <w:jc w:val="right"/>
              <w:rPr>
                <w:rFonts w:asciiTheme="majorHAnsi" w:eastAsia="Calibri" w:hAnsiTheme="majorHAnsi" w:cstheme="majorHAnsi"/>
                <w:sz w:val="22"/>
                <w:szCs w:val="22"/>
              </w:rPr>
            </w:pPr>
            <w:r w:rsidRPr="00C522AD">
              <w:rPr>
                <w:rFonts w:asciiTheme="majorHAnsi" w:eastAsia="Calibri" w:hAnsiTheme="majorHAnsi" w:cstheme="majorHAnsi"/>
                <w:b/>
                <w:bCs/>
                <w:sz w:val="22"/>
                <w:szCs w:val="22"/>
              </w:rPr>
              <w:t>Anno 2025</w:t>
            </w:r>
          </w:p>
        </w:tc>
        <w:tc>
          <w:tcPr>
            <w:tcW w:w="840" w:type="dxa"/>
            <w:vMerge/>
            <w:tcBorders>
              <w:top w:val="single" w:sz="4" w:space="0" w:color="000000"/>
              <w:left w:val="nil"/>
              <w:bottom w:val="single" w:sz="4" w:space="0" w:color="000000"/>
              <w:right w:val="nil"/>
            </w:tcBorders>
            <w:vAlign w:val="center"/>
          </w:tcPr>
          <w:p w14:paraId="1E93626A"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942" w:type="dxa"/>
            <w:vMerge/>
            <w:tcBorders>
              <w:top w:val="single" w:sz="4" w:space="0" w:color="000000"/>
              <w:left w:val="nil"/>
              <w:bottom w:val="single" w:sz="4" w:space="0" w:color="000000"/>
              <w:right w:val="nil"/>
            </w:tcBorders>
            <w:vAlign w:val="center"/>
          </w:tcPr>
          <w:p w14:paraId="17334D5C"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984" w:type="dxa"/>
            <w:vMerge/>
            <w:tcBorders>
              <w:top w:val="single" w:sz="4" w:space="0" w:color="000000"/>
              <w:left w:val="nil"/>
              <w:bottom w:val="single" w:sz="4" w:space="0" w:color="000000"/>
              <w:right w:val="nil"/>
            </w:tcBorders>
            <w:vAlign w:val="center"/>
          </w:tcPr>
          <w:p w14:paraId="262B7586" w14:textId="77777777" w:rsidR="00C91C1B" w:rsidRPr="00C522AD" w:rsidRDefault="00C91C1B">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r>
      <w:tr w:rsidR="00C522AD" w:rsidRPr="00C522AD" w14:paraId="7E981D7C" w14:textId="77777777" w:rsidTr="002D3A63">
        <w:trPr>
          <w:gridAfter w:val="1"/>
          <w:wAfter w:w="11" w:type="dxa"/>
          <w:trHeight w:val="255"/>
        </w:trPr>
        <w:tc>
          <w:tcPr>
            <w:tcW w:w="3686" w:type="dxa"/>
            <w:tcBorders>
              <w:top w:val="nil"/>
              <w:left w:val="nil"/>
              <w:bottom w:val="nil"/>
              <w:right w:val="nil"/>
            </w:tcBorders>
            <w:vAlign w:val="center"/>
          </w:tcPr>
          <w:p w14:paraId="3138DB02" w14:textId="1F1DB2C0" w:rsidR="00C91C1B" w:rsidRPr="00C522AD" w:rsidRDefault="002D3A63">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Cicli e motocicli</w:t>
            </w:r>
          </w:p>
        </w:tc>
        <w:tc>
          <w:tcPr>
            <w:tcW w:w="1314" w:type="dxa"/>
            <w:tcBorders>
              <w:top w:val="nil"/>
              <w:left w:val="nil"/>
              <w:bottom w:val="nil"/>
              <w:right w:val="nil"/>
            </w:tcBorders>
            <w:vAlign w:val="center"/>
          </w:tcPr>
          <w:p w14:paraId="6D36A813"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710.712.210</w:t>
            </w:r>
          </w:p>
        </w:tc>
        <w:tc>
          <w:tcPr>
            <w:tcW w:w="1314" w:type="dxa"/>
            <w:tcBorders>
              <w:top w:val="nil"/>
              <w:left w:val="nil"/>
              <w:bottom w:val="nil"/>
              <w:right w:val="nil"/>
            </w:tcBorders>
            <w:vAlign w:val="center"/>
          </w:tcPr>
          <w:p w14:paraId="64DAE4A0"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630.934.564</w:t>
            </w:r>
          </w:p>
        </w:tc>
        <w:tc>
          <w:tcPr>
            <w:tcW w:w="840" w:type="dxa"/>
            <w:tcBorders>
              <w:top w:val="nil"/>
              <w:left w:val="nil"/>
              <w:bottom w:val="nil"/>
              <w:right w:val="nil"/>
            </w:tcBorders>
            <w:vAlign w:val="center"/>
          </w:tcPr>
          <w:p w14:paraId="3C81B48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18,6%</w:t>
            </w:r>
          </w:p>
        </w:tc>
        <w:tc>
          <w:tcPr>
            <w:tcW w:w="942" w:type="dxa"/>
            <w:tcBorders>
              <w:top w:val="nil"/>
              <w:left w:val="nil"/>
              <w:bottom w:val="nil"/>
              <w:right w:val="nil"/>
            </w:tcBorders>
            <w:vAlign w:val="center"/>
          </w:tcPr>
          <w:p w14:paraId="56F86AA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-11,2%</w:t>
            </w:r>
          </w:p>
        </w:tc>
        <w:tc>
          <w:tcPr>
            <w:tcW w:w="984" w:type="dxa"/>
            <w:tcBorders>
              <w:top w:val="nil"/>
              <w:left w:val="nil"/>
              <w:bottom w:val="nil"/>
              <w:right w:val="nil"/>
            </w:tcBorders>
            <w:vAlign w:val="center"/>
          </w:tcPr>
          <w:p w14:paraId="1321467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-2,4%</w:t>
            </w:r>
          </w:p>
        </w:tc>
      </w:tr>
      <w:tr w:rsidR="00C522AD" w:rsidRPr="00C522AD" w14:paraId="1499F07E" w14:textId="77777777" w:rsidTr="002D3A63">
        <w:trPr>
          <w:gridAfter w:val="1"/>
          <w:wAfter w:w="11" w:type="dxa"/>
          <w:trHeight w:val="255"/>
        </w:trPr>
        <w:tc>
          <w:tcPr>
            <w:tcW w:w="3686" w:type="dxa"/>
            <w:tcBorders>
              <w:top w:val="nil"/>
              <w:left w:val="nil"/>
              <w:bottom w:val="nil"/>
              <w:right w:val="nil"/>
            </w:tcBorders>
            <w:vAlign w:val="center"/>
          </w:tcPr>
          <w:p w14:paraId="2CB02658" w14:textId="1D54FD08" w:rsidR="00C91C1B" w:rsidRPr="00C522AD" w:rsidRDefault="002D3A63">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Pelli-cuoio</w:t>
            </w:r>
          </w:p>
        </w:tc>
        <w:tc>
          <w:tcPr>
            <w:tcW w:w="1314" w:type="dxa"/>
            <w:tcBorders>
              <w:top w:val="nil"/>
              <w:left w:val="nil"/>
              <w:bottom w:val="nil"/>
              <w:right w:val="nil"/>
            </w:tcBorders>
            <w:vAlign w:val="center"/>
          </w:tcPr>
          <w:p w14:paraId="7CBBC10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565.127.701</w:t>
            </w:r>
          </w:p>
        </w:tc>
        <w:tc>
          <w:tcPr>
            <w:tcW w:w="1314" w:type="dxa"/>
            <w:tcBorders>
              <w:top w:val="nil"/>
              <w:left w:val="nil"/>
              <w:bottom w:val="nil"/>
              <w:right w:val="nil"/>
            </w:tcBorders>
            <w:vAlign w:val="center"/>
          </w:tcPr>
          <w:p w14:paraId="49E91930"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532.486.290</w:t>
            </w:r>
          </w:p>
        </w:tc>
        <w:tc>
          <w:tcPr>
            <w:tcW w:w="840" w:type="dxa"/>
            <w:tcBorders>
              <w:top w:val="nil"/>
              <w:left w:val="nil"/>
              <w:bottom w:val="nil"/>
              <w:right w:val="nil"/>
            </w:tcBorders>
            <w:vAlign w:val="center"/>
          </w:tcPr>
          <w:p w14:paraId="0E7812CB"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15,7%</w:t>
            </w:r>
          </w:p>
        </w:tc>
        <w:tc>
          <w:tcPr>
            <w:tcW w:w="942" w:type="dxa"/>
            <w:tcBorders>
              <w:top w:val="nil"/>
              <w:left w:val="nil"/>
              <w:bottom w:val="nil"/>
              <w:right w:val="nil"/>
            </w:tcBorders>
            <w:vAlign w:val="center"/>
          </w:tcPr>
          <w:p w14:paraId="2F75ACBF"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-5,8%</w:t>
            </w:r>
          </w:p>
        </w:tc>
        <w:tc>
          <w:tcPr>
            <w:tcW w:w="984" w:type="dxa"/>
            <w:tcBorders>
              <w:top w:val="nil"/>
              <w:left w:val="nil"/>
              <w:bottom w:val="nil"/>
              <w:right w:val="nil"/>
            </w:tcBorders>
            <w:vAlign w:val="center"/>
          </w:tcPr>
          <w:p w14:paraId="5070DB4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-1,0%</w:t>
            </w:r>
          </w:p>
        </w:tc>
      </w:tr>
      <w:tr w:rsidR="00C522AD" w:rsidRPr="00C522AD" w14:paraId="1767DA86" w14:textId="77777777" w:rsidTr="002D3A63">
        <w:trPr>
          <w:gridAfter w:val="1"/>
          <w:wAfter w:w="11" w:type="dxa"/>
          <w:trHeight w:val="255"/>
        </w:trPr>
        <w:tc>
          <w:tcPr>
            <w:tcW w:w="3686" w:type="dxa"/>
            <w:tcBorders>
              <w:top w:val="nil"/>
              <w:left w:val="nil"/>
              <w:bottom w:val="nil"/>
              <w:right w:val="nil"/>
            </w:tcBorders>
            <w:vAlign w:val="center"/>
          </w:tcPr>
          <w:p w14:paraId="70ABCB3E"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Macchine di impiego generale</w:t>
            </w:r>
          </w:p>
        </w:tc>
        <w:tc>
          <w:tcPr>
            <w:tcW w:w="1314" w:type="dxa"/>
            <w:tcBorders>
              <w:top w:val="nil"/>
              <w:left w:val="nil"/>
              <w:bottom w:val="nil"/>
              <w:right w:val="nil"/>
            </w:tcBorders>
            <w:vAlign w:val="center"/>
          </w:tcPr>
          <w:p w14:paraId="09A0EF94"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334.578.464</w:t>
            </w:r>
          </w:p>
        </w:tc>
        <w:tc>
          <w:tcPr>
            <w:tcW w:w="1314" w:type="dxa"/>
            <w:tcBorders>
              <w:top w:val="nil"/>
              <w:left w:val="nil"/>
              <w:bottom w:val="nil"/>
              <w:right w:val="nil"/>
            </w:tcBorders>
            <w:vAlign w:val="center"/>
          </w:tcPr>
          <w:p w14:paraId="7E13C386"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335.659.872</w:t>
            </w:r>
          </w:p>
        </w:tc>
        <w:tc>
          <w:tcPr>
            <w:tcW w:w="840" w:type="dxa"/>
            <w:tcBorders>
              <w:top w:val="nil"/>
              <w:left w:val="nil"/>
              <w:bottom w:val="nil"/>
              <w:right w:val="nil"/>
            </w:tcBorders>
            <w:vAlign w:val="center"/>
          </w:tcPr>
          <w:p w14:paraId="5740E5D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9,9%</w:t>
            </w:r>
          </w:p>
        </w:tc>
        <w:tc>
          <w:tcPr>
            <w:tcW w:w="942" w:type="dxa"/>
            <w:tcBorders>
              <w:top w:val="nil"/>
              <w:left w:val="nil"/>
              <w:bottom w:val="nil"/>
              <w:right w:val="nil"/>
            </w:tcBorders>
            <w:vAlign w:val="center"/>
          </w:tcPr>
          <w:p w14:paraId="6FBD3965"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0,3%</w:t>
            </w:r>
          </w:p>
        </w:tc>
        <w:tc>
          <w:tcPr>
            <w:tcW w:w="984" w:type="dxa"/>
            <w:tcBorders>
              <w:top w:val="nil"/>
              <w:left w:val="nil"/>
              <w:bottom w:val="nil"/>
              <w:right w:val="nil"/>
            </w:tcBorders>
            <w:vAlign w:val="center"/>
          </w:tcPr>
          <w:p w14:paraId="494FD9EB"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0,0%</w:t>
            </w:r>
          </w:p>
        </w:tc>
      </w:tr>
      <w:tr w:rsidR="00C522AD" w:rsidRPr="00C522AD" w14:paraId="58F91992" w14:textId="77777777" w:rsidTr="002D3A63">
        <w:trPr>
          <w:gridAfter w:val="1"/>
          <w:wAfter w:w="11" w:type="dxa"/>
          <w:trHeight w:val="255"/>
        </w:trPr>
        <w:tc>
          <w:tcPr>
            <w:tcW w:w="3686" w:type="dxa"/>
            <w:tcBorders>
              <w:top w:val="nil"/>
              <w:left w:val="nil"/>
              <w:bottom w:val="nil"/>
              <w:right w:val="nil"/>
            </w:tcBorders>
            <w:vAlign w:val="center"/>
          </w:tcPr>
          <w:p w14:paraId="06370B78"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Medicinali e preparati farmaceutici</w:t>
            </w:r>
          </w:p>
        </w:tc>
        <w:tc>
          <w:tcPr>
            <w:tcW w:w="1314" w:type="dxa"/>
            <w:tcBorders>
              <w:top w:val="nil"/>
              <w:left w:val="nil"/>
              <w:bottom w:val="nil"/>
              <w:right w:val="nil"/>
            </w:tcBorders>
            <w:vAlign w:val="center"/>
          </w:tcPr>
          <w:p w14:paraId="08BFA455"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225.180.293</w:t>
            </w:r>
          </w:p>
        </w:tc>
        <w:tc>
          <w:tcPr>
            <w:tcW w:w="1314" w:type="dxa"/>
            <w:tcBorders>
              <w:top w:val="nil"/>
              <w:left w:val="nil"/>
              <w:bottom w:val="nil"/>
              <w:right w:val="nil"/>
            </w:tcBorders>
            <w:vAlign w:val="center"/>
          </w:tcPr>
          <w:p w14:paraId="3B100B06"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275.789.375</w:t>
            </w:r>
          </w:p>
        </w:tc>
        <w:tc>
          <w:tcPr>
            <w:tcW w:w="840" w:type="dxa"/>
            <w:tcBorders>
              <w:top w:val="nil"/>
              <w:left w:val="nil"/>
              <w:bottom w:val="nil"/>
              <w:right w:val="nil"/>
            </w:tcBorders>
            <w:vAlign w:val="center"/>
          </w:tcPr>
          <w:p w14:paraId="7183BD3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8,1%</w:t>
            </w:r>
          </w:p>
        </w:tc>
        <w:tc>
          <w:tcPr>
            <w:tcW w:w="942" w:type="dxa"/>
            <w:tcBorders>
              <w:top w:val="nil"/>
              <w:left w:val="nil"/>
              <w:bottom w:val="nil"/>
              <w:right w:val="nil"/>
            </w:tcBorders>
            <w:vAlign w:val="center"/>
          </w:tcPr>
          <w:p w14:paraId="65FEF797"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22,5%</w:t>
            </w:r>
          </w:p>
        </w:tc>
        <w:tc>
          <w:tcPr>
            <w:tcW w:w="984" w:type="dxa"/>
            <w:tcBorders>
              <w:top w:val="nil"/>
              <w:left w:val="nil"/>
              <w:bottom w:val="nil"/>
              <w:right w:val="nil"/>
            </w:tcBorders>
            <w:vAlign w:val="center"/>
          </w:tcPr>
          <w:p w14:paraId="016D4B94"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1,5%</w:t>
            </w:r>
          </w:p>
        </w:tc>
      </w:tr>
      <w:tr w:rsidR="00C522AD" w:rsidRPr="00C522AD" w14:paraId="40FDD305" w14:textId="77777777" w:rsidTr="002D3A63">
        <w:trPr>
          <w:gridAfter w:val="1"/>
          <w:wAfter w:w="11" w:type="dxa"/>
          <w:trHeight w:val="255"/>
        </w:trPr>
        <w:tc>
          <w:tcPr>
            <w:tcW w:w="3686" w:type="dxa"/>
            <w:tcBorders>
              <w:top w:val="nil"/>
              <w:left w:val="nil"/>
              <w:bottom w:val="nil"/>
              <w:right w:val="nil"/>
            </w:tcBorders>
            <w:vAlign w:val="center"/>
          </w:tcPr>
          <w:p w14:paraId="6756E7B4"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Altre macchine di impiego generale</w:t>
            </w:r>
          </w:p>
        </w:tc>
        <w:tc>
          <w:tcPr>
            <w:tcW w:w="1314" w:type="dxa"/>
            <w:tcBorders>
              <w:top w:val="nil"/>
              <w:left w:val="nil"/>
              <w:bottom w:val="nil"/>
              <w:right w:val="nil"/>
            </w:tcBorders>
            <w:vAlign w:val="center"/>
          </w:tcPr>
          <w:p w14:paraId="0C03DEC1"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106.198.493</w:t>
            </w:r>
          </w:p>
        </w:tc>
        <w:tc>
          <w:tcPr>
            <w:tcW w:w="1314" w:type="dxa"/>
            <w:tcBorders>
              <w:top w:val="nil"/>
              <w:left w:val="nil"/>
              <w:bottom w:val="nil"/>
              <w:right w:val="nil"/>
            </w:tcBorders>
            <w:vAlign w:val="center"/>
          </w:tcPr>
          <w:p w14:paraId="0B8536FB"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124.021.459</w:t>
            </w:r>
          </w:p>
        </w:tc>
        <w:tc>
          <w:tcPr>
            <w:tcW w:w="840" w:type="dxa"/>
            <w:tcBorders>
              <w:top w:val="nil"/>
              <w:left w:val="nil"/>
              <w:bottom w:val="nil"/>
              <w:right w:val="nil"/>
            </w:tcBorders>
            <w:vAlign w:val="center"/>
          </w:tcPr>
          <w:p w14:paraId="109AFCC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3,7%</w:t>
            </w:r>
          </w:p>
        </w:tc>
        <w:tc>
          <w:tcPr>
            <w:tcW w:w="942" w:type="dxa"/>
            <w:tcBorders>
              <w:top w:val="nil"/>
              <w:left w:val="nil"/>
              <w:bottom w:val="nil"/>
              <w:right w:val="nil"/>
            </w:tcBorders>
            <w:vAlign w:val="center"/>
          </w:tcPr>
          <w:p w14:paraId="24DF02C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16,8%</w:t>
            </w:r>
          </w:p>
        </w:tc>
        <w:tc>
          <w:tcPr>
            <w:tcW w:w="984" w:type="dxa"/>
            <w:tcBorders>
              <w:top w:val="nil"/>
              <w:left w:val="nil"/>
              <w:bottom w:val="nil"/>
              <w:right w:val="nil"/>
            </w:tcBorders>
            <w:vAlign w:val="center"/>
          </w:tcPr>
          <w:p w14:paraId="1A797803"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0,5%</w:t>
            </w:r>
          </w:p>
        </w:tc>
      </w:tr>
      <w:tr w:rsidR="00C522AD" w:rsidRPr="00C522AD" w14:paraId="09C6F676" w14:textId="77777777" w:rsidTr="002D3A63">
        <w:trPr>
          <w:gridAfter w:val="1"/>
          <w:wAfter w:w="11" w:type="dxa"/>
          <w:trHeight w:val="255"/>
        </w:trPr>
        <w:tc>
          <w:tcPr>
            <w:tcW w:w="3686" w:type="dxa"/>
            <w:tcBorders>
              <w:top w:val="nil"/>
              <w:left w:val="nil"/>
              <w:bottom w:val="nil"/>
              <w:right w:val="nil"/>
            </w:tcBorders>
            <w:vAlign w:val="center"/>
          </w:tcPr>
          <w:p w14:paraId="64954F0A" w14:textId="6B0E20C9"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Chimic</w:t>
            </w:r>
            <w:r w:rsidR="002D3A63" w:rsidRPr="00C522AD">
              <w:rPr>
                <w:rFonts w:asciiTheme="majorHAnsi" w:eastAsia="Calibri" w:hAnsiTheme="majorHAnsi" w:cstheme="majorHAnsi"/>
              </w:rPr>
              <w:t>a</w:t>
            </w:r>
            <w:r w:rsidRPr="00C522AD">
              <w:rPr>
                <w:rFonts w:asciiTheme="majorHAnsi" w:eastAsia="Calibri" w:hAnsiTheme="majorHAnsi" w:cstheme="majorHAnsi"/>
              </w:rPr>
              <w:t xml:space="preserve"> di base, </w:t>
            </w:r>
            <w:proofErr w:type="spellStart"/>
            <w:proofErr w:type="gramStart"/>
            <w:r w:rsidRPr="00C522AD">
              <w:rPr>
                <w:rFonts w:asciiTheme="majorHAnsi" w:eastAsia="Calibri" w:hAnsiTheme="majorHAnsi" w:cstheme="majorHAnsi"/>
              </w:rPr>
              <w:t>fert</w:t>
            </w:r>
            <w:r w:rsidR="002D3A63" w:rsidRPr="00C522AD">
              <w:rPr>
                <w:rFonts w:asciiTheme="majorHAnsi" w:eastAsia="Calibri" w:hAnsiTheme="majorHAnsi" w:cstheme="majorHAnsi"/>
              </w:rPr>
              <w:t>il.</w:t>
            </w:r>
            <w:r w:rsidRPr="00C522AD">
              <w:rPr>
                <w:rFonts w:asciiTheme="majorHAnsi" w:eastAsia="Calibri" w:hAnsiTheme="majorHAnsi" w:cstheme="majorHAnsi"/>
              </w:rPr>
              <w:t>ti</w:t>
            </w:r>
            <w:proofErr w:type="spellEnd"/>
            <w:proofErr w:type="gramEnd"/>
            <w:r w:rsidRPr="00C522AD">
              <w:rPr>
                <w:rFonts w:asciiTheme="majorHAnsi" w:eastAsia="Calibri" w:hAnsiTheme="majorHAnsi" w:cstheme="majorHAnsi"/>
              </w:rPr>
              <w:t>, plastic</w:t>
            </w:r>
            <w:r w:rsidR="002D3A63" w:rsidRPr="00C522AD">
              <w:rPr>
                <w:rFonts w:asciiTheme="majorHAnsi" w:eastAsia="Calibri" w:hAnsiTheme="majorHAnsi" w:cstheme="majorHAnsi"/>
              </w:rPr>
              <w:t>a a gomma</w:t>
            </w:r>
          </w:p>
        </w:tc>
        <w:tc>
          <w:tcPr>
            <w:tcW w:w="1314" w:type="dxa"/>
            <w:tcBorders>
              <w:top w:val="nil"/>
              <w:left w:val="nil"/>
              <w:bottom w:val="nil"/>
              <w:right w:val="nil"/>
            </w:tcBorders>
            <w:vAlign w:val="center"/>
          </w:tcPr>
          <w:p w14:paraId="4F0625DF"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129.260.610</w:t>
            </w:r>
          </w:p>
        </w:tc>
        <w:tc>
          <w:tcPr>
            <w:tcW w:w="1314" w:type="dxa"/>
            <w:tcBorders>
              <w:top w:val="nil"/>
              <w:left w:val="nil"/>
              <w:bottom w:val="nil"/>
              <w:right w:val="nil"/>
            </w:tcBorders>
            <w:vAlign w:val="center"/>
          </w:tcPr>
          <w:p w14:paraId="39E7C3CA"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112.882.935</w:t>
            </w:r>
          </w:p>
        </w:tc>
        <w:tc>
          <w:tcPr>
            <w:tcW w:w="840" w:type="dxa"/>
            <w:tcBorders>
              <w:top w:val="nil"/>
              <w:left w:val="nil"/>
              <w:bottom w:val="nil"/>
              <w:right w:val="nil"/>
            </w:tcBorders>
            <w:vAlign w:val="center"/>
          </w:tcPr>
          <w:p w14:paraId="0B4EE5D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3,3%</w:t>
            </w:r>
          </w:p>
        </w:tc>
        <w:tc>
          <w:tcPr>
            <w:tcW w:w="942" w:type="dxa"/>
            <w:tcBorders>
              <w:top w:val="nil"/>
              <w:left w:val="nil"/>
              <w:bottom w:val="nil"/>
              <w:right w:val="nil"/>
            </w:tcBorders>
            <w:vAlign w:val="center"/>
          </w:tcPr>
          <w:p w14:paraId="6CD336B3"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-12,7%</w:t>
            </w:r>
          </w:p>
        </w:tc>
        <w:tc>
          <w:tcPr>
            <w:tcW w:w="984" w:type="dxa"/>
            <w:tcBorders>
              <w:top w:val="nil"/>
              <w:left w:val="nil"/>
              <w:bottom w:val="nil"/>
              <w:right w:val="nil"/>
            </w:tcBorders>
            <w:vAlign w:val="center"/>
          </w:tcPr>
          <w:p w14:paraId="7DE65E9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-0,5%</w:t>
            </w:r>
          </w:p>
        </w:tc>
      </w:tr>
      <w:tr w:rsidR="00C522AD" w:rsidRPr="00C522AD" w14:paraId="6CDD5905" w14:textId="77777777" w:rsidTr="002D3A63">
        <w:trPr>
          <w:gridAfter w:val="1"/>
          <w:wAfter w:w="11" w:type="dxa"/>
          <w:trHeight w:val="255"/>
        </w:trPr>
        <w:tc>
          <w:tcPr>
            <w:tcW w:w="3686" w:type="dxa"/>
            <w:tcBorders>
              <w:top w:val="nil"/>
              <w:left w:val="nil"/>
              <w:bottom w:val="nil"/>
              <w:right w:val="nil"/>
            </w:tcBorders>
            <w:vAlign w:val="center"/>
          </w:tcPr>
          <w:p w14:paraId="30E9C43E" w14:textId="55F1E9F6"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Articoli di abbigliamento</w:t>
            </w:r>
          </w:p>
        </w:tc>
        <w:tc>
          <w:tcPr>
            <w:tcW w:w="1314" w:type="dxa"/>
            <w:tcBorders>
              <w:top w:val="nil"/>
              <w:left w:val="nil"/>
              <w:bottom w:val="nil"/>
              <w:right w:val="nil"/>
            </w:tcBorders>
            <w:vAlign w:val="center"/>
          </w:tcPr>
          <w:p w14:paraId="131A3AEB"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72.283.910</w:t>
            </w:r>
          </w:p>
        </w:tc>
        <w:tc>
          <w:tcPr>
            <w:tcW w:w="1314" w:type="dxa"/>
            <w:tcBorders>
              <w:top w:val="nil"/>
              <w:left w:val="nil"/>
              <w:bottom w:val="nil"/>
              <w:right w:val="nil"/>
            </w:tcBorders>
            <w:vAlign w:val="center"/>
          </w:tcPr>
          <w:p w14:paraId="70530C48"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111.009.170</w:t>
            </w:r>
          </w:p>
        </w:tc>
        <w:tc>
          <w:tcPr>
            <w:tcW w:w="840" w:type="dxa"/>
            <w:tcBorders>
              <w:top w:val="nil"/>
              <w:left w:val="nil"/>
              <w:bottom w:val="nil"/>
              <w:right w:val="nil"/>
            </w:tcBorders>
            <w:vAlign w:val="center"/>
          </w:tcPr>
          <w:p w14:paraId="3D0B07D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3,3%</w:t>
            </w:r>
          </w:p>
        </w:tc>
        <w:tc>
          <w:tcPr>
            <w:tcW w:w="942" w:type="dxa"/>
            <w:tcBorders>
              <w:top w:val="nil"/>
              <w:left w:val="nil"/>
              <w:bottom w:val="nil"/>
              <w:right w:val="nil"/>
            </w:tcBorders>
            <w:vAlign w:val="center"/>
          </w:tcPr>
          <w:p w14:paraId="6B397DB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53,6%</w:t>
            </w:r>
          </w:p>
        </w:tc>
        <w:tc>
          <w:tcPr>
            <w:tcW w:w="984" w:type="dxa"/>
            <w:tcBorders>
              <w:top w:val="nil"/>
              <w:left w:val="nil"/>
              <w:bottom w:val="nil"/>
              <w:right w:val="nil"/>
            </w:tcBorders>
            <w:vAlign w:val="center"/>
          </w:tcPr>
          <w:p w14:paraId="17993D9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1,2%</w:t>
            </w:r>
          </w:p>
        </w:tc>
      </w:tr>
      <w:tr w:rsidR="00C522AD" w:rsidRPr="00C522AD" w14:paraId="4F0CE6FB" w14:textId="77777777" w:rsidTr="002D3A63">
        <w:trPr>
          <w:gridAfter w:val="1"/>
          <w:wAfter w:w="11" w:type="dxa"/>
          <w:trHeight w:val="255"/>
        </w:trPr>
        <w:tc>
          <w:tcPr>
            <w:tcW w:w="3686" w:type="dxa"/>
            <w:tcBorders>
              <w:top w:val="nil"/>
              <w:left w:val="nil"/>
              <w:bottom w:val="nil"/>
              <w:right w:val="nil"/>
            </w:tcBorders>
            <w:vAlign w:val="center"/>
          </w:tcPr>
          <w:p w14:paraId="02ACFC5F"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Calzature</w:t>
            </w:r>
          </w:p>
        </w:tc>
        <w:tc>
          <w:tcPr>
            <w:tcW w:w="1314" w:type="dxa"/>
            <w:tcBorders>
              <w:top w:val="nil"/>
              <w:left w:val="nil"/>
              <w:bottom w:val="nil"/>
              <w:right w:val="nil"/>
            </w:tcBorders>
            <w:vAlign w:val="center"/>
          </w:tcPr>
          <w:p w14:paraId="415A7D30"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114.948.210</w:t>
            </w:r>
          </w:p>
        </w:tc>
        <w:tc>
          <w:tcPr>
            <w:tcW w:w="1314" w:type="dxa"/>
            <w:tcBorders>
              <w:top w:val="nil"/>
              <w:left w:val="nil"/>
              <w:bottom w:val="nil"/>
              <w:right w:val="nil"/>
            </w:tcBorders>
            <w:vAlign w:val="center"/>
          </w:tcPr>
          <w:p w14:paraId="47816884"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108.146.268</w:t>
            </w:r>
          </w:p>
        </w:tc>
        <w:tc>
          <w:tcPr>
            <w:tcW w:w="840" w:type="dxa"/>
            <w:tcBorders>
              <w:top w:val="nil"/>
              <w:left w:val="nil"/>
              <w:bottom w:val="nil"/>
              <w:right w:val="nil"/>
            </w:tcBorders>
            <w:vAlign w:val="center"/>
          </w:tcPr>
          <w:p w14:paraId="4A9364C6"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3,2%</w:t>
            </w:r>
          </w:p>
        </w:tc>
        <w:tc>
          <w:tcPr>
            <w:tcW w:w="942" w:type="dxa"/>
            <w:tcBorders>
              <w:top w:val="nil"/>
              <w:left w:val="nil"/>
              <w:bottom w:val="nil"/>
              <w:right w:val="nil"/>
            </w:tcBorders>
            <w:vAlign w:val="center"/>
          </w:tcPr>
          <w:p w14:paraId="138DCB16"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-5,9%</w:t>
            </w:r>
          </w:p>
        </w:tc>
        <w:tc>
          <w:tcPr>
            <w:tcW w:w="984" w:type="dxa"/>
            <w:tcBorders>
              <w:top w:val="nil"/>
              <w:left w:val="nil"/>
              <w:bottom w:val="nil"/>
              <w:right w:val="nil"/>
            </w:tcBorders>
            <w:vAlign w:val="center"/>
          </w:tcPr>
          <w:p w14:paraId="41B4C596"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-0,2%</w:t>
            </w:r>
          </w:p>
        </w:tc>
      </w:tr>
      <w:tr w:rsidR="00C522AD" w:rsidRPr="00C522AD" w14:paraId="0B9D14B1" w14:textId="77777777" w:rsidTr="002D3A63">
        <w:trPr>
          <w:gridAfter w:val="1"/>
          <w:wAfter w:w="11" w:type="dxa"/>
          <w:trHeight w:val="255"/>
        </w:trPr>
        <w:tc>
          <w:tcPr>
            <w:tcW w:w="3686" w:type="dxa"/>
            <w:tcBorders>
              <w:top w:val="nil"/>
              <w:left w:val="nil"/>
              <w:bottom w:val="nil"/>
              <w:right w:val="nil"/>
            </w:tcBorders>
            <w:vAlign w:val="center"/>
          </w:tcPr>
          <w:p w14:paraId="3D05FCB5"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Mobili</w:t>
            </w:r>
          </w:p>
        </w:tc>
        <w:tc>
          <w:tcPr>
            <w:tcW w:w="1314" w:type="dxa"/>
            <w:tcBorders>
              <w:top w:val="nil"/>
              <w:left w:val="nil"/>
              <w:bottom w:val="nil"/>
              <w:right w:val="nil"/>
            </w:tcBorders>
            <w:vAlign w:val="center"/>
          </w:tcPr>
          <w:p w14:paraId="29BC7735"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104.618.287</w:t>
            </w:r>
          </w:p>
        </w:tc>
        <w:tc>
          <w:tcPr>
            <w:tcW w:w="1314" w:type="dxa"/>
            <w:tcBorders>
              <w:top w:val="nil"/>
              <w:left w:val="nil"/>
              <w:bottom w:val="nil"/>
              <w:right w:val="nil"/>
            </w:tcBorders>
            <w:vAlign w:val="center"/>
          </w:tcPr>
          <w:p w14:paraId="3E3602B9"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83.692.862</w:t>
            </w:r>
          </w:p>
        </w:tc>
        <w:tc>
          <w:tcPr>
            <w:tcW w:w="840" w:type="dxa"/>
            <w:tcBorders>
              <w:top w:val="nil"/>
              <w:left w:val="nil"/>
              <w:bottom w:val="nil"/>
              <w:right w:val="nil"/>
            </w:tcBorders>
            <w:vAlign w:val="center"/>
          </w:tcPr>
          <w:p w14:paraId="39133E36"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2,5%</w:t>
            </w:r>
          </w:p>
        </w:tc>
        <w:tc>
          <w:tcPr>
            <w:tcW w:w="942" w:type="dxa"/>
            <w:tcBorders>
              <w:top w:val="nil"/>
              <w:left w:val="nil"/>
              <w:bottom w:val="nil"/>
              <w:right w:val="nil"/>
            </w:tcBorders>
            <w:vAlign w:val="center"/>
          </w:tcPr>
          <w:p w14:paraId="324670A4"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-20,0%</w:t>
            </w:r>
          </w:p>
        </w:tc>
        <w:tc>
          <w:tcPr>
            <w:tcW w:w="984" w:type="dxa"/>
            <w:tcBorders>
              <w:top w:val="nil"/>
              <w:left w:val="nil"/>
              <w:bottom w:val="nil"/>
              <w:right w:val="nil"/>
            </w:tcBorders>
            <w:vAlign w:val="center"/>
          </w:tcPr>
          <w:p w14:paraId="535C00F2"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-0,6%</w:t>
            </w:r>
          </w:p>
        </w:tc>
      </w:tr>
      <w:tr w:rsidR="00C522AD" w:rsidRPr="00C522AD" w14:paraId="1919718C" w14:textId="77777777" w:rsidTr="002D3A63">
        <w:trPr>
          <w:gridAfter w:val="1"/>
          <w:wAfter w:w="11" w:type="dxa"/>
          <w:trHeight w:val="255"/>
        </w:trPr>
        <w:tc>
          <w:tcPr>
            <w:tcW w:w="3686" w:type="dxa"/>
            <w:tcBorders>
              <w:top w:val="nil"/>
              <w:left w:val="nil"/>
              <w:bottom w:val="nil"/>
              <w:right w:val="nil"/>
            </w:tcBorders>
            <w:vAlign w:val="center"/>
          </w:tcPr>
          <w:p w14:paraId="242F7670"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Bevande</w:t>
            </w:r>
          </w:p>
        </w:tc>
        <w:tc>
          <w:tcPr>
            <w:tcW w:w="1314" w:type="dxa"/>
            <w:tcBorders>
              <w:top w:val="nil"/>
              <w:left w:val="nil"/>
              <w:bottom w:val="nil"/>
              <w:right w:val="nil"/>
            </w:tcBorders>
            <w:vAlign w:val="center"/>
          </w:tcPr>
          <w:p w14:paraId="4BDF59A3"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71.433.726</w:t>
            </w:r>
          </w:p>
        </w:tc>
        <w:tc>
          <w:tcPr>
            <w:tcW w:w="1314" w:type="dxa"/>
            <w:tcBorders>
              <w:top w:val="nil"/>
              <w:left w:val="nil"/>
              <w:bottom w:val="nil"/>
              <w:right w:val="nil"/>
            </w:tcBorders>
            <w:vAlign w:val="center"/>
          </w:tcPr>
          <w:p w14:paraId="527EAFD6"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69.142.791</w:t>
            </w:r>
          </w:p>
        </w:tc>
        <w:tc>
          <w:tcPr>
            <w:tcW w:w="840" w:type="dxa"/>
            <w:tcBorders>
              <w:top w:val="nil"/>
              <w:left w:val="nil"/>
              <w:bottom w:val="nil"/>
              <w:right w:val="nil"/>
            </w:tcBorders>
            <w:vAlign w:val="center"/>
          </w:tcPr>
          <w:p w14:paraId="612C749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2,0%</w:t>
            </w:r>
          </w:p>
        </w:tc>
        <w:tc>
          <w:tcPr>
            <w:tcW w:w="942" w:type="dxa"/>
            <w:tcBorders>
              <w:top w:val="nil"/>
              <w:left w:val="nil"/>
              <w:bottom w:val="nil"/>
              <w:right w:val="nil"/>
            </w:tcBorders>
            <w:vAlign w:val="center"/>
          </w:tcPr>
          <w:p w14:paraId="01829D0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-3,2%</w:t>
            </w:r>
          </w:p>
        </w:tc>
        <w:tc>
          <w:tcPr>
            <w:tcW w:w="984" w:type="dxa"/>
            <w:tcBorders>
              <w:top w:val="nil"/>
              <w:left w:val="nil"/>
              <w:bottom w:val="nil"/>
              <w:right w:val="nil"/>
            </w:tcBorders>
            <w:vAlign w:val="center"/>
          </w:tcPr>
          <w:p w14:paraId="0ACDED6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-0,1%</w:t>
            </w:r>
          </w:p>
        </w:tc>
      </w:tr>
      <w:tr w:rsidR="00C522AD" w:rsidRPr="00C522AD" w14:paraId="22EC5167" w14:textId="77777777" w:rsidTr="002D3A63">
        <w:trPr>
          <w:gridAfter w:val="1"/>
          <w:wAfter w:w="11" w:type="dxa"/>
          <w:trHeight w:val="255"/>
        </w:trPr>
        <w:tc>
          <w:tcPr>
            <w:tcW w:w="3686" w:type="dxa"/>
            <w:tcBorders>
              <w:top w:val="nil"/>
              <w:left w:val="nil"/>
              <w:bottom w:val="nil"/>
              <w:right w:val="nil"/>
            </w:tcBorders>
            <w:vAlign w:val="center"/>
          </w:tcPr>
          <w:p w14:paraId="0025C0C6"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Altre macchine per impieghi speciali</w:t>
            </w:r>
          </w:p>
        </w:tc>
        <w:tc>
          <w:tcPr>
            <w:tcW w:w="1314" w:type="dxa"/>
            <w:tcBorders>
              <w:top w:val="nil"/>
              <w:left w:val="nil"/>
              <w:bottom w:val="nil"/>
              <w:right w:val="nil"/>
            </w:tcBorders>
            <w:vAlign w:val="center"/>
          </w:tcPr>
          <w:p w14:paraId="43610A8A"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65.294.604</w:t>
            </w:r>
          </w:p>
        </w:tc>
        <w:tc>
          <w:tcPr>
            <w:tcW w:w="1314" w:type="dxa"/>
            <w:tcBorders>
              <w:top w:val="nil"/>
              <w:left w:val="nil"/>
              <w:bottom w:val="nil"/>
              <w:right w:val="nil"/>
            </w:tcBorders>
            <w:vAlign w:val="center"/>
          </w:tcPr>
          <w:p w14:paraId="7CDE1E78"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66.843.250</w:t>
            </w:r>
          </w:p>
        </w:tc>
        <w:tc>
          <w:tcPr>
            <w:tcW w:w="840" w:type="dxa"/>
            <w:tcBorders>
              <w:top w:val="nil"/>
              <w:left w:val="nil"/>
              <w:bottom w:val="nil"/>
              <w:right w:val="nil"/>
            </w:tcBorders>
            <w:vAlign w:val="center"/>
          </w:tcPr>
          <w:p w14:paraId="7043D954"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2,0%</w:t>
            </w:r>
          </w:p>
        </w:tc>
        <w:tc>
          <w:tcPr>
            <w:tcW w:w="942" w:type="dxa"/>
            <w:tcBorders>
              <w:top w:val="nil"/>
              <w:left w:val="nil"/>
              <w:bottom w:val="nil"/>
              <w:right w:val="nil"/>
            </w:tcBorders>
            <w:vAlign w:val="center"/>
          </w:tcPr>
          <w:p w14:paraId="75F54F8B"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2,4%</w:t>
            </w:r>
          </w:p>
        </w:tc>
        <w:tc>
          <w:tcPr>
            <w:tcW w:w="984" w:type="dxa"/>
            <w:tcBorders>
              <w:top w:val="nil"/>
              <w:left w:val="nil"/>
              <w:bottom w:val="nil"/>
              <w:right w:val="nil"/>
            </w:tcBorders>
            <w:vAlign w:val="center"/>
          </w:tcPr>
          <w:p w14:paraId="5EF97437"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0,0%</w:t>
            </w:r>
          </w:p>
        </w:tc>
      </w:tr>
      <w:tr w:rsidR="00C522AD" w:rsidRPr="00C522AD" w14:paraId="08AFD761" w14:textId="77777777" w:rsidTr="002D3A63">
        <w:trPr>
          <w:gridAfter w:val="1"/>
          <w:wAfter w:w="11" w:type="dxa"/>
          <w:trHeight w:val="255"/>
        </w:trPr>
        <w:tc>
          <w:tcPr>
            <w:tcW w:w="3686" w:type="dxa"/>
            <w:tcBorders>
              <w:top w:val="nil"/>
              <w:left w:val="nil"/>
              <w:bottom w:val="nil"/>
              <w:right w:val="nil"/>
            </w:tcBorders>
            <w:vAlign w:val="center"/>
          </w:tcPr>
          <w:p w14:paraId="5EFB93B7"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Altri prodotti chimici</w:t>
            </w:r>
          </w:p>
        </w:tc>
        <w:tc>
          <w:tcPr>
            <w:tcW w:w="1314" w:type="dxa"/>
            <w:tcBorders>
              <w:top w:val="nil"/>
              <w:left w:val="nil"/>
              <w:bottom w:val="nil"/>
              <w:right w:val="nil"/>
            </w:tcBorders>
            <w:vAlign w:val="center"/>
          </w:tcPr>
          <w:p w14:paraId="745EAF44"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64.314.464</w:t>
            </w:r>
          </w:p>
        </w:tc>
        <w:tc>
          <w:tcPr>
            <w:tcW w:w="1314" w:type="dxa"/>
            <w:tcBorders>
              <w:top w:val="nil"/>
              <w:left w:val="nil"/>
              <w:bottom w:val="nil"/>
              <w:right w:val="nil"/>
            </w:tcBorders>
            <w:vAlign w:val="center"/>
          </w:tcPr>
          <w:p w14:paraId="6F76B119"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65.310.682</w:t>
            </w:r>
          </w:p>
        </w:tc>
        <w:tc>
          <w:tcPr>
            <w:tcW w:w="840" w:type="dxa"/>
            <w:tcBorders>
              <w:top w:val="nil"/>
              <w:left w:val="nil"/>
              <w:bottom w:val="nil"/>
              <w:right w:val="nil"/>
            </w:tcBorders>
            <w:vAlign w:val="center"/>
          </w:tcPr>
          <w:p w14:paraId="3774ED6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1,9%</w:t>
            </w:r>
          </w:p>
        </w:tc>
        <w:tc>
          <w:tcPr>
            <w:tcW w:w="942" w:type="dxa"/>
            <w:tcBorders>
              <w:top w:val="nil"/>
              <w:left w:val="nil"/>
              <w:bottom w:val="nil"/>
              <w:right w:val="nil"/>
            </w:tcBorders>
            <w:vAlign w:val="center"/>
          </w:tcPr>
          <w:p w14:paraId="1BC4D38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1,5%</w:t>
            </w:r>
          </w:p>
        </w:tc>
        <w:tc>
          <w:tcPr>
            <w:tcW w:w="984" w:type="dxa"/>
            <w:tcBorders>
              <w:top w:val="nil"/>
              <w:left w:val="nil"/>
              <w:bottom w:val="nil"/>
              <w:right w:val="nil"/>
            </w:tcBorders>
            <w:vAlign w:val="center"/>
          </w:tcPr>
          <w:p w14:paraId="68F48C1B"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0,0%</w:t>
            </w:r>
          </w:p>
        </w:tc>
      </w:tr>
      <w:tr w:rsidR="00C522AD" w:rsidRPr="00C522AD" w14:paraId="2C25979D" w14:textId="77777777" w:rsidTr="002D3A63">
        <w:trPr>
          <w:gridAfter w:val="1"/>
          <w:wAfter w:w="11" w:type="dxa"/>
          <w:trHeight w:val="255"/>
        </w:trPr>
        <w:tc>
          <w:tcPr>
            <w:tcW w:w="3686" w:type="dxa"/>
            <w:tcBorders>
              <w:top w:val="nil"/>
              <w:left w:val="nil"/>
              <w:bottom w:val="nil"/>
              <w:right w:val="nil"/>
            </w:tcBorders>
            <w:vAlign w:val="center"/>
          </w:tcPr>
          <w:p w14:paraId="5CE66978"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Prodotti della raffinazione del petrolio</w:t>
            </w:r>
          </w:p>
        </w:tc>
        <w:tc>
          <w:tcPr>
            <w:tcW w:w="1314" w:type="dxa"/>
            <w:tcBorders>
              <w:top w:val="nil"/>
              <w:left w:val="nil"/>
              <w:bottom w:val="nil"/>
              <w:right w:val="nil"/>
            </w:tcBorders>
            <w:vAlign w:val="center"/>
          </w:tcPr>
          <w:p w14:paraId="0E691A81"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313.452</w:t>
            </w:r>
          </w:p>
        </w:tc>
        <w:tc>
          <w:tcPr>
            <w:tcW w:w="1314" w:type="dxa"/>
            <w:tcBorders>
              <w:top w:val="nil"/>
              <w:left w:val="nil"/>
              <w:bottom w:val="nil"/>
              <w:right w:val="nil"/>
            </w:tcBorders>
            <w:vAlign w:val="center"/>
          </w:tcPr>
          <w:p w14:paraId="712A8EA4"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55.786.254</w:t>
            </w:r>
          </w:p>
        </w:tc>
        <w:tc>
          <w:tcPr>
            <w:tcW w:w="840" w:type="dxa"/>
            <w:tcBorders>
              <w:top w:val="nil"/>
              <w:left w:val="nil"/>
              <w:bottom w:val="nil"/>
              <w:right w:val="nil"/>
            </w:tcBorders>
            <w:vAlign w:val="center"/>
          </w:tcPr>
          <w:p w14:paraId="08AF2A3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1,6%</w:t>
            </w:r>
          </w:p>
        </w:tc>
        <w:tc>
          <w:tcPr>
            <w:tcW w:w="942" w:type="dxa"/>
            <w:tcBorders>
              <w:top w:val="nil"/>
              <w:left w:val="nil"/>
              <w:bottom w:val="nil"/>
              <w:right w:val="nil"/>
            </w:tcBorders>
            <w:vAlign w:val="center"/>
          </w:tcPr>
          <w:p w14:paraId="42F3EEA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17697,4%</w:t>
            </w:r>
          </w:p>
        </w:tc>
        <w:tc>
          <w:tcPr>
            <w:tcW w:w="984" w:type="dxa"/>
            <w:tcBorders>
              <w:top w:val="nil"/>
              <w:left w:val="nil"/>
              <w:bottom w:val="nil"/>
              <w:right w:val="nil"/>
            </w:tcBorders>
            <w:vAlign w:val="center"/>
          </w:tcPr>
          <w:p w14:paraId="23165E1F"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1,7%</w:t>
            </w:r>
          </w:p>
        </w:tc>
      </w:tr>
      <w:tr w:rsidR="00C522AD" w:rsidRPr="00C522AD" w14:paraId="06F42862" w14:textId="77777777" w:rsidTr="002D3A63">
        <w:trPr>
          <w:gridAfter w:val="1"/>
          <w:wAfter w:w="11" w:type="dxa"/>
          <w:trHeight w:val="255"/>
        </w:trPr>
        <w:tc>
          <w:tcPr>
            <w:tcW w:w="3686" w:type="dxa"/>
            <w:tcBorders>
              <w:top w:val="nil"/>
              <w:left w:val="nil"/>
              <w:bottom w:val="nil"/>
              <w:right w:val="nil"/>
            </w:tcBorders>
            <w:vAlign w:val="center"/>
          </w:tcPr>
          <w:p w14:paraId="39363F66" w14:textId="19BA3ABA"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 xml:space="preserve">Strumenti di </w:t>
            </w:r>
            <w:proofErr w:type="spellStart"/>
            <w:r w:rsidRPr="00C522AD">
              <w:rPr>
                <w:rFonts w:asciiTheme="majorHAnsi" w:eastAsia="Calibri" w:hAnsiTheme="majorHAnsi" w:cstheme="majorHAnsi"/>
              </w:rPr>
              <w:t>misuraz</w:t>
            </w:r>
            <w:proofErr w:type="spellEnd"/>
            <w:r w:rsidRPr="00C522AD">
              <w:rPr>
                <w:rFonts w:asciiTheme="majorHAnsi" w:eastAsia="Calibri" w:hAnsiTheme="majorHAnsi" w:cstheme="majorHAnsi"/>
              </w:rPr>
              <w:t xml:space="preserve">. prova e </w:t>
            </w:r>
            <w:proofErr w:type="spellStart"/>
            <w:r w:rsidRPr="00C522AD">
              <w:rPr>
                <w:rFonts w:asciiTheme="majorHAnsi" w:eastAsia="Calibri" w:hAnsiTheme="majorHAnsi" w:cstheme="majorHAnsi"/>
              </w:rPr>
              <w:t>navigaz</w:t>
            </w:r>
            <w:proofErr w:type="spellEnd"/>
            <w:r w:rsidR="00EA3100" w:rsidRPr="00C522AD">
              <w:rPr>
                <w:rFonts w:asciiTheme="majorHAnsi" w:eastAsia="Calibri" w:hAnsiTheme="majorHAnsi" w:cstheme="majorHAnsi"/>
              </w:rPr>
              <w:t>.</w:t>
            </w:r>
          </w:p>
        </w:tc>
        <w:tc>
          <w:tcPr>
            <w:tcW w:w="1314" w:type="dxa"/>
            <w:tcBorders>
              <w:top w:val="nil"/>
              <w:left w:val="nil"/>
              <w:bottom w:val="nil"/>
              <w:right w:val="nil"/>
            </w:tcBorders>
            <w:vAlign w:val="center"/>
          </w:tcPr>
          <w:p w14:paraId="712AEBF7"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49.652.125</w:t>
            </w:r>
          </w:p>
        </w:tc>
        <w:tc>
          <w:tcPr>
            <w:tcW w:w="1314" w:type="dxa"/>
            <w:tcBorders>
              <w:top w:val="nil"/>
              <w:left w:val="nil"/>
              <w:bottom w:val="nil"/>
              <w:right w:val="nil"/>
            </w:tcBorders>
            <w:vAlign w:val="center"/>
          </w:tcPr>
          <w:p w14:paraId="16AB609D"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49.151.512</w:t>
            </w:r>
          </w:p>
        </w:tc>
        <w:tc>
          <w:tcPr>
            <w:tcW w:w="840" w:type="dxa"/>
            <w:tcBorders>
              <w:top w:val="nil"/>
              <w:left w:val="nil"/>
              <w:bottom w:val="nil"/>
              <w:right w:val="nil"/>
            </w:tcBorders>
            <w:vAlign w:val="center"/>
          </w:tcPr>
          <w:p w14:paraId="47A6208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1,4%</w:t>
            </w:r>
          </w:p>
        </w:tc>
        <w:tc>
          <w:tcPr>
            <w:tcW w:w="942" w:type="dxa"/>
            <w:tcBorders>
              <w:top w:val="nil"/>
              <w:left w:val="nil"/>
              <w:bottom w:val="nil"/>
              <w:right w:val="nil"/>
            </w:tcBorders>
            <w:vAlign w:val="center"/>
          </w:tcPr>
          <w:p w14:paraId="4B39DAE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-1,0%</w:t>
            </w:r>
          </w:p>
        </w:tc>
        <w:tc>
          <w:tcPr>
            <w:tcW w:w="984" w:type="dxa"/>
            <w:tcBorders>
              <w:top w:val="nil"/>
              <w:left w:val="nil"/>
              <w:bottom w:val="nil"/>
              <w:right w:val="nil"/>
            </w:tcBorders>
            <w:vAlign w:val="center"/>
          </w:tcPr>
          <w:p w14:paraId="05902BFC"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0,0%</w:t>
            </w:r>
          </w:p>
        </w:tc>
      </w:tr>
      <w:tr w:rsidR="00C522AD" w:rsidRPr="00C522AD" w14:paraId="0DC25410" w14:textId="77777777" w:rsidTr="002D3A63">
        <w:trPr>
          <w:gridAfter w:val="1"/>
          <w:wAfter w:w="11" w:type="dxa"/>
          <w:trHeight w:val="255"/>
        </w:trPr>
        <w:tc>
          <w:tcPr>
            <w:tcW w:w="3686" w:type="dxa"/>
            <w:tcBorders>
              <w:top w:val="nil"/>
              <w:left w:val="nil"/>
              <w:bottom w:val="nil"/>
              <w:right w:val="nil"/>
            </w:tcBorders>
            <w:vAlign w:val="center"/>
          </w:tcPr>
          <w:p w14:paraId="5FBDF62A" w14:textId="4C72B943" w:rsidR="00C91C1B" w:rsidRPr="00C522AD" w:rsidRDefault="00EA3100">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U</w:t>
            </w:r>
            <w:r w:rsidR="00C227BB" w:rsidRPr="00C522AD">
              <w:rPr>
                <w:rFonts w:asciiTheme="majorHAnsi" w:eastAsia="Calibri" w:hAnsiTheme="majorHAnsi" w:cstheme="majorHAnsi"/>
              </w:rPr>
              <w:t>tensili e</w:t>
            </w:r>
            <w:r w:rsidRPr="00C522AD">
              <w:rPr>
                <w:rFonts w:asciiTheme="majorHAnsi" w:eastAsia="Calibri" w:hAnsiTheme="majorHAnsi" w:cstheme="majorHAnsi"/>
              </w:rPr>
              <w:t xml:space="preserve"> oggetti di </w:t>
            </w:r>
            <w:r w:rsidR="00C227BB" w:rsidRPr="00C522AD">
              <w:rPr>
                <w:rFonts w:asciiTheme="majorHAnsi" w:eastAsia="Calibri" w:hAnsiTheme="majorHAnsi" w:cstheme="majorHAnsi"/>
              </w:rPr>
              <w:t>ferramenta</w:t>
            </w:r>
          </w:p>
        </w:tc>
        <w:tc>
          <w:tcPr>
            <w:tcW w:w="1314" w:type="dxa"/>
            <w:tcBorders>
              <w:top w:val="nil"/>
              <w:left w:val="nil"/>
              <w:bottom w:val="nil"/>
              <w:right w:val="nil"/>
            </w:tcBorders>
            <w:vAlign w:val="center"/>
          </w:tcPr>
          <w:p w14:paraId="15999CCD"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52.010.287</w:t>
            </w:r>
          </w:p>
        </w:tc>
        <w:tc>
          <w:tcPr>
            <w:tcW w:w="1314" w:type="dxa"/>
            <w:tcBorders>
              <w:top w:val="nil"/>
              <w:left w:val="nil"/>
              <w:bottom w:val="nil"/>
              <w:right w:val="nil"/>
            </w:tcBorders>
            <w:vAlign w:val="center"/>
          </w:tcPr>
          <w:p w14:paraId="41211B65"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48.451.589</w:t>
            </w:r>
          </w:p>
        </w:tc>
        <w:tc>
          <w:tcPr>
            <w:tcW w:w="840" w:type="dxa"/>
            <w:tcBorders>
              <w:top w:val="nil"/>
              <w:left w:val="nil"/>
              <w:bottom w:val="nil"/>
              <w:right w:val="nil"/>
            </w:tcBorders>
            <w:vAlign w:val="center"/>
          </w:tcPr>
          <w:p w14:paraId="2E24D10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1,4%</w:t>
            </w:r>
          </w:p>
        </w:tc>
        <w:tc>
          <w:tcPr>
            <w:tcW w:w="942" w:type="dxa"/>
            <w:tcBorders>
              <w:top w:val="nil"/>
              <w:left w:val="nil"/>
              <w:bottom w:val="nil"/>
              <w:right w:val="nil"/>
            </w:tcBorders>
            <w:vAlign w:val="center"/>
          </w:tcPr>
          <w:p w14:paraId="5572C8A3"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-6,8%</w:t>
            </w:r>
          </w:p>
        </w:tc>
        <w:tc>
          <w:tcPr>
            <w:tcW w:w="984" w:type="dxa"/>
            <w:tcBorders>
              <w:top w:val="nil"/>
              <w:left w:val="nil"/>
              <w:bottom w:val="nil"/>
              <w:right w:val="nil"/>
            </w:tcBorders>
            <w:vAlign w:val="center"/>
          </w:tcPr>
          <w:p w14:paraId="2F87F4AD"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-0,1%</w:t>
            </w:r>
          </w:p>
        </w:tc>
      </w:tr>
      <w:tr w:rsidR="00C522AD" w:rsidRPr="00C522AD" w14:paraId="7BF4F64D" w14:textId="77777777" w:rsidTr="002D3A63">
        <w:trPr>
          <w:gridAfter w:val="1"/>
          <w:wAfter w:w="11" w:type="dxa"/>
          <w:trHeight w:val="255"/>
        </w:trPr>
        <w:tc>
          <w:tcPr>
            <w:tcW w:w="3686" w:type="dxa"/>
            <w:tcBorders>
              <w:top w:val="nil"/>
              <w:left w:val="nil"/>
              <w:bottom w:val="nil"/>
              <w:right w:val="nil"/>
            </w:tcBorders>
            <w:vAlign w:val="center"/>
          </w:tcPr>
          <w:p w14:paraId="731F9AAA"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rPr>
              <w:t>Altro</w:t>
            </w:r>
          </w:p>
        </w:tc>
        <w:tc>
          <w:tcPr>
            <w:tcW w:w="1314" w:type="dxa"/>
            <w:tcBorders>
              <w:top w:val="nil"/>
              <w:left w:val="nil"/>
              <w:bottom w:val="nil"/>
              <w:right w:val="nil"/>
            </w:tcBorders>
          </w:tcPr>
          <w:p w14:paraId="1E7D5615"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662.347.086</w:t>
            </w:r>
          </w:p>
        </w:tc>
        <w:tc>
          <w:tcPr>
            <w:tcW w:w="1314" w:type="dxa"/>
            <w:tcBorders>
              <w:top w:val="nil"/>
              <w:left w:val="nil"/>
              <w:bottom w:val="nil"/>
              <w:right w:val="nil"/>
            </w:tcBorders>
          </w:tcPr>
          <w:p w14:paraId="495C33E0" w14:textId="77777777" w:rsidR="00C91C1B" w:rsidRPr="00C522AD" w:rsidRDefault="00C227BB">
            <w:pPr>
              <w:pBdr>
                <w:top w:val="nil"/>
                <w:left w:val="nil"/>
                <w:bottom w:val="nil"/>
                <w:right w:val="nil"/>
                <w:between w:val="nil"/>
              </w:pBdr>
              <w:jc w:val="right"/>
              <w:rPr>
                <w:rFonts w:asciiTheme="majorHAnsi" w:eastAsia="Calibri" w:hAnsiTheme="majorHAnsi" w:cstheme="majorHAnsi"/>
              </w:rPr>
            </w:pPr>
            <w:r w:rsidRPr="00C522AD">
              <w:rPr>
                <w:rFonts w:asciiTheme="majorHAnsi" w:eastAsia="Calibri" w:hAnsiTheme="majorHAnsi" w:cstheme="majorHAnsi"/>
              </w:rPr>
              <w:t>724.567.239</w:t>
            </w:r>
          </w:p>
        </w:tc>
        <w:tc>
          <w:tcPr>
            <w:tcW w:w="840" w:type="dxa"/>
            <w:tcBorders>
              <w:top w:val="nil"/>
              <w:left w:val="nil"/>
              <w:bottom w:val="nil"/>
              <w:right w:val="nil"/>
            </w:tcBorders>
          </w:tcPr>
          <w:p w14:paraId="713F06D1"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21,3%</w:t>
            </w:r>
          </w:p>
        </w:tc>
        <w:tc>
          <w:tcPr>
            <w:tcW w:w="942" w:type="dxa"/>
            <w:tcBorders>
              <w:top w:val="nil"/>
              <w:left w:val="nil"/>
              <w:bottom w:val="nil"/>
              <w:right w:val="nil"/>
            </w:tcBorders>
          </w:tcPr>
          <w:p w14:paraId="19F57617"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rPr>
              <w:t>9,4%</w:t>
            </w:r>
          </w:p>
        </w:tc>
        <w:tc>
          <w:tcPr>
            <w:tcW w:w="984" w:type="dxa"/>
            <w:tcBorders>
              <w:top w:val="nil"/>
              <w:left w:val="nil"/>
              <w:bottom w:val="nil"/>
              <w:right w:val="nil"/>
            </w:tcBorders>
          </w:tcPr>
          <w:p w14:paraId="78C0151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i/>
                <w:iCs/>
              </w:rPr>
              <w:t>1,9%</w:t>
            </w:r>
          </w:p>
        </w:tc>
      </w:tr>
      <w:tr w:rsidR="00C522AD" w:rsidRPr="00C522AD" w14:paraId="34937529" w14:textId="77777777" w:rsidTr="002D3A63">
        <w:trPr>
          <w:gridAfter w:val="1"/>
          <w:wAfter w:w="11" w:type="dxa"/>
          <w:trHeight w:val="255"/>
        </w:trPr>
        <w:tc>
          <w:tcPr>
            <w:tcW w:w="3686" w:type="dxa"/>
            <w:tcBorders>
              <w:top w:val="single" w:sz="4" w:space="0" w:color="000000"/>
              <w:left w:val="nil"/>
              <w:bottom w:val="single" w:sz="4" w:space="0" w:color="000000"/>
              <w:right w:val="nil"/>
            </w:tcBorders>
            <w:vAlign w:val="center"/>
          </w:tcPr>
          <w:p w14:paraId="7F99F2F6" w14:textId="77777777" w:rsidR="00C91C1B" w:rsidRPr="00C522AD" w:rsidRDefault="00C227BB">
            <w:pPr>
              <w:pBdr>
                <w:top w:val="nil"/>
                <w:left w:val="nil"/>
                <w:bottom w:val="nil"/>
                <w:right w:val="nil"/>
                <w:between w:val="nil"/>
              </w:pBdr>
              <w:rPr>
                <w:rFonts w:asciiTheme="majorHAnsi" w:eastAsia="Calibri" w:hAnsiTheme="majorHAnsi" w:cstheme="majorHAnsi"/>
              </w:rPr>
            </w:pPr>
            <w:r w:rsidRPr="00C522AD">
              <w:rPr>
                <w:rFonts w:asciiTheme="majorHAnsi" w:eastAsia="Calibri" w:hAnsiTheme="majorHAnsi" w:cstheme="majorHAnsi"/>
                <w:b/>
                <w:bCs/>
              </w:rPr>
              <w:t>Totale</w:t>
            </w:r>
          </w:p>
        </w:tc>
        <w:tc>
          <w:tcPr>
            <w:tcW w:w="1314" w:type="dxa"/>
            <w:tcBorders>
              <w:top w:val="single" w:sz="4" w:space="0" w:color="000000"/>
              <w:left w:val="nil"/>
              <w:bottom w:val="single" w:sz="4" w:space="0" w:color="000000"/>
              <w:right w:val="nil"/>
            </w:tcBorders>
          </w:tcPr>
          <w:p w14:paraId="500AC579"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3.328.273.922</w:t>
            </w:r>
          </w:p>
        </w:tc>
        <w:tc>
          <w:tcPr>
            <w:tcW w:w="1314" w:type="dxa"/>
            <w:tcBorders>
              <w:top w:val="single" w:sz="4" w:space="0" w:color="000000"/>
              <w:left w:val="nil"/>
              <w:bottom w:val="single" w:sz="4" w:space="0" w:color="000000"/>
              <w:right w:val="nil"/>
            </w:tcBorders>
          </w:tcPr>
          <w:p w14:paraId="48468168"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3.393.876.112</w:t>
            </w:r>
          </w:p>
        </w:tc>
        <w:tc>
          <w:tcPr>
            <w:tcW w:w="840" w:type="dxa"/>
            <w:tcBorders>
              <w:top w:val="single" w:sz="4" w:space="0" w:color="000000"/>
              <w:left w:val="nil"/>
              <w:bottom w:val="single" w:sz="4" w:space="0" w:color="000000"/>
              <w:right w:val="nil"/>
            </w:tcBorders>
          </w:tcPr>
          <w:p w14:paraId="53DF5370"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100,0%</w:t>
            </w:r>
          </w:p>
        </w:tc>
        <w:tc>
          <w:tcPr>
            <w:tcW w:w="942" w:type="dxa"/>
            <w:tcBorders>
              <w:top w:val="single" w:sz="4" w:space="0" w:color="000000"/>
              <w:left w:val="nil"/>
              <w:bottom w:val="single" w:sz="4" w:space="0" w:color="000000"/>
              <w:right w:val="nil"/>
            </w:tcBorders>
          </w:tcPr>
          <w:p w14:paraId="3990D5AA"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rPr>
              <w:t>2,0%</w:t>
            </w:r>
          </w:p>
        </w:tc>
        <w:tc>
          <w:tcPr>
            <w:tcW w:w="984" w:type="dxa"/>
            <w:tcBorders>
              <w:top w:val="single" w:sz="4" w:space="0" w:color="000000"/>
              <w:left w:val="nil"/>
              <w:bottom w:val="single" w:sz="4" w:space="0" w:color="000000"/>
              <w:right w:val="nil"/>
            </w:tcBorders>
          </w:tcPr>
          <w:p w14:paraId="0461BCC5" w14:textId="77777777" w:rsidR="00C91C1B" w:rsidRPr="00C522AD" w:rsidRDefault="00C227BB">
            <w:pPr>
              <w:pBdr>
                <w:top w:val="nil"/>
                <w:left w:val="nil"/>
                <w:bottom w:val="nil"/>
                <w:right w:val="nil"/>
                <w:between w:val="nil"/>
              </w:pBdr>
              <w:jc w:val="center"/>
              <w:rPr>
                <w:rFonts w:asciiTheme="majorHAnsi" w:eastAsia="Calibri" w:hAnsiTheme="majorHAnsi" w:cstheme="majorHAnsi"/>
              </w:rPr>
            </w:pPr>
            <w:r w:rsidRPr="00C522AD">
              <w:rPr>
                <w:rFonts w:asciiTheme="majorHAnsi" w:eastAsia="Calibri" w:hAnsiTheme="majorHAnsi" w:cstheme="majorHAnsi"/>
                <w:b/>
                <w:bCs/>
                <w:i/>
                <w:iCs/>
              </w:rPr>
              <w:t>2,0%</w:t>
            </w:r>
          </w:p>
        </w:tc>
      </w:tr>
      <w:tr w:rsidR="00C522AD" w:rsidRPr="00C522AD" w14:paraId="2EC670B1" w14:textId="77777777" w:rsidTr="002D3A63">
        <w:trPr>
          <w:trHeight w:val="255"/>
        </w:trPr>
        <w:tc>
          <w:tcPr>
            <w:tcW w:w="9091" w:type="dxa"/>
            <w:gridSpan w:val="7"/>
            <w:tcBorders>
              <w:top w:val="nil"/>
              <w:left w:val="nil"/>
              <w:bottom w:val="nil"/>
              <w:right w:val="nil"/>
            </w:tcBorders>
            <w:vAlign w:val="center"/>
          </w:tcPr>
          <w:p w14:paraId="18026416" w14:textId="579823EB" w:rsidR="00C91C1B" w:rsidRPr="00C522AD" w:rsidRDefault="00C227BB">
            <w:pPr>
              <w:pBdr>
                <w:top w:val="nil"/>
                <w:left w:val="nil"/>
                <w:bottom w:val="nil"/>
                <w:right w:val="nil"/>
                <w:between w:val="nil"/>
              </w:pBdr>
            </w:pPr>
            <w:r w:rsidRPr="00C522AD">
              <w:rPr>
                <w:rFonts w:ascii="Calibri" w:eastAsia="Calibri" w:hAnsi="Calibri" w:cs="Calibri"/>
                <w:i/>
                <w:iCs/>
              </w:rPr>
              <w:t>Fonte: Elaborazioni Camera di Commercio Toscana Nord-Ovest-ISR su dati Istat (dati 2025 provvisori)</w:t>
            </w:r>
          </w:p>
        </w:tc>
      </w:tr>
    </w:tbl>
    <w:p w14:paraId="0DDE01D5" w14:textId="21116CDB" w:rsidR="00C91C1B" w:rsidRPr="00C522AD" w:rsidRDefault="00C227BB" w:rsidP="002F1060">
      <w:pPr>
        <w:pBdr>
          <w:top w:val="nil"/>
          <w:left w:val="nil"/>
          <w:bottom w:val="nil"/>
          <w:right w:val="nil"/>
          <w:between w:val="nil"/>
        </w:pBdr>
        <w:spacing w:before="240"/>
        <w:jc w:val="both"/>
        <w:rPr>
          <w:rFonts w:ascii="Calibri" w:eastAsia="Calibri" w:hAnsi="Calibri" w:cs="Calibri"/>
          <w:sz w:val="24"/>
          <w:szCs w:val="24"/>
        </w:rPr>
      </w:pPr>
      <w:r w:rsidRPr="00C522AD">
        <w:rPr>
          <w:rFonts w:ascii="Calibri" w:eastAsia="Calibri" w:hAnsi="Calibri" w:cs="Calibri"/>
          <w:sz w:val="24"/>
          <w:szCs w:val="24"/>
        </w:rPr>
        <w:t xml:space="preserve">Anche il 2025, così come era stato il 2024, non è stato un anno favorevole per l’export delle </w:t>
      </w:r>
      <w:r w:rsidRPr="00C522AD">
        <w:rPr>
          <w:rFonts w:ascii="Calibri" w:eastAsia="Calibri" w:hAnsi="Calibri" w:cs="Calibri"/>
          <w:b/>
          <w:bCs/>
          <w:sz w:val="24"/>
          <w:szCs w:val="24"/>
        </w:rPr>
        <w:t>calzature</w:t>
      </w:r>
      <w:r w:rsidRPr="00C522AD">
        <w:rPr>
          <w:rFonts w:ascii="Calibri" w:eastAsia="Calibri" w:hAnsi="Calibri" w:cs="Calibri"/>
          <w:sz w:val="24"/>
          <w:szCs w:val="24"/>
        </w:rPr>
        <w:t xml:space="preserve"> pisane a conferma di una fase di difficoltà caratterizzata da una diffusa debolezza dei mercati tradizionali. La flessione è risultata del -5,9%, corrispondente a un calo di circa 6,8 milioni di euro, che ha portato il valore complessivo delle vendite estere a 108 milioni di euro. In dettaglio</w:t>
      </w:r>
      <w:r w:rsidR="002F1060" w:rsidRPr="00C522AD">
        <w:rPr>
          <w:rFonts w:ascii="Calibri" w:eastAsia="Calibri" w:hAnsi="Calibri" w:cs="Calibri"/>
          <w:sz w:val="24"/>
          <w:szCs w:val="24"/>
        </w:rPr>
        <w:t>,</w:t>
      </w:r>
      <w:r w:rsidRPr="00C522AD">
        <w:rPr>
          <w:rFonts w:ascii="Calibri" w:eastAsia="Calibri" w:hAnsi="Calibri" w:cs="Calibri"/>
          <w:sz w:val="24"/>
          <w:szCs w:val="24"/>
        </w:rPr>
        <w:t xml:space="preserve"> </w:t>
      </w:r>
      <w:r w:rsidR="002F1060" w:rsidRPr="00C522AD">
        <w:rPr>
          <w:rFonts w:ascii="Calibri" w:eastAsia="Calibri" w:hAnsi="Calibri" w:cs="Calibri"/>
          <w:sz w:val="24"/>
          <w:szCs w:val="24"/>
        </w:rPr>
        <w:t xml:space="preserve">tra i paesi europei la Francia ha mantenuto la prima posizione tra i mercati di sbocco con 21 milioni di euro, pur registrando una flessione del 6,6% (-1,5 milioni), mentre i Paesi Bassi sono saliti al secondo posto con oltre 20 milioni di euro, grazie a una crescita dell’11,6% (+2,1 milioni), consolidando il rafforzamento già osservato nel 2024. </w:t>
      </w:r>
      <w:r w:rsidR="008766A6" w:rsidRPr="00C522AD">
        <w:rPr>
          <w:rFonts w:ascii="Calibri" w:eastAsia="Calibri" w:hAnsi="Calibri" w:cs="Calibri"/>
          <w:sz w:val="24"/>
          <w:szCs w:val="24"/>
        </w:rPr>
        <w:t>M</w:t>
      </w:r>
      <w:r w:rsidR="002F1060" w:rsidRPr="00C522AD">
        <w:rPr>
          <w:rFonts w:ascii="Calibri" w:eastAsia="Calibri" w:hAnsi="Calibri" w:cs="Calibri"/>
          <w:sz w:val="24"/>
          <w:szCs w:val="24"/>
        </w:rPr>
        <w:t>arcata è risultata invece la contrazione della Germania, scesa a 1</w:t>
      </w:r>
      <w:r w:rsidR="008766A6" w:rsidRPr="00C522AD">
        <w:rPr>
          <w:rFonts w:ascii="Calibri" w:eastAsia="Calibri" w:hAnsi="Calibri" w:cs="Calibri"/>
          <w:sz w:val="24"/>
          <w:szCs w:val="24"/>
        </w:rPr>
        <w:t>3</w:t>
      </w:r>
      <w:r w:rsidR="002F1060" w:rsidRPr="00C522AD">
        <w:rPr>
          <w:rFonts w:ascii="Calibri" w:eastAsia="Calibri" w:hAnsi="Calibri" w:cs="Calibri"/>
          <w:sz w:val="24"/>
          <w:szCs w:val="24"/>
        </w:rPr>
        <w:t xml:space="preserve"> milioni di euro con un calo del -23,4% (-3,9 milioni).</w:t>
      </w:r>
      <w:r w:rsidR="00504B82" w:rsidRPr="00C522AD">
        <w:rPr>
          <w:rFonts w:ascii="Calibri" w:eastAsia="Calibri" w:hAnsi="Calibri" w:cs="Calibri"/>
          <w:sz w:val="24"/>
          <w:szCs w:val="24"/>
        </w:rPr>
        <w:t xml:space="preserve"> Tra i principali partner commerciali, è</w:t>
      </w:r>
      <w:r w:rsidR="002F1060" w:rsidRPr="00C522AD">
        <w:rPr>
          <w:rFonts w:ascii="Calibri" w:eastAsia="Calibri" w:hAnsi="Calibri" w:cs="Calibri"/>
          <w:sz w:val="24"/>
          <w:szCs w:val="24"/>
        </w:rPr>
        <w:t xml:space="preserve"> proseguita la dinamica negativa degli Stati Uniti (-15,2%</w:t>
      </w:r>
      <w:r w:rsidR="00504B82" w:rsidRPr="00C522AD">
        <w:rPr>
          <w:rFonts w:ascii="Calibri" w:eastAsia="Calibri" w:hAnsi="Calibri" w:cs="Calibri"/>
          <w:sz w:val="24"/>
          <w:szCs w:val="24"/>
        </w:rPr>
        <w:t>; -3 milioni</w:t>
      </w:r>
      <w:r w:rsidR="002F1060" w:rsidRPr="00C522AD">
        <w:rPr>
          <w:rFonts w:ascii="Calibri" w:eastAsia="Calibri" w:hAnsi="Calibri" w:cs="Calibri"/>
          <w:sz w:val="24"/>
          <w:szCs w:val="24"/>
        </w:rPr>
        <w:t xml:space="preserve">) con le esportazioni scese a 16,3 milioni di euro, e del Regno Unito che ha segnato un calo del 32,9% </w:t>
      </w:r>
      <w:r w:rsidR="00504B82" w:rsidRPr="00C522AD">
        <w:rPr>
          <w:rFonts w:ascii="Calibri" w:eastAsia="Calibri" w:hAnsi="Calibri" w:cs="Calibri"/>
          <w:sz w:val="24"/>
          <w:szCs w:val="24"/>
        </w:rPr>
        <w:t xml:space="preserve">scendendo a </w:t>
      </w:r>
      <w:r w:rsidR="002F1060" w:rsidRPr="00C522AD">
        <w:rPr>
          <w:rFonts w:ascii="Calibri" w:eastAsia="Calibri" w:hAnsi="Calibri" w:cs="Calibri"/>
          <w:sz w:val="24"/>
          <w:szCs w:val="24"/>
        </w:rPr>
        <w:t>2,6 milioni. In crescita Hong Kong che più che raddoppiato gli acquisti superando i due milioni di euro.</w:t>
      </w:r>
      <w:r w:rsidRPr="00C522AD">
        <w:rPr>
          <w:rFonts w:ascii="Calibri" w:eastAsia="Calibri" w:hAnsi="Calibri" w:cs="Calibri"/>
          <w:sz w:val="24"/>
          <w:szCs w:val="24"/>
        </w:rPr>
        <w:t xml:space="preserve"> Nel 2025 l’export dell’</w:t>
      </w:r>
      <w:r w:rsidRPr="00C522AD">
        <w:rPr>
          <w:rFonts w:ascii="Calibri" w:eastAsia="Calibri" w:hAnsi="Calibri" w:cs="Calibri"/>
          <w:b/>
          <w:bCs/>
          <w:sz w:val="24"/>
          <w:szCs w:val="24"/>
        </w:rPr>
        <w:t>abbigliamento</w:t>
      </w:r>
      <w:r w:rsidRPr="00C522AD">
        <w:rPr>
          <w:rFonts w:ascii="Calibri" w:eastAsia="Calibri" w:hAnsi="Calibri" w:cs="Calibri"/>
          <w:sz w:val="24"/>
          <w:szCs w:val="24"/>
        </w:rPr>
        <w:t xml:space="preserve"> pisano ha registrato un forte recupero (+53,6%), salendo a </w:t>
      </w:r>
      <w:r w:rsidR="00C62B54" w:rsidRPr="00C522AD">
        <w:rPr>
          <w:rFonts w:ascii="Calibri" w:eastAsia="Calibri" w:hAnsi="Calibri" w:cs="Calibri"/>
          <w:sz w:val="24"/>
          <w:szCs w:val="24"/>
        </w:rPr>
        <w:t xml:space="preserve">complessivi </w:t>
      </w:r>
      <w:r w:rsidRPr="00C522AD">
        <w:rPr>
          <w:rFonts w:ascii="Calibri" w:eastAsia="Calibri" w:hAnsi="Calibri" w:cs="Calibri"/>
          <w:sz w:val="24"/>
          <w:szCs w:val="24"/>
        </w:rPr>
        <w:t>111 milioni di euro (+38 milioni). La Francia ha consolidato il primato (27,4 milioni; +22,4%), seguita dagli Stati Uniti (1</w:t>
      </w:r>
      <w:r w:rsidR="00C62B54" w:rsidRPr="00C522AD">
        <w:rPr>
          <w:rFonts w:ascii="Calibri" w:eastAsia="Calibri" w:hAnsi="Calibri" w:cs="Calibri"/>
          <w:sz w:val="24"/>
          <w:szCs w:val="24"/>
        </w:rPr>
        <w:t>8</w:t>
      </w:r>
      <w:r w:rsidRPr="00C522AD">
        <w:rPr>
          <w:rFonts w:ascii="Calibri" w:eastAsia="Calibri" w:hAnsi="Calibri" w:cs="Calibri"/>
          <w:sz w:val="24"/>
          <w:szCs w:val="24"/>
        </w:rPr>
        <w:t xml:space="preserve"> milioni; +15,5%), m</w:t>
      </w:r>
      <w:r w:rsidR="00C62B54" w:rsidRPr="00C522AD">
        <w:rPr>
          <w:rFonts w:ascii="Calibri" w:eastAsia="Calibri" w:hAnsi="Calibri" w:cs="Calibri"/>
          <w:sz w:val="24"/>
          <w:szCs w:val="24"/>
        </w:rPr>
        <w:t>a</w:t>
      </w:r>
      <w:r w:rsidRPr="00C522AD">
        <w:rPr>
          <w:rFonts w:ascii="Calibri" w:eastAsia="Calibri" w:hAnsi="Calibri" w:cs="Calibri"/>
          <w:sz w:val="24"/>
          <w:szCs w:val="24"/>
        </w:rPr>
        <w:t xml:space="preserve"> sono risultati molto dinamici anche Hong Kong (+29,4%), il Regno Unito (+77,1%) e soprattutto il Giappone </w:t>
      </w:r>
      <w:r w:rsidR="00C62B54" w:rsidRPr="00C522AD">
        <w:rPr>
          <w:rFonts w:ascii="Calibri" w:eastAsia="Calibri" w:hAnsi="Calibri" w:cs="Calibri"/>
          <w:sz w:val="24"/>
          <w:szCs w:val="24"/>
        </w:rPr>
        <w:t>cresciuto</w:t>
      </w:r>
      <w:r w:rsidR="00B60EDC" w:rsidRPr="00C522AD">
        <w:rPr>
          <w:rFonts w:ascii="Calibri" w:eastAsia="Calibri" w:hAnsi="Calibri" w:cs="Calibri"/>
          <w:sz w:val="24"/>
          <w:szCs w:val="24"/>
        </w:rPr>
        <w:t xml:space="preserve"> di quasi sette volt</w:t>
      </w:r>
      <w:r w:rsidR="00C62B54" w:rsidRPr="00C522AD">
        <w:rPr>
          <w:rFonts w:ascii="Calibri" w:eastAsia="Calibri" w:hAnsi="Calibri" w:cs="Calibri"/>
          <w:sz w:val="24"/>
          <w:szCs w:val="24"/>
        </w:rPr>
        <w:t>e</w:t>
      </w:r>
      <w:r w:rsidRPr="00C522AD">
        <w:rPr>
          <w:rFonts w:ascii="Calibri" w:eastAsia="Calibri" w:hAnsi="Calibri" w:cs="Calibri"/>
          <w:sz w:val="24"/>
          <w:szCs w:val="24"/>
        </w:rPr>
        <w:t>. Segnali positivi hanno interessato anche Spagna</w:t>
      </w:r>
      <w:r w:rsidR="00C62B54" w:rsidRPr="00C522AD">
        <w:rPr>
          <w:rFonts w:ascii="Calibri" w:eastAsia="Calibri" w:hAnsi="Calibri" w:cs="Calibri"/>
          <w:sz w:val="24"/>
          <w:szCs w:val="24"/>
        </w:rPr>
        <w:t xml:space="preserve"> e </w:t>
      </w:r>
      <w:r w:rsidRPr="00C522AD">
        <w:rPr>
          <w:rFonts w:ascii="Calibri" w:eastAsia="Calibri" w:hAnsi="Calibri" w:cs="Calibri"/>
          <w:sz w:val="24"/>
          <w:szCs w:val="24"/>
        </w:rPr>
        <w:t xml:space="preserve">Corea del Sud, </w:t>
      </w:r>
      <w:r w:rsidR="00C62B54" w:rsidRPr="00C522AD">
        <w:rPr>
          <w:rFonts w:ascii="Calibri" w:eastAsia="Calibri" w:hAnsi="Calibri" w:cs="Calibri"/>
          <w:sz w:val="24"/>
          <w:szCs w:val="24"/>
        </w:rPr>
        <w:t xml:space="preserve">oltre a diversi mercati emergenti </w:t>
      </w:r>
      <w:r w:rsidR="00504B82" w:rsidRPr="00C522AD">
        <w:rPr>
          <w:rFonts w:ascii="Calibri" w:eastAsia="Calibri" w:hAnsi="Calibri" w:cs="Calibri"/>
          <w:sz w:val="24"/>
          <w:szCs w:val="24"/>
        </w:rPr>
        <w:t>quali</w:t>
      </w:r>
      <w:r w:rsidR="00C62B54" w:rsidRPr="00C522AD">
        <w:rPr>
          <w:rFonts w:ascii="Calibri" w:eastAsia="Calibri" w:hAnsi="Calibri" w:cs="Calibri"/>
          <w:sz w:val="24"/>
          <w:szCs w:val="24"/>
        </w:rPr>
        <w:t xml:space="preserve"> </w:t>
      </w:r>
      <w:r w:rsidRPr="00C522AD">
        <w:rPr>
          <w:rFonts w:ascii="Calibri" w:eastAsia="Calibri" w:hAnsi="Calibri" w:cs="Calibri"/>
          <w:sz w:val="24"/>
          <w:szCs w:val="24"/>
        </w:rPr>
        <w:t>Arabia Saudita, Emirati Arabi Uniti e Qa</w:t>
      </w:r>
      <w:r w:rsidR="00145FEE" w:rsidRPr="00C522AD">
        <w:rPr>
          <w:rFonts w:ascii="Calibri" w:eastAsia="Calibri" w:hAnsi="Calibri" w:cs="Calibri"/>
          <w:sz w:val="24"/>
          <w:szCs w:val="24"/>
        </w:rPr>
        <w:t>tar, tutti in forte espansione.</w:t>
      </w:r>
    </w:p>
    <w:p w14:paraId="236CCC06" w14:textId="566D568B"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Un settore pisano che, dopo la flessione del 2024, si è stabilizzato nel 2025 è stato quello della </w:t>
      </w:r>
      <w:r w:rsidRPr="00C522AD">
        <w:rPr>
          <w:rFonts w:ascii="Calibri" w:eastAsia="Calibri" w:hAnsi="Calibri" w:cs="Calibri"/>
          <w:b/>
          <w:bCs/>
          <w:sz w:val="24"/>
          <w:szCs w:val="24"/>
        </w:rPr>
        <w:t>Meccanica</w:t>
      </w:r>
      <w:r w:rsidRPr="00C522AD">
        <w:rPr>
          <w:rFonts w:ascii="Calibri" w:eastAsia="Calibri" w:hAnsi="Calibri" w:cs="Calibri"/>
          <w:sz w:val="24"/>
          <w:szCs w:val="24"/>
        </w:rPr>
        <w:t xml:space="preserve">. Nel dettaglio, le </w:t>
      </w:r>
      <w:r w:rsidRPr="00C522AD">
        <w:rPr>
          <w:rFonts w:ascii="Calibri" w:eastAsia="Calibri" w:hAnsi="Calibri" w:cs="Calibri"/>
          <w:b/>
          <w:bCs/>
          <w:sz w:val="24"/>
          <w:szCs w:val="24"/>
        </w:rPr>
        <w:t>macchine di impiego generale</w:t>
      </w:r>
      <w:r w:rsidRPr="00C522AD">
        <w:rPr>
          <w:rFonts w:ascii="Calibri" w:eastAsia="Calibri" w:hAnsi="Calibri" w:cs="Calibri"/>
          <w:sz w:val="24"/>
          <w:szCs w:val="24"/>
        </w:rPr>
        <w:t xml:space="preserve"> hanno tenuto (+0,3%) raggiungendo circa 336 milioni di euro, ma con andamenti molto eterogenei tra i principali mercati. La Germania ha confermato il primato con 66 milioni di euro, pur evidenziando una netta flessione (-22,3%; -19 milioni), seguita dalla Francia anch’essa in calo (-14,3%; 47 milioni</w:t>
      </w:r>
      <w:r w:rsidR="008766A6" w:rsidRPr="00C522AD">
        <w:rPr>
          <w:rFonts w:ascii="Calibri" w:eastAsia="Calibri" w:hAnsi="Calibri" w:cs="Calibri"/>
          <w:sz w:val="24"/>
          <w:szCs w:val="24"/>
        </w:rPr>
        <w:t xml:space="preserve"> esportati</w:t>
      </w:r>
      <w:r w:rsidRPr="00C522AD">
        <w:rPr>
          <w:rFonts w:ascii="Calibri" w:eastAsia="Calibri" w:hAnsi="Calibri" w:cs="Calibri"/>
          <w:sz w:val="24"/>
          <w:szCs w:val="24"/>
        </w:rPr>
        <w:t>). Criticità rilevanti hanno interessato anche altri mercati tradizionali, come</w:t>
      </w:r>
      <w:r w:rsidR="00546FA7" w:rsidRPr="00C522AD">
        <w:rPr>
          <w:rFonts w:ascii="Calibri" w:eastAsia="Calibri" w:hAnsi="Calibri" w:cs="Calibri"/>
          <w:sz w:val="24"/>
          <w:szCs w:val="24"/>
        </w:rPr>
        <w:t xml:space="preserve"> la Corea del Sud (-35,1%</w:t>
      </w:r>
      <w:r w:rsidR="008766A6" w:rsidRPr="00C522AD">
        <w:rPr>
          <w:rFonts w:ascii="Calibri" w:eastAsia="Calibri" w:hAnsi="Calibri" w:cs="Calibri"/>
          <w:sz w:val="24"/>
          <w:szCs w:val="24"/>
        </w:rPr>
        <w:t>;</w:t>
      </w:r>
      <w:r w:rsidR="00546FA7" w:rsidRPr="00C522AD">
        <w:rPr>
          <w:rFonts w:ascii="Calibri" w:eastAsia="Calibri" w:hAnsi="Calibri" w:cs="Calibri"/>
          <w:sz w:val="24"/>
          <w:szCs w:val="24"/>
        </w:rPr>
        <w:t xml:space="preserve"> 18 milioni), </w:t>
      </w:r>
      <w:r w:rsidRPr="00C522AD">
        <w:rPr>
          <w:rFonts w:ascii="Calibri" w:eastAsia="Calibri" w:hAnsi="Calibri" w:cs="Calibri"/>
          <w:sz w:val="24"/>
          <w:szCs w:val="24"/>
        </w:rPr>
        <w:t>la Romania (-35,3%), il Regno Unito (-24,9%),</w:t>
      </w:r>
      <w:r w:rsidR="00546FA7" w:rsidRPr="00C522AD">
        <w:rPr>
          <w:rFonts w:ascii="Calibri" w:eastAsia="Calibri" w:hAnsi="Calibri" w:cs="Calibri"/>
          <w:sz w:val="24"/>
          <w:szCs w:val="24"/>
        </w:rPr>
        <w:t xml:space="preserve"> soprattutto</w:t>
      </w:r>
      <w:r w:rsidRPr="00C522AD">
        <w:rPr>
          <w:rFonts w:ascii="Calibri" w:eastAsia="Calibri" w:hAnsi="Calibri" w:cs="Calibri"/>
          <w:sz w:val="24"/>
          <w:szCs w:val="24"/>
        </w:rPr>
        <w:t xml:space="preserve"> il Messico, dove le esportazioni si sono quasi azzerate scendendo a poco più di </w:t>
      </w:r>
      <w:r w:rsidRPr="00C522AD">
        <w:rPr>
          <w:rFonts w:ascii="Calibri" w:eastAsia="Calibri" w:hAnsi="Calibri" w:cs="Calibri"/>
          <w:sz w:val="24"/>
          <w:szCs w:val="24"/>
        </w:rPr>
        <w:lastRenderedPageBreak/>
        <w:t>300 mila euro (-96,1%; -7,8 milioni</w:t>
      </w:r>
      <w:r w:rsidR="00B60EDC" w:rsidRPr="00C522AD">
        <w:rPr>
          <w:rFonts w:ascii="Calibri" w:eastAsia="Calibri" w:hAnsi="Calibri" w:cs="Calibri"/>
          <w:sz w:val="24"/>
          <w:szCs w:val="24"/>
        </w:rPr>
        <w:t>)</w:t>
      </w:r>
      <w:r w:rsidRPr="00C522AD">
        <w:rPr>
          <w:rFonts w:ascii="Calibri" w:eastAsia="Calibri" w:hAnsi="Calibri" w:cs="Calibri"/>
          <w:sz w:val="24"/>
          <w:szCs w:val="24"/>
        </w:rPr>
        <w:t xml:space="preserve">. Dinamiche </w:t>
      </w:r>
      <w:r w:rsidR="00546FA7" w:rsidRPr="00C522AD">
        <w:rPr>
          <w:rFonts w:ascii="Calibri" w:eastAsia="Calibri" w:hAnsi="Calibri" w:cs="Calibri"/>
          <w:sz w:val="24"/>
          <w:szCs w:val="24"/>
        </w:rPr>
        <w:t xml:space="preserve">positive </w:t>
      </w:r>
      <w:r w:rsidRPr="00C522AD">
        <w:rPr>
          <w:rFonts w:ascii="Calibri" w:eastAsia="Calibri" w:hAnsi="Calibri" w:cs="Calibri"/>
          <w:sz w:val="24"/>
          <w:szCs w:val="24"/>
        </w:rPr>
        <w:t xml:space="preserve">si sono invece registrate in alcuni mercati strategici: </w:t>
      </w:r>
      <w:r w:rsidR="00546FA7" w:rsidRPr="00C522AD">
        <w:rPr>
          <w:rFonts w:ascii="Calibri" w:eastAsia="Calibri" w:hAnsi="Calibri" w:cs="Calibri"/>
          <w:sz w:val="24"/>
          <w:szCs w:val="24"/>
        </w:rPr>
        <w:t xml:space="preserve">la Spagna è cresciuta del 22,2% sfiorando i 40 milioni, mentre le vendite verso la </w:t>
      </w:r>
      <w:r w:rsidRPr="00C522AD">
        <w:rPr>
          <w:rFonts w:ascii="Calibri" w:eastAsia="Calibri" w:hAnsi="Calibri" w:cs="Calibri"/>
          <w:sz w:val="24"/>
          <w:szCs w:val="24"/>
        </w:rPr>
        <w:t xml:space="preserve">Cina </w:t>
      </w:r>
      <w:r w:rsidR="00546FA7" w:rsidRPr="00C522AD">
        <w:rPr>
          <w:rFonts w:ascii="Calibri" w:eastAsia="Calibri" w:hAnsi="Calibri" w:cs="Calibri"/>
          <w:sz w:val="24"/>
          <w:szCs w:val="24"/>
        </w:rPr>
        <w:t xml:space="preserve">sono </w:t>
      </w:r>
      <w:r w:rsidR="00B60EDC" w:rsidRPr="00C522AD">
        <w:rPr>
          <w:rFonts w:ascii="Calibri" w:eastAsia="Calibri" w:hAnsi="Calibri" w:cs="Calibri"/>
          <w:sz w:val="24"/>
          <w:szCs w:val="24"/>
        </w:rPr>
        <w:t>quadruplica</w:t>
      </w:r>
      <w:r w:rsidR="00546FA7" w:rsidRPr="00C522AD">
        <w:rPr>
          <w:rFonts w:ascii="Calibri" w:eastAsia="Calibri" w:hAnsi="Calibri" w:cs="Calibri"/>
          <w:sz w:val="24"/>
          <w:szCs w:val="24"/>
        </w:rPr>
        <w:t xml:space="preserve">te </w:t>
      </w:r>
      <w:r w:rsidRPr="00C522AD">
        <w:rPr>
          <w:rFonts w:ascii="Calibri" w:eastAsia="Calibri" w:hAnsi="Calibri" w:cs="Calibri"/>
          <w:sz w:val="24"/>
          <w:szCs w:val="24"/>
        </w:rPr>
        <w:t xml:space="preserve">salendo a 34,5 milioni di euro e diventando </w:t>
      </w:r>
      <w:r w:rsidR="00546FA7" w:rsidRPr="00C522AD">
        <w:rPr>
          <w:rFonts w:ascii="Calibri" w:eastAsia="Calibri" w:hAnsi="Calibri" w:cs="Calibri"/>
          <w:sz w:val="24"/>
          <w:szCs w:val="24"/>
        </w:rPr>
        <w:t xml:space="preserve">il quarto mercato di </w:t>
      </w:r>
      <w:r w:rsidRPr="00C522AD">
        <w:rPr>
          <w:rFonts w:ascii="Calibri" w:eastAsia="Calibri" w:hAnsi="Calibri" w:cs="Calibri"/>
          <w:sz w:val="24"/>
          <w:szCs w:val="24"/>
        </w:rPr>
        <w:t>sbocc</w:t>
      </w:r>
      <w:r w:rsidR="00546FA7" w:rsidRPr="00C522AD">
        <w:rPr>
          <w:rFonts w:ascii="Calibri" w:eastAsia="Calibri" w:hAnsi="Calibri" w:cs="Calibri"/>
          <w:sz w:val="24"/>
          <w:szCs w:val="24"/>
        </w:rPr>
        <w:t>o. G</w:t>
      </w:r>
      <w:r w:rsidRPr="00C522AD">
        <w:rPr>
          <w:rFonts w:ascii="Calibri" w:eastAsia="Calibri" w:hAnsi="Calibri" w:cs="Calibri"/>
          <w:sz w:val="24"/>
          <w:szCs w:val="24"/>
        </w:rPr>
        <w:t>li Stati Uniti sono cresciuti del 14,6%</w:t>
      </w:r>
      <w:r w:rsidR="00546FA7" w:rsidRPr="00C522AD">
        <w:rPr>
          <w:rFonts w:ascii="Calibri" w:eastAsia="Calibri" w:hAnsi="Calibri" w:cs="Calibri"/>
          <w:sz w:val="24"/>
          <w:szCs w:val="24"/>
        </w:rPr>
        <w:t xml:space="preserve"> superando i 26 milioni, mentre l’Ungheria è balzata di un +72,6% (+9 milioni). Un a</w:t>
      </w:r>
      <w:r w:rsidRPr="00C522AD">
        <w:rPr>
          <w:rFonts w:ascii="Calibri" w:eastAsia="Calibri" w:hAnsi="Calibri" w:cs="Calibri"/>
          <w:sz w:val="24"/>
          <w:szCs w:val="24"/>
        </w:rPr>
        <w:t xml:space="preserve">ndamento moderatamente positivo ha caratterizzato anche le </w:t>
      </w:r>
      <w:r w:rsidRPr="00C522AD">
        <w:rPr>
          <w:rFonts w:ascii="Calibri" w:eastAsia="Calibri" w:hAnsi="Calibri" w:cs="Calibri"/>
          <w:b/>
          <w:bCs/>
          <w:sz w:val="24"/>
          <w:szCs w:val="24"/>
        </w:rPr>
        <w:t>altre macchine per impieghi speciali</w:t>
      </w:r>
      <w:r w:rsidRPr="00C522AD">
        <w:rPr>
          <w:rFonts w:ascii="Calibri" w:eastAsia="Calibri" w:hAnsi="Calibri" w:cs="Calibri"/>
          <w:sz w:val="24"/>
          <w:szCs w:val="24"/>
        </w:rPr>
        <w:t>, che hanno registrato un incremento del +2,4% raggiungendo circa 67 milioni di euro. In questo comparto gli Stati Uniti hanno consolidato il primato con 12 milioni di euro (+43,1%), seguiti da una Spagna in forte crescita (+60,1%; 7,7 milioni) e dalla Cina (+59,8%; 5,8 milioni). Al contrario, si sono registrate flessioni significative in alcuni mercati rilevanti, tra cui la Turchia (-29,2%), il Vietnam (-57,2%) e l’Egitto (-69%). L’</w:t>
      </w:r>
      <w:r w:rsidRPr="00C522AD">
        <w:rPr>
          <w:rFonts w:ascii="Calibri" w:eastAsia="Calibri" w:hAnsi="Calibri" w:cs="Calibri"/>
          <w:b/>
          <w:bCs/>
          <w:sz w:val="24"/>
          <w:szCs w:val="24"/>
        </w:rPr>
        <w:t xml:space="preserve">industria farmaceutica </w:t>
      </w:r>
      <w:r w:rsidRPr="00C522AD">
        <w:rPr>
          <w:rFonts w:ascii="Calibri" w:eastAsia="Calibri" w:hAnsi="Calibri" w:cs="Calibri"/>
          <w:sz w:val="24"/>
          <w:szCs w:val="24"/>
        </w:rPr>
        <w:t>pisana ha registrato nel 2025 una marcata crescita delle esportazioni, pari al +22,5%</w:t>
      </w:r>
      <w:r w:rsidR="008766A6" w:rsidRPr="00C522AD">
        <w:rPr>
          <w:rFonts w:ascii="Calibri" w:eastAsia="Calibri" w:hAnsi="Calibri" w:cs="Calibri"/>
          <w:sz w:val="24"/>
          <w:szCs w:val="24"/>
        </w:rPr>
        <w:t xml:space="preserve"> (+51 milioni)</w:t>
      </w:r>
      <w:r w:rsidRPr="00C522AD">
        <w:rPr>
          <w:rFonts w:ascii="Calibri" w:eastAsia="Calibri" w:hAnsi="Calibri" w:cs="Calibri"/>
          <w:sz w:val="24"/>
          <w:szCs w:val="24"/>
        </w:rPr>
        <w:t>, portando il valore complessivo a circa 276 milioni di euro e recuperando ampiamente la flessione dell’anno precedente. Il risultato è stato trainato principalmente dall’Austria che si è confermata di gran lunga il primo mercato di destinazione con oltre 217 milioni di euro e una crescita del +31,7%. Tra gli altri partner di rilievo, la Spagna si è mantenuta al secondo posto</w:t>
      </w:r>
      <w:r w:rsidR="008766A6" w:rsidRPr="00C522AD">
        <w:rPr>
          <w:rFonts w:ascii="Calibri" w:eastAsia="Calibri" w:hAnsi="Calibri" w:cs="Calibri"/>
          <w:sz w:val="24"/>
          <w:szCs w:val="24"/>
        </w:rPr>
        <w:t xml:space="preserve"> con 23 milioni di euro</w:t>
      </w:r>
      <w:r w:rsidRPr="00C522AD">
        <w:rPr>
          <w:rFonts w:ascii="Calibri" w:eastAsia="Calibri" w:hAnsi="Calibri" w:cs="Calibri"/>
          <w:sz w:val="24"/>
          <w:szCs w:val="24"/>
        </w:rPr>
        <w:t xml:space="preserve"> pur registrando una flessione </w:t>
      </w:r>
      <w:r w:rsidR="008766A6" w:rsidRPr="00C522AD">
        <w:rPr>
          <w:rFonts w:ascii="Calibri" w:eastAsia="Calibri" w:hAnsi="Calibri" w:cs="Calibri"/>
          <w:sz w:val="24"/>
          <w:szCs w:val="24"/>
        </w:rPr>
        <w:t xml:space="preserve">del </w:t>
      </w:r>
      <w:r w:rsidRPr="00C522AD">
        <w:rPr>
          <w:rFonts w:ascii="Calibri" w:eastAsia="Calibri" w:hAnsi="Calibri" w:cs="Calibri"/>
          <w:sz w:val="24"/>
          <w:szCs w:val="24"/>
        </w:rPr>
        <w:t>29,2%, mentre</w:t>
      </w:r>
      <w:r w:rsidR="004F711B" w:rsidRPr="00C522AD">
        <w:rPr>
          <w:rFonts w:ascii="Calibri" w:eastAsia="Calibri" w:hAnsi="Calibri" w:cs="Calibri"/>
          <w:sz w:val="24"/>
          <w:szCs w:val="24"/>
        </w:rPr>
        <w:t xml:space="preserve"> il Regno Unito (-16,1%) e la Francia (-17,3%)</w:t>
      </w:r>
      <w:r w:rsidRPr="00C522AD">
        <w:rPr>
          <w:rFonts w:ascii="Calibri" w:eastAsia="Calibri" w:hAnsi="Calibri" w:cs="Calibri"/>
          <w:sz w:val="24"/>
          <w:szCs w:val="24"/>
        </w:rPr>
        <w:t xml:space="preserve"> hanno evidenziato cali più contenuti ma comunque significativi. Segnali positivi sono arrivati da alcuni mercati europei di peso intermedio, tra cui la Grecia (+70%) e il Portogallo (+70,1%), </w:t>
      </w:r>
      <w:r w:rsidR="004F711B" w:rsidRPr="00C522AD">
        <w:rPr>
          <w:rFonts w:ascii="Calibri" w:eastAsia="Calibri" w:hAnsi="Calibri" w:cs="Calibri"/>
          <w:sz w:val="24"/>
          <w:szCs w:val="24"/>
        </w:rPr>
        <w:t>cui si sono ag</w:t>
      </w:r>
      <w:r w:rsidR="00145FEE" w:rsidRPr="00C522AD">
        <w:rPr>
          <w:rFonts w:ascii="Calibri" w:eastAsia="Calibri" w:hAnsi="Calibri" w:cs="Calibri"/>
          <w:sz w:val="24"/>
          <w:szCs w:val="24"/>
        </w:rPr>
        <w:t>giunti gli Emirati Arabi Uniti.</w:t>
      </w:r>
    </w:p>
    <w:p w14:paraId="1FDBD594" w14:textId="29E5BE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Diminuzioni hanno continuato a caratterizzare nel 2025 l’export del </w:t>
      </w:r>
      <w:r w:rsidRPr="00C522AD">
        <w:rPr>
          <w:rFonts w:ascii="Calibri" w:eastAsia="Calibri" w:hAnsi="Calibri" w:cs="Calibri"/>
          <w:b/>
          <w:bCs/>
          <w:sz w:val="24"/>
          <w:szCs w:val="24"/>
        </w:rPr>
        <w:t>settore chimico</w:t>
      </w:r>
      <w:r w:rsidR="0050189A" w:rsidRPr="00C522AD">
        <w:rPr>
          <w:rFonts w:ascii="Calibri" w:eastAsia="Calibri" w:hAnsi="Calibri" w:cs="Calibri"/>
          <w:bCs/>
          <w:sz w:val="24"/>
          <w:szCs w:val="24"/>
        </w:rPr>
        <w:t>,</w:t>
      </w:r>
      <w:r w:rsidRPr="00C522AD">
        <w:rPr>
          <w:rFonts w:ascii="Calibri" w:eastAsia="Calibri" w:hAnsi="Calibri" w:cs="Calibri"/>
          <w:sz w:val="24"/>
          <w:szCs w:val="24"/>
        </w:rPr>
        <w:t xml:space="preserve"> che ha registrato una flessione complessiva del </w:t>
      </w:r>
      <w:r w:rsidR="0050189A" w:rsidRPr="00C522AD">
        <w:rPr>
          <w:rFonts w:ascii="Calibri" w:eastAsia="Calibri" w:hAnsi="Calibri" w:cs="Calibri"/>
          <w:sz w:val="24"/>
          <w:szCs w:val="24"/>
        </w:rPr>
        <w:t>12,7%</w:t>
      </w:r>
      <w:r w:rsidRPr="00C522AD">
        <w:rPr>
          <w:rFonts w:ascii="Calibri" w:eastAsia="Calibri" w:hAnsi="Calibri" w:cs="Calibri"/>
          <w:sz w:val="24"/>
          <w:szCs w:val="24"/>
        </w:rPr>
        <w:t xml:space="preserve"> scendendo a circa 113 milioni di euro, con una perdita di oltre 16 milioni rispetto al 2024. La Spagna si è confermata il principale mercato di sbocco con </w:t>
      </w:r>
      <w:r w:rsidR="0050189A" w:rsidRPr="00C522AD">
        <w:rPr>
          <w:rFonts w:ascii="Calibri" w:eastAsia="Calibri" w:hAnsi="Calibri" w:cs="Calibri"/>
          <w:sz w:val="24"/>
          <w:szCs w:val="24"/>
        </w:rPr>
        <w:t xml:space="preserve">quasi </w:t>
      </w:r>
      <w:r w:rsidRPr="00C522AD">
        <w:rPr>
          <w:rFonts w:ascii="Calibri" w:eastAsia="Calibri" w:hAnsi="Calibri" w:cs="Calibri"/>
          <w:sz w:val="24"/>
          <w:szCs w:val="24"/>
        </w:rPr>
        <w:t>2</w:t>
      </w:r>
      <w:r w:rsidR="0050189A" w:rsidRPr="00C522AD">
        <w:rPr>
          <w:rFonts w:ascii="Calibri" w:eastAsia="Calibri" w:hAnsi="Calibri" w:cs="Calibri"/>
          <w:sz w:val="24"/>
          <w:szCs w:val="24"/>
        </w:rPr>
        <w:t>3</w:t>
      </w:r>
      <w:r w:rsidRPr="00C522AD">
        <w:rPr>
          <w:rFonts w:ascii="Calibri" w:eastAsia="Calibri" w:hAnsi="Calibri" w:cs="Calibri"/>
          <w:sz w:val="24"/>
          <w:szCs w:val="24"/>
        </w:rPr>
        <w:t xml:space="preserve"> milioni di euro, pur evidenziando una marcata contrazione (-19%). In calo anche la Francia, seconda destinazione con 13,5 milioni (-17,5%</w:t>
      </w:r>
      <w:r w:rsidR="0050189A" w:rsidRPr="00C522AD">
        <w:rPr>
          <w:rFonts w:ascii="Calibri" w:eastAsia="Calibri" w:hAnsi="Calibri" w:cs="Calibri"/>
          <w:sz w:val="24"/>
          <w:szCs w:val="24"/>
        </w:rPr>
        <w:t>; -3 milioni</w:t>
      </w:r>
      <w:r w:rsidRPr="00C522AD">
        <w:rPr>
          <w:rFonts w:ascii="Calibri" w:eastAsia="Calibri" w:hAnsi="Calibri" w:cs="Calibri"/>
          <w:sz w:val="24"/>
          <w:szCs w:val="24"/>
        </w:rPr>
        <w:t>), mentre la Germania, terzo mercato, ha mostrato un recupero (+9%; +1,1 milioni) attestandosi a 13,2 milioni. Tra gli altri mercati europei, hanno registrato</w:t>
      </w:r>
      <w:r w:rsidR="0050189A" w:rsidRPr="00C522AD">
        <w:rPr>
          <w:rFonts w:ascii="Calibri" w:eastAsia="Calibri" w:hAnsi="Calibri" w:cs="Calibri"/>
          <w:sz w:val="24"/>
          <w:szCs w:val="24"/>
        </w:rPr>
        <w:t xml:space="preserve"> flessioni la Polonia (-15,3%) e soprattutto la Svizzera che ha perso 3,4 milioni nell’anno (-90,2%)</w:t>
      </w:r>
      <w:r w:rsidRPr="00C522AD">
        <w:rPr>
          <w:rFonts w:ascii="Calibri" w:eastAsia="Calibri" w:hAnsi="Calibri" w:cs="Calibri"/>
          <w:sz w:val="24"/>
          <w:szCs w:val="24"/>
        </w:rPr>
        <w:t>. Dinamiche divergenti hanno caratterizzato anche i mercati extra-UE: la Cina ha sub</w:t>
      </w:r>
      <w:r w:rsidR="0085215F" w:rsidRPr="00C522AD">
        <w:rPr>
          <w:rFonts w:ascii="Calibri" w:eastAsia="Calibri" w:hAnsi="Calibri" w:cs="Calibri"/>
          <w:sz w:val="24"/>
          <w:szCs w:val="24"/>
        </w:rPr>
        <w:t>ì</w:t>
      </w:r>
      <w:r w:rsidRPr="00C522AD">
        <w:rPr>
          <w:rFonts w:ascii="Calibri" w:eastAsia="Calibri" w:hAnsi="Calibri" w:cs="Calibri"/>
          <w:sz w:val="24"/>
          <w:szCs w:val="24"/>
        </w:rPr>
        <w:t xml:space="preserve">to una contrazione significativa (-35%), così come l’India (-46,3%) e </w:t>
      </w:r>
      <w:r w:rsidR="0050189A" w:rsidRPr="00C522AD">
        <w:rPr>
          <w:rFonts w:ascii="Calibri" w:eastAsia="Calibri" w:hAnsi="Calibri" w:cs="Calibri"/>
          <w:sz w:val="24"/>
          <w:szCs w:val="24"/>
        </w:rPr>
        <w:t>la Corea del Sud</w:t>
      </w:r>
      <w:r w:rsidRPr="00C522AD">
        <w:rPr>
          <w:rFonts w:ascii="Calibri" w:eastAsia="Calibri" w:hAnsi="Calibri" w:cs="Calibri"/>
          <w:sz w:val="24"/>
          <w:szCs w:val="24"/>
        </w:rPr>
        <w:t xml:space="preserve"> (-</w:t>
      </w:r>
      <w:r w:rsidR="0050189A" w:rsidRPr="00C522AD">
        <w:rPr>
          <w:rFonts w:ascii="Calibri" w:eastAsia="Calibri" w:hAnsi="Calibri" w:cs="Calibri"/>
          <w:sz w:val="24"/>
          <w:szCs w:val="24"/>
        </w:rPr>
        <w:t>6</w:t>
      </w:r>
      <w:r w:rsidRPr="00C522AD">
        <w:rPr>
          <w:rFonts w:ascii="Calibri" w:eastAsia="Calibri" w:hAnsi="Calibri" w:cs="Calibri"/>
          <w:sz w:val="24"/>
          <w:szCs w:val="24"/>
        </w:rPr>
        <w:t>0%), mentre</w:t>
      </w:r>
      <w:r w:rsidR="00BC37A5" w:rsidRPr="00C522AD">
        <w:rPr>
          <w:rFonts w:ascii="Calibri" w:eastAsia="Calibri" w:hAnsi="Calibri" w:cs="Calibri"/>
          <w:sz w:val="24"/>
          <w:szCs w:val="24"/>
        </w:rPr>
        <w:t xml:space="preserve"> sono cresciute le vendite verso Repubblica Ceca, Brasile e Messico</w:t>
      </w:r>
      <w:r w:rsidRPr="00C522AD">
        <w:rPr>
          <w:rFonts w:ascii="Calibri" w:eastAsia="Calibri" w:hAnsi="Calibri" w:cs="Calibri"/>
          <w:sz w:val="24"/>
          <w:szCs w:val="24"/>
        </w:rPr>
        <w:t xml:space="preserve">. Marcata contrazione nel 2025 anche per il settore </w:t>
      </w:r>
      <w:r w:rsidR="00145FEE" w:rsidRPr="00C522AD">
        <w:rPr>
          <w:rFonts w:ascii="Calibri" w:eastAsia="Calibri" w:hAnsi="Calibri" w:cs="Calibri"/>
          <w:sz w:val="24"/>
          <w:szCs w:val="24"/>
        </w:rPr>
        <w:t>dei</w:t>
      </w:r>
      <w:r w:rsidR="00145FEE" w:rsidRPr="00C522AD">
        <w:rPr>
          <w:rFonts w:ascii="Calibri" w:eastAsia="Calibri" w:hAnsi="Calibri" w:cs="Calibri"/>
          <w:b/>
          <w:sz w:val="24"/>
          <w:szCs w:val="24"/>
        </w:rPr>
        <w:t xml:space="preserve"> mobili</w:t>
      </w:r>
      <w:r w:rsidR="0085215F" w:rsidRPr="00C522AD">
        <w:rPr>
          <w:rFonts w:ascii="Calibri" w:eastAsia="Calibri" w:hAnsi="Calibri" w:cs="Calibri"/>
          <w:b/>
          <w:sz w:val="24"/>
          <w:szCs w:val="24"/>
        </w:rPr>
        <w:t>,</w:t>
      </w:r>
      <w:r w:rsidR="00DE0180" w:rsidRPr="00C522AD">
        <w:rPr>
          <w:rFonts w:ascii="Calibri" w:eastAsia="Calibri" w:hAnsi="Calibri" w:cs="Calibri"/>
          <w:sz w:val="24"/>
          <w:szCs w:val="24"/>
        </w:rPr>
        <w:t xml:space="preserve"> </w:t>
      </w:r>
      <w:r w:rsidRPr="00C522AD">
        <w:rPr>
          <w:rFonts w:ascii="Calibri" w:eastAsia="Calibri" w:hAnsi="Calibri" w:cs="Calibri"/>
          <w:sz w:val="24"/>
          <w:szCs w:val="24"/>
        </w:rPr>
        <w:t xml:space="preserve">con esportazioni scese a circa 84 milioni di euro (-20%) che hanno accentuato il calo già avviato nel 2024. La Cina si è confermata primo mercato di sbocco con 9 milioni di euro, pur in flessione (-9,2%), seguita dagli Stati Uniti (-5%), mentre la Francia, </w:t>
      </w:r>
      <w:r w:rsidR="0085215F" w:rsidRPr="00C522AD">
        <w:rPr>
          <w:rFonts w:ascii="Calibri" w:eastAsia="Calibri" w:hAnsi="Calibri" w:cs="Calibri"/>
          <w:sz w:val="24"/>
          <w:szCs w:val="24"/>
        </w:rPr>
        <w:t xml:space="preserve">primo paese di destinazione nel </w:t>
      </w:r>
      <w:r w:rsidRPr="00C522AD">
        <w:rPr>
          <w:rFonts w:ascii="Calibri" w:eastAsia="Calibri" w:hAnsi="Calibri" w:cs="Calibri"/>
          <w:sz w:val="24"/>
          <w:szCs w:val="24"/>
        </w:rPr>
        <w:t>2024, ha sub</w:t>
      </w:r>
      <w:r w:rsidR="0085215F" w:rsidRPr="00C522AD">
        <w:rPr>
          <w:rFonts w:ascii="Calibri" w:eastAsia="Calibri" w:hAnsi="Calibri" w:cs="Calibri"/>
          <w:sz w:val="24"/>
          <w:szCs w:val="24"/>
        </w:rPr>
        <w:t>ì</w:t>
      </w:r>
      <w:r w:rsidRPr="00C522AD">
        <w:rPr>
          <w:rFonts w:ascii="Calibri" w:eastAsia="Calibri" w:hAnsi="Calibri" w:cs="Calibri"/>
          <w:sz w:val="24"/>
          <w:szCs w:val="24"/>
        </w:rPr>
        <w:t xml:space="preserve">to un ridimensionamento molto marcato (-37,7%). </w:t>
      </w:r>
    </w:p>
    <w:p w14:paraId="4F9D489C" w14:textId="2892E4EB" w:rsidR="00C91C1B" w:rsidRPr="00C522AD" w:rsidRDefault="00C227BB" w:rsidP="00B860D5">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 xml:space="preserve">Le vendite estere di </w:t>
      </w:r>
      <w:r w:rsidRPr="00C522AD">
        <w:rPr>
          <w:rFonts w:ascii="Calibri" w:eastAsia="Calibri" w:hAnsi="Calibri" w:cs="Calibri"/>
          <w:b/>
          <w:bCs/>
          <w:sz w:val="24"/>
          <w:szCs w:val="24"/>
        </w:rPr>
        <w:t>bevande,</w:t>
      </w:r>
      <w:r w:rsidRPr="00C522AD">
        <w:rPr>
          <w:rFonts w:ascii="Calibri" w:eastAsia="Calibri" w:hAnsi="Calibri" w:cs="Calibri"/>
          <w:sz w:val="24"/>
          <w:szCs w:val="24"/>
        </w:rPr>
        <w:t xml:space="preserve"> che per il territorio pisano significano prevalentemente vino, hanno registrato nel 2025 una lieve flessione del 3,2%, attestandosi a circa 69 milioni di euro, dopo la crescita osservata nel 2024. Il mercato statunitense, di gran lunga il più rilevante, ha mantenuto il primato con 21,8 milioni di euro, pur evidenziando un calo significativo (-16,9%; -4,4 milioni). Tra le principali destinazioni europee, i Paesi Bassi hanno mostrato una lieve contrazione (-5,1%), mentre la Svezia ha continuato a crescere (+6,9%). In forte espansione il Regno Unito, che è</w:t>
      </w:r>
      <w:r w:rsidR="00892F7D" w:rsidRPr="00C522AD">
        <w:rPr>
          <w:rFonts w:ascii="Calibri" w:eastAsia="Calibri" w:hAnsi="Calibri" w:cs="Calibri"/>
          <w:sz w:val="24"/>
          <w:szCs w:val="24"/>
        </w:rPr>
        <w:t xml:space="preserve"> salito a 3,5 milioni di euro triplicando i valori nell’anno</w:t>
      </w:r>
      <w:r w:rsidRPr="00C522AD">
        <w:rPr>
          <w:rFonts w:ascii="Calibri" w:eastAsia="Calibri" w:hAnsi="Calibri" w:cs="Calibri"/>
          <w:sz w:val="24"/>
          <w:szCs w:val="24"/>
        </w:rPr>
        <w:t>, mentre</w:t>
      </w:r>
      <w:r w:rsidR="00892F7D" w:rsidRPr="00C522AD">
        <w:rPr>
          <w:rFonts w:ascii="Calibri" w:eastAsia="Calibri" w:hAnsi="Calibri" w:cs="Calibri"/>
          <w:sz w:val="24"/>
          <w:szCs w:val="24"/>
        </w:rPr>
        <w:t xml:space="preserve"> Finlandia (-13,8%) e </w:t>
      </w:r>
      <w:r w:rsidRPr="00C522AD">
        <w:rPr>
          <w:rFonts w:ascii="Calibri" w:eastAsia="Calibri" w:hAnsi="Calibri" w:cs="Calibri"/>
          <w:sz w:val="24"/>
          <w:szCs w:val="24"/>
        </w:rPr>
        <w:t xml:space="preserve">Germania </w:t>
      </w:r>
      <w:r w:rsidR="00892F7D" w:rsidRPr="00C522AD">
        <w:rPr>
          <w:rFonts w:ascii="Calibri" w:eastAsia="Calibri" w:hAnsi="Calibri" w:cs="Calibri"/>
          <w:sz w:val="24"/>
          <w:szCs w:val="24"/>
        </w:rPr>
        <w:t xml:space="preserve">(-10,7%) </w:t>
      </w:r>
      <w:r w:rsidRPr="00C522AD">
        <w:rPr>
          <w:rFonts w:ascii="Calibri" w:eastAsia="Calibri" w:hAnsi="Calibri" w:cs="Calibri"/>
          <w:sz w:val="24"/>
          <w:szCs w:val="24"/>
        </w:rPr>
        <w:t>ha</w:t>
      </w:r>
      <w:r w:rsidR="00892F7D" w:rsidRPr="00C522AD">
        <w:rPr>
          <w:rFonts w:ascii="Calibri" w:eastAsia="Calibri" w:hAnsi="Calibri" w:cs="Calibri"/>
          <w:sz w:val="24"/>
          <w:szCs w:val="24"/>
        </w:rPr>
        <w:t>nno</w:t>
      </w:r>
      <w:r w:rsidRPr="00C522AD">
        <w:rPr>
          <w:rFonts w:ascii="Calibri" w:eastAsia="Calibri" w:hAnsi="Calibri" w:cs="Calibri"/>
          <w:sz w:val="24"/>
          <w:szCs w:val="24"/>
        </w:rPr>
        <w:t xml:space="preserve"> </w:t>
      </w:r>
      <w:r w:rsidR="00892F7D" w:rsidRPr="00C522AD">
        <w:rPr>
          <w:rFonts w:ascii="Calibri" w:eastAsia="Calibri" w:hAnsi="Calibri" w:cs="Calibri"/>
          <w:sz w:val="24"/>
          <w:szCs w:val="24"/>
        </w:rPr>
        <w:t>segnato</w:t>
      </w:r>
      <w:r w:rsidRPr="00C522AD">
        <w:rPr>
          <w:rFonts w:ascii="Calibri" w:eastAsia="Calibri" w:hAnsi="Calibri" w:cs="Calibri"/>
          <w:sz w:val="24"/>
          <w:szCs w:val="24"/>
        </w:rPr>
        <w:t xml:space="preserve"> una flessione. Andamenti differenziati hanno caratterizzato gli altri mercati: </w:t>
      </w:r>
      <w:r w:rsidR="00892F7D" w:rsidRPr="00C522AD">
        <w:rPr>
          <w:rFonts w:ascii="Calibri" w:eastAsia="Calibri" w:hAnsi="Calibri" w:cs="Calibri"/>
          <w:sz w:val="24"/>
          <w:szCs w:val="24"/>
        </w:rPr>
        <w:t xml:space="preserve">la Svizzera (+26,3%; 3 milioni) e </w:t>
      </w:r>
      <w:r w:rsidRPr="00C522AD">
        <w:rPr>
          <w:rFonts w:ascii="Calibri" w:eastAsia="Calibri" w:hAnsi="Calibri" w:cs="Calibri"/>
          <w:sz w:val="24"/>
          <w:szCs w:val="24"/>
        </w:rPr>
        <w:t>il Giappone</w:t>
      </w:r>
      <w:r w:rsidR="005C0F4A" w:rsidRPr="00C522AD">
        <w:rPr>
          <w:rFonts w:ascii="Calibri" w:eastAsia="Calibri" w:hAnsi="Calibri" w:cs="Calibri"/>
          <w:sz w:val="24"/>
          <w:szCs w:val="24"/>
        </w:rPr>
        <w:t xml:space="preserve"> (+27,2%; 2 milioni)</w:t>
      </w:r>
      <w:r w:rsidRPr="00C522AD">
        <w:rPr>
          <w:rFonts w:ascii="Calibri" w:eastAsia="Calibri" w:hAnsi="Calibri" w:cs="Calibri"/>
          <w:sz w:val="24"/>
          <w:szCs w:val="24"/>
        </w:rPr>
        <w:t xml:space="preserve"> ha</w:t>
      </w:r>
      <w:r w:rsidR="00892F7D" w:rsidRPr="00C522AD">
        <w:rPr>
          <w:rFonts w:ascii="Calibri" w:eastAsia="Calibri" w:hAnsi="Calibri" w:cs="Calibri"/>
          <w:sz w:val="24"/>
          <w:szCs w:val="24"/>
        </w:rPr>
        <w:t xml:space="preserve">nno </w:t>
      </w:r>
      <w:r w:rsidRPr="00C522AD">
        <w:rPr>
          <w:rFonts w:ascii="Calibri" w:eastAsia="Calibri" w:hAnsi="Calibri" w:cs="Calibri"/>
          <w:sz w:val="24"/>
          <w:szCs w:val="24"/>
        </w:rPr>
        <w:t>recuperato, al contrario si sono osservate co</w:t>
      </w:r>
      <w:r w:rsidR="00892F7D" w:rsidRPr="00C522AD">
        <w:rPr>
          <w:rFonts w:ascii="Calibri" w:eastAsia="Calibri" w:hAnsi="Calibri" w:cs="Calibri"/>
          <w:sz w:val="24"/>
          <w:szCs w:val="24"/>
        </w:rPr>
        <w:t>ntrazioni in</w:t>
      </w:r>
      <w:r w:rsidR="00346DA9" w:rsidRPr="00C522AD">
        <w:rPr>
          <w:rFonts w:ascii="Calibri" w:eastAsia="Calibri" w:hAnsi="Calibri" w:cs="Calibri"/>
          <w:sz w:val="24"/>
          <w:szCs w:val="24"/>
        </w:rPr>
        <w:t xml:space="preserve"> Polonia, </w:t>
      </w:r>
      <w:r w:rsidR="00892F7D" w:rsidRPr="00C522AD">
        <w:rPr>
          <w:rFonts w:ascii="Calibri" w:eastAsia="Calibri" w:hAnsi="Calibri" w:cs="Calibri"/>
          <w:sz w:val="24"/>
          <w:szCs w:val="24"/>
        </w:rPr>
        <w:t>Francia</w:t>
      </w:r>
      <w:r w:rsidR="00346DA9" w:rsidRPr="00C522AD">
        <w:rPr>
          <w:rFonts w:ascii="Calibri" w:eastAsia="Calibri" w:hAnsi="Calibri" w:cs="Calibri"/>
          <w:sz w:val="24"/>
          <w:szCs w:val="24"/>
        </w:rPr>
        <w:t xml:space="preserve"> e Belgio</w:t>
      </w:r>
      <w:r w:rsidRPr="00C522AD">
        <w:rPr>
          <w:rFonts w:ascii="Calibri" w:eastAsia="Calibri" w:hAnsi="Calibri" w:cs="Calibri"/>
          <w:sz w:val="24"/>
          <w:szCs w:val="24"/>
        </w:rPr>
        <w:t xml:space="preserve">. </w:t>
      </w:r>
    </w:p>
    <w:p w14:paraId="2D414064" w14:textId="3198BF31" w:rsidR="00B860D5" w:rsidRPr="00C522AD" w:rsidRDefault="00B860D5" w:rsidP="00B860D5">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 xml:space="preserve">Nell’anno si </w:t>
      </w:r>
      <w:r w:rsidR="005C0F4A" w:rsidRPr="00C522AD">
        <w:rPr>
          <w:rFonts w:ascii="Calibri" w:eastAsia="Calibri" w:hAnsi="Calibri" w:cs="Calibri"/>
          <w:sz w:val="24"/>
          <w:szCs w:val="24"/>
        </w:rPr>
        <w:t xml:space="preserve">è </w:t>
      </w:r>
      <w:r w:rsidRPr="00C522AD">
        <w:rPr>
          <w:rFonts w:ascii="Calibri" w:eastAsia="Calibri" w:hAnsi="Calibri" w:cs="Calibri"/>
          <w:sz w:val="24"/>
          <w:szCs w:val="24"/>
        </w:rPr>
        <w:t>registra</w:t>
      </w:r>
      <w:r w:rsidR="005C0F4A" w:rsidRPr="00C522AD">
        <w:rPr>
          <w:rFonts w:ascii="Calibri" w:eastAsia="Calibri" w:hAnsi="Calibri" w:cs="Calibri"/>
          <w:sz w:val="24"/>
          <w:szCs w:val="24"/>
        </w:rPr>
        <w:t>ta</w:t>
      </w:r>
      <w:r w:rsidRPr="00C522AD">
        <w:rPr>
          <w:rFonts w:ascii="Calibri" w:eastAsia="Calibri" w:hAnsi="Calibri" w:cs="Calibri"/>
          <w:sz w:val="24"/>
          <w:szCs w:val="24"/>
        </w:rPr>
        <w:t xml:space="preserve"> inoltre un’anomala crescita delle vendite di </w:t>
      </w:r>
      <w:r w:rsidRPr="00C522AD">
        <w:rPr>
          <w:rFonts w:ascii="Calibri" w:eastAsia="Calibri" w:hAnsi="Calibri" w:cs="Calibri"/>
          <w:b/>
          <w:sz w:val="24"/>
          <w:szCs w:val="24"/>
        </w:rPr>
        <w:t>prodotti derivanti dalla raffinazione del petrolio</w:t>
      </w:r>
      <w:r w:rsidRPr="00C522AD">
        <w:rPr>
          <w:rFonts w:ascii="Calibri" w:eastAsia="Calibri" w:hAnsi="Calibri" w:cs="Calibri"/>
          <w:sz w:val="24"/>
          <w:szCs w:val="24"/>
        </w:rPr>
        <w:t xml:space="preserve"> dirette verso la Svizzera (54 milioni): si tratta, con elevata probabilità, di flussi riconducibili a operazioni straordinarie o di natura logistica-</w:t>
      </w:r>
      <w:r w:rsidRPr="00C522AD">
        <w:rPr>
          <w:rFonts w:ascii="Calibri" w:eastAsia="Calibri" w:hAnsi="Calibri" w:cs="Calibri"/>
          <w:sz w:val="24"/>
          <w:szCs w:val="24"/>
        </w:rPr>
        <w:lastRenderedPageBreak/>
        <w:t>commerciale, e quindi non rappresentativi di una dinamica del tessuto produttivo locale. In calo</w:t>
      </w:r>
      <w:r w:rsidR="005C0F4A" w:rsidRPr="00C522AD">
        <w:rPr>
          <w:rFonts w:ascii="Calibri" w:eastAsia="Calibri" w:hAnsi="Calibri" w:cs="Calibri"/>
          <w:sz w:val="24"/>
          <w:szCs w:val="24"/>
        </w:rPr>
        <w:t>,</w:t>
      </w:r>
      <w:r w:rsidRPr="00C522AD">
        <w:rPr>
          <w:rFonts w:ascii="Calibri" w:eastAsia="Calibri" w:hAnsi="Calibri" w:cs="Calibri"/>
          <w:sz w:val="24"/>
          <w:szCs w:val="24"/>
        </w:rPr>
        <w:t xml:space="preserve"> </w:t>
      </w:r>
      <w:r w:rsidR="005C0F4A" w:rsidRPr="00C522AD">
        <w:rPr>
          <w:rFonts w:ascii="Calibri" w:eastAsia="Calibri" w:hAnsi="Calibri" w:cs="Calibri"/>
          <w:sz w:val="24"/>
          <w:szCs w:val="24"/>
        </w:rPr>
        <w:t>infine,</w:t>
      </w:r>
      <w:r w:rsidRPr="00C522AD">
        <w:rPr>
          <w:rFonts w:ascii="Calibri" w:eastAsia="Calibri" w:hAnsi="Calibri" w:cs="Calibri"/>
          <w:sz w:val="24"/>
          <w:szCs w:val="24"/>
        </w:rPr>
        <w:t xml:space="preserve"> le vendite di </w:t>
      </w:r>
      <w:r w:rsidRPr="00C522AD">
        <w:rPr>
          <w:rFonts w:ascii="Calibri" w:eastAsia="Calibri" w:hAnsi="Calibri" w:cs="Calibri"/>
          <w:b/>
          <w:sz w:val="24"/>
          <w:szCs w:val="24"/>
        </w:rPr>
        <w:t>strumenti di misurazione prova e navigazione</w:t>
      </w:r>
      <w:r w:rsidRPr="00C522AD">
        <w:rPr>
          <w:rFonts w:ascii="Calibri" w:eastAsia="Calibri" w:hAnsi="Calibri" w:cs="Calibri"/>
          <w:sz w:val="24"/>
          <w:szCs w:val="24"/>
        </w:rPr>
        <w:t xml:space="preserve"> (-1%) e di </w:t>
      </w:r>
      <w:r w:rsidR="00C522AD" w:rsidRPr="00C522AD">
        <w:rPr>
          <w:rFonts w:ascii="Calibri" w:eastAsia="Calibri" w:hAnsi="Calibri" w:cs="Calibri"/>
          <w:b/>
          <w:bCs/>
          <w:sz w:val="24"/>
          <w:szCs w:val="24"/>
        </w:rPr>
        <w:t>u</w:t>
      </w:r>
      <w:r w:rsidR="00C522AD" w:rsidRPr="00C522AD">
        <w:rPr>
          <w:rFonts w:ascii="Calibri" w:eastAsia="Calibri" w:hAnsi="Calibri" w:cs="Calibri"/>
          <w:b/>
          <w:bCs/>
          <w:sz w:val="24"/>
          <w:szCs w:val="24"/>
        </w:rPr>
        <w:t>tensili e oggetti di ferramenta</w:t>
      </w:r>
      <w:r w:rsidRPr="00C522AD">
        <w:rPr>
          <w:rFonts w:ascii="Calibri" w:eastAsia="Calibri" w:hAnsi="Calibri" w:cs="Calibri"/>
          <w:sz w:val="24"/>
          <w:szCs w:val="24"/>
        </w:rPr>
        <w:t xml:space="preserve"> (-6,8%), sces</w:t>
      </w:r>
      <w:r w:rsidR="005C0F4A" w:rsidRPr="00C522AD">
        <w:rPr>
          <w:rFonts w:ascii="Calibri" w:eastAsia="Calibri" w:hAnsi="Calibri" w:cs="Calibri"/>
          <w:sz w:val="24"/>
          <w:szCs w:val="24"/>
        </w:rPr>
        <w:t>e</w:t>
      </w:r>
      <w:r w:rsidRPr="00C522AD">
        <w:rPr>
          <w:rFonts w:ascii="Calibri" w:eastAsia="Calibri" w:hAnsi="Calibri" w:cs="Calibri"/>
          <w:sz w:val="24"/>
          <w:szCs w:val="24"/>
        </w:rPr>
        <w:t xml:space="preserve"> </w:t>
      </w:r>
      <w:r w:rsidR="005C0F4A" w:rsidRPr="00C522AD">
        <w:rPr>
          <w:rFonts w:ascii="Calibri" w:eastAsia="Calibri" w:hAnsi="Calibri" w:cs="Calibri"/>
          <w:sz w:val="24"/>
          <w:szCs w:val="24"/>
        </w:rPr>
        <w:t xml:space="preserve">entrambe </w:t>
      </w:r>
      <w:r w:rsidRPr="00C522AD">
        <w:rPr>
          <w:rFonts w:ascii="Calibri" w:eastAsia="Calibri" w:hAnsi="Calibri" w:cs="Calibri"/>
          <w:sz w:val="24"/>
          <w:szCs w:val="24"/>
        </w:rPr>
        <w:t>a 49 milioni circa.</w:t>
      </w:r>
    </w:p>
    <w:p w14:paraId="5FF76B33" w14:textId="7777777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b/>
          <w:bCs/>
          <w:sz w:val="24"/>
          <w:szCs w:val="24"/>
        </w:rPr>
        <w:t>I mercati di destinazione</w:t>
      </w:r>
    </w:p>
    <w:p w14:paraId="31D87E43" w14:textId="3FCFA737" w:rsidR="00C91C1B" w:rsidRPr="00C522AD" w:rsidRDefault="00C227BB">
      <w:pPr>
        <w:pBdr>
          <w:top w:val="nil"/>
          <w:left w:val="nil"/>
          <w:bottom w:val="nil"/>
          <w:right w:val="nil"/>
          <w:between w:val="nil"/>
        </w:pBdr>
        <w:jc w:val="both"/>
        <w:rPr>
          <w:rFonts w:ascii="Calibri" w:eastAsia="Calibri" w:hAnsi="Calibri" w:cs="Calibri"/>
          <w:sz w:val="24"/>
          <w:szCs w:val="24"/>
        </w:rPr>
      </w:pPr>
      <w:r w:rsidRPr="00C522AD">
        <w:rPr>
          <w:rFonts w:ascii="Calibri" w:eastAsia="Calibri" w:hAnsi="Calibri" w:cs="Calibri"/>
          <w:sz w:val="24"/>
          <w:szCs w:val="24"/>
        </w:rPr>
        <w:t>Nel 2025 la Germania ha confermato la posizione di principale mercato di sbocco con 412 milioni di euro, pur evidenziando una flessione del 7,3% (-32 milioni), contribuendo in negativo alla dinamica complessiva. Analoga tendenza ha riguardato la Francia, seconda destinazione con 391 mil</w:t>
      </w:r>
      <w:r w:rsidR="00437900" w:rsidRPr="00C522AD">
        <w:rPr>
          <w:rFonts w:ascii="Calibri" w:eastAsia="Calibri" w:hAnsi="Calibri" w:cs="Calibri"/>
          <w:sz w:val="24"/>
          <w:szCs w:val="24"/>
        </w:rPr>
        <w:t>ioni di euro (-8%; -34 milioni)</w:t>
      </w:r>
      <w:r w:rsidRPr="00C522AD">
        <w:rPr>
          <w:rFonts w:ascii="Calibri" w:eastAsia="Calibri" w:hAnsi="Calibri" w:cs="Calibri"/>
          <w:sz w:val="24"/>
          <w:szCs w:val="24"/>
        </w:rPr>
        <w:t xml:space="preserve">. Tra i principali partner europei, </w:t>
      </w:r>
      <w:r w:rsidR="00437900" w:rsidRPr="00C522AD">
        <w:rPr>
          <w:rFonts w:ascii="Calibri" w:eastAsia="Calibri" w:hAnsi="Calibri" w:cs="Calibri"/>
          <w:sz w:val="24"/>
          <w:szCs w:val="24"/>
        </w:rPr>
        <w:t>l’Austria ha mostrato una dinamica opposta, salendo a 302 milioni di euro (+17,5%; +45 milioni) grazie alle vendite di medicinali</w:t>
      </w:r>
      <w:r w:rsidR="00307B38" w:rsidRPr="00C522AD">
        <w:rPr>
          <w:rFonts w:ascii="Calibri" w:eastAsia="Calibri" w:hAnsi="Calibri" w:cs="Calibri"/>
          <w:sz w:val="24"/>
          <w:szCs w:val="24"/>
        </w:rPr>
        <w:t>,</w:t>
      </w:r>
      <w:r w:rsidR="00437900" w:rsidRPr="00C522AD">
        <w:rPr>
          <w:rFonts w:ascii="Calibri" w:eastAsia="Calibri" w:hAnsi="Calibri" w:cs="Calibri"/>
          <w:sz w:val="24"/>
          <w:szCs w:val="24"/>
        </w:rPr>
        <w:t xml:space="preserve"> diventando uno dei principali paesi di crescita dell’export provinciale.</w:t>
      </w:r>
      <w:r w:rsidR="00701B87" w:rsidRPr="00C522AD">
        <w:rPr>
          <w:rFonts w:ascii="Calibri" w:eastAsia="Calibri" w:hAnsi="Calibri" w:cs="Calibri"/>
          <w:sz w:val="24"/>
          <w:szCs w:val="24"/>
        </w:rPr>
        <w:t xml:space="preserve"> La </w:t>
      </w:r>
      <w:r w:rsidRPr="00C522AD">
        <w:rPr>
          <w:rFonts w:ascii="Calibri" w:eastAsia="Calibri" w:hAnsi="Calibri" w:cs="Calibri"/>
          <w:sz w:val="24"/>
          <w:szCs w:val="24"/>
        </w:rPr>
        <w:t xml:space="preserve">Spagna si è attestata a 299 milioni di euro (-1,8%), </w:t>
      </w:r>
      <w:r w:rsidR="00701B87" w:rsidRPr="00C522AD">
        <w:rPr>
          <w:rFonts w:ascii="Calibri" w:eastAsia="Calibri" w:hAnsi="Calibri" w:cs="Calibri"/>
          <w:sz w:val="24"/>
          <w:szCs w:val="24"/>
        </w:rPr>
        <w:t xml:space="preserve">scendendo al quarto </w:t>
      </w:r>
      <w:r w:rsidRPr="00C522AD">
        <w:rPr>
          <w:rFonts w:ascii="Calibri" w:eastAsia="Calibri" w:hAnsi="Calibri" w:cs="Calibri"/>
          <w:sz w:val="24"/>
          <w:szCs w:val="24"/>
        </w:rPr>
        <w:t>posto, mentre</w:t>
      </w:r>
      <w:r w:rsidR="00701B87" w:rsidRPr="00C522AD">
        <w:rPr>
          <w:rFonts w:ascii="Calibri" w:eastAsia="Calibri" w:hAnsi="Calibri" w:cs="Calibri"/>
          <w:sz w:val="24"/>
          <w:szCs w:val="24"/>
        </w:rPr>
        <w:t xml:space="preserve"> hanno mostrato una forte espansione</w:t>
      </w:r>
      <w:r w:rsidRPr="00C522AD">
        <w:rPr>
          <w:rFonts w:ascii="Calibri" w:eastAsia="Calibri" w:hAnsi="Calibri" w:cs="Calibri"/>
          <w:sz w:val="24"/>
          <w:szCs w:val="24"/>
        </w:rPr>
        <w:t xml:space="preserve"> </w:t>
      </w:r>
      <w:r w:rsidR="00701B87" w:rsidRPr="00C522AD">
        <w:rPr>
          <w:rFonts w:ascii="Calibri" w:eastAsia="Calibri" w:hAnsi="Calibri" w:cs="Calibri"/>
          <w:sz w:val="24"/>
          <w:szCs w:val="24"/>
        </w:rPr>
        <w:t>i</w:t>
      </w:r>
      <w:r w:rsidRPr="00C522AD">
        <w:rPr>
          <w:rFonts w:ascii="Calibri" w:eastAsia="Calibri" w:hAnsi="Calibri" w:cs="Calibri"/>
          <w:sz w:val="24"/>
          <w:szCs w:val="24"/>
        </w:rPr>
        <w:t>l Regno Unito, che ha raggiunto 165 milioni di euro (+52,3%), e la Svizzera salita a 124 milioni (+65,4%)</w:t>
      </w:r>
      <w:r w:rsidR="00307B38" w:rsidRPr="00C522AD">
        <w:rPr>
          <w:rFonts w:ascii="Calibri" w:eastAsia="Calibri" w:hAnsi="Calibri" w:cs="Calibri"/>
          <w:sz w:val="24"/>
          <w:szCs w:val="24"/>
        </w:rPr>
        <w:t>, sebbene</w:t>
      </w:r>
      <w:r w:rsidR="00701B87" w:rsidRPr="00C522AD">
        <w:rPr>
          <w:rFonts w:ascii="Calibri" w:eastAsia="Calibri" w:hAnsi="Calibri" w:cs="Calibri"/>
          <w:sz w:val="24"/>
          <w:szCs w:val="24"/>
        </w:rPr>
        <w:t xml:space="preserve"> grazie a vendite di prodotti d</w:t>
      </w:r>
      <w:r w:rsidR="00B860D5" w:rsidRPr="00C522AD">
        <w:rPr>
          <w:rFonts w:ascii="Calibri" w:eastAsia="Calibri" w:hAnsi="Calibri" w:cs="Calibri"/>
          <w:sz w:val="24"/>
          <w:szCs w:val="24"/>
        </w:rPr>
        <w:t>e</w:t>
      </w:r>
      <w:r w:rsidR="00701B87" w:rsidRPr="00C522AD">
        <w:rPr>
          <w:rFonts w:ascii="Calibri" w:eastAsia="Calibri" w:hAnsi="Calibri" w:cs="Calibri"/>
          <w:sz w:val="24"/>
          <w:szCs w:val="24"/>
        </w:rPr>
        <w:t>lla raffinazione del petrolio</w:t>
      </w:r>
      <w:r w:rsidR="00307B38" w:rsidRPr="00C522AD">
        <w:rPr>
          <w:rFonts w:ascii="Calibri" w:eastAsia="Calibri" w:hAnsi="Calibri" w:cs="Calibri"/>
          <w:sz w:val="24"/>
          <w:szCs w:val="24"/>
        </w:rPr>
        <w:t>.</w:t>
      </w:r>
    </w:p>
    <w:p w14:paraId="5970980C" w14:textId="68380A28" w:rsidR="00C91C1B" w:rsidRPr="00C522AD" w:rsidRDefault="00C227BB">
      <w:pPr>
        <w:pBdr>
          <w:top w:val="nil"/>
          <w:left w:val="nil"/>
          <w:bottom w:val="nil"/>
          <w:right w:val="nil"/>
          <w:between w:val="nil"/>
        </w:pBdr>
        <w:spacing w:after="240"/>
        <w:jc w:val="both"/>
        <w:rPr>
          <w:rFonts w:ascii="Calibri" w:eastAsia="Calibri" w:hAnsi="Calibri" w:cs="Calibri"/>
          <w:sz w:val="24"/>
          <w:szCs w:val="24"/>
        </w:rPr>
      </w:pPr>
      <w:r w:rsidRPr="00C522AD">
        <w:rPr>
          <w:rFonts w:ascii="Calibri" w:eastAsia="Calibri" w:hAnsi="Calibri" w:cs="Calibri"/>
          <w:sz w:val="24"/>
          <w:szCs w:val="24"/>
        </w:rPr>
        <w:t xml:space="preserve">Al di fuori dell’Europa, gli Stati Uniti hanno mantenuto una posizione di rilievo con 244 milioni di euro, </w:t>
      </w:r>
      <w:r w:rsidR="00FF0D25" w:rsidRPr="00C522AD">
        <w:rPr>
          <w:rFonts w:ascii="Calibri" w:eastAsia="Calibri" w:hAnsi="Calibri" w:cs="Calibri"/>
          <w:sz w:val="24"/>
          <w:szCs w:val="24"/>
        </w:rPr>
        <w:t>malgrado un</w:t>
      </w:r>
      <w:r w:rsidRPr="00C522AD">
        <w:rPr>
          <w:rFonts w:ascii="Calibri" w:eastAsia="Calibri" w:hAnsi="Calibri" w:cs="Calibri"/>
          <w:sz w:val="24"/>
          <w:szCs w:val="24"/>
        </w:rPr>
        <w:t xml:space="preserve"> calo dell’11,6% (-32 milioni)</w:t>
      </w:r>
      <w:r w:rsidR="00FF0D25" w:rsidRPr="00C522AD">
        <w:rPr>
          <w:rFonts w:ascii="Calibri" w:eastAsia="Calibri" w:hAnsi="Calibri" w:cs="Calibri"/>
          <w:sz w:val="24"/>
          <w:szCs w:val="24"/>
        </w:rPr>
        <w:t xml:space="preserve"> in buona parte legato ai mezzi di trasporto</w:t>
      </w:r>
      <w:r w:rsidRPr="00C522AD">
        <w:rPr>
          <w:rFonts w:ascii="Calibri" w:eastAsia="Calibri" w:hAnsi="Calibri" w:cs="Calibri"/>
          <w:sz w:val="24"/>
          <w:szCs w:val="24"/>
        </w:rPr>
        <w:t>, mentre la Cina ha registrato una crescita dell’11% portandosi a 114 milioni di euro, rafforzando il proprio ruolo tra i principali mercati extra-UE. Più stabile la dinamica dei Paesi Bassi (+1%), mentre hanno mostrato segnali negativi la Turchia (-22,6%), il Belgio (-10,1%) e il Vietnam (-27,3%), quest’ultimo in forte ridimensionamento dopo le buone performance degli anni precedenti.</w:t>
      </w:r>
    </w:p>
    <w:tbl>
      <w:tblPr>
        <w:tblStyle w:val="a5"/>
        <w:tblW w:w="8504" w:type="dxa"/>
        <w:tblInd w:w="0" w:type="dxa"/>
        <w:tblLayout w:type="fixed"/>
        <w:tblLook w:val="0000" w:firstRow="0" w:lastRow="0" w:firstColumn="0" w:lastColumn="0" w:noHBand="0" w:noVBand="0"/>
      </w:tblPr>
      <w:tblGrid>
        <w:gridCol w:w="1632"/>
        <w:gridCol w:w="1381"/>
        <w:gridCol w:w="1382"/>
        <w:gridCol w:w="1024"/>
        <w:gridCol w:w="1024"/>
        <w:gridCol w:w="1033"/>
        <w:gridCol w:w="1028"/>
      </w:tblGrid>
      <w:tr w:rsidR="00C522AD" w:rsidRPr="00C522AD" w14:paraId="681AAD6D" w14:textId="77777777">
        <w:trPr>
          <w:trHeight w:val="350"/>
        </w:trPr>
        <w:tc>
          <w:tcPr>
            <w:tcW w:w="8505" w:type="dxa"/>
            <w:gridSpan w:val="7"/>
            <w:tcBorders>
              <w:top w:val="nil"/>
              <w:left w:val="nil"/>
              <w:right w:val="nil"/>
            </w:tcBorders>
            <w:shd w:val="clear" w:color="auto" w:fill="FFFFFF"/>
            <w:vAlign w:val="center"/>
          </w:tcPr>
          <w:p w14:paraId="4F85D7AE"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I principali paesi esportatori della provincia di Pisa - Anno 2025</w:t>
            </w:r>
          </w:p>
          <w:p w14:paraId="5CB00773" w14:textId="77777777" w:rsidR="00C91C1B" w:rsidRPr="00C522AD" w:rsidRDefault="00C227BB">
            <w:pPr>
              <w:pBdr>
                <w:top w:val="nil"/>
                <w:left w:val="nil"/>
                <w:bottom w:val="nil"/>
                <w:right w:val="nil"/>
                <w:between w:val="nil"/>
              </w:pBdr>
            </w:pPr>
            <w:r w:rsidRPr="00C522AD">
              <w:rPr>
                <w:rFonts w:ascii="Calibri" w:eastAsia="Calibri" w:hAnsi="Calibri" w:cs="Calibri"/>
                <w:i/>
                <w:iCs/>
              </w:rPr>
              <w:t>Valori assoluti in euro, var. % e contributi % alla crescita</w:t>
            </w:r>
          </w:p>
        </w:tc>
      </w:tr>
      <w:tr w:rsidR="00C522AD" w:rsidRPr="00C522AD" w14:paraId="5C2B7E29" w14:textId="77777777">
        <w:trPr>
          <w:cantSplit/>
          <w:trHeight w:val="263"/>
        </w:trPr>
        <w:tc>
          <w:tcPr>
            <w:tcW w:w="1633" w:type="dxa"/>
            <w:vMerge w:val="restart"/>
            <w:tcBorders>
              <w:top w:val="single" w:sz="4" w:space="0" w:color="000000"/>
              <w:left w:val="nil"/>
              <w:bottom w:val="single" w:sz="4" w:space="0" w:color="000000"/>
              <w:right w:val="nil"/>
            </w:tcBorders>
            <w:vAlign w:val="center"/>
          </w:tcPr>
          <w:p w14:paraId="627C28F4"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Settori di attività</w:t>
            </w:r>
          </w:p>
        </w:tc>
        <w:tc>
          <w:tcPr>
            <w:tcW w:w="2763" w:type="dxa"/>
            <w:gridSpan w:val="2"/>
            <w:tcBorders>
              <w:top w:val="single" w:sz="4" w:space="0" w:color="000000"/>
              <w:left w:val="nil"/>
              <w:bottom w:val="single" w:sz="4" w:space="0" w:color="000000"/>
              <w:right w:val="nil"/>
            </w:tcBorders>
            <w:vAlign w:val="center"/>
          </w:tcPr>
          <w:p w14:paraId="503C0A3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Valori assoluti in euro</w:t>
            </w:r>
          </w:p>
        </w:tc>
        <w:tc>
          <w:tcPr>
            <w:tcW w:w="1024" w:type="dxa"/>
            <w:vMerge w:val="restart"/>
            <w:tcBorders>
              <w:top w:val="single" w:sz="4" w:space="0" w:color="000000"/>
              <w:left w:val="nil"/>
              <w:bottom w:val="single" w:sz="4" w:space="0" w:color="000000"/>
              <w:right w:val="nil"/>
            </w:tcBorders>
            <w:vAlign w:val="center"/>
          </w:tcPr>
          <w:p w14:paraId="2A61615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Quota %</w:t>
            </w:r>
          </w:p>
        </w:tc>
        <w:tc>
          <w:tcPr>
            <w:tcW w:w="1024" w:type="dxa"/>
            <w:vMerge w:val="restart"/>
            <w:tcBorders>
              <w:top w:val="single" w:sz="4" w:space="0" w:color="000000"/>
              <w:left w:val="nil"/>
              <w:bottom w:val="single" w:sz="4" w:space="0" w:color="000000"/>
              <w:right w:val="nil"/>
            </w:tcBorders>
            <w:vAlign w:val="center"/>
          </w:tcPr>
          <w:p w14:paraId="74E0DDC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Var. %</w:t>
            </w:r>
          </w:p>
        </w:tc>
        <w:tc>
          <w:tcPr>
            <w:tcW w:w="1033" w:type="dxa"/>
            <w:vMerge w:val="restart"/>
            <w:tcBorders>
              <w:top w:val="single" w:sz="4" w:space="0" w:color="000000"/>
              <w:left w:val="nil"/>
              <w:bottom w:val="single" w:sz="4" w:space="0" w:color="000000"/>
              <w:right w:val="nil"/>
            </w:tcBorders>
            <w:vAlign w:val="center"/>
          </w:tcPr>
          <w:p w14:paraId="71A9604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Contributi %</w:t>
            </w:r>
          </w:p>
        </w:tc>
        <w:tc>
          <w:tcPr>
            <w:tcW w:w="1028" w:type="dxa"/>
            <w:tcBorders>
              <w:top w:val="nil"/>
              <w:left w:val="nil"/>
              <w:bottom w:val="nil"/>
              <w:right w:val="nil"/>
            </w:tcBorders>
            <w:vAlign w:val="center"/>
          </w:tcPr>
          <w:p w14:paraId="09DF722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6ADAFCD6" w14:textId="77777777">
        <w:trPr>
          <w:cantSplit/>
          <w:trHeight w:val="526"/>
        </w:trPr>
        <w:tc>
          <w:tcPr>
            <w:tcW w:w="1633" w:type="dxa"/>
            <w:vMerge/>
            <w:tcBorders>
              <w:top w:val="single" w:sz="4" w:space="0" w:color="000000"/>
              <w:left w:val="nil"/>
              <w:bottom w:val="single" w:sz="4" w:space="0" w:color="000000"/>
              <w:right w:val="nil"/>
            </w:tcBorders>
            <w:vAlign w:val="center"/>
          </w:tcPr>
          <w:p w14:paraId="0B93E0FC"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381" w:type="dxa"/>
            <w:tcBorders>
              <w:top w:val="nil"/>
              <w:left w:val="nil"/>
              <w:bottom w:val="single" w:sz="4" w:space="0" w:color="000000"/>
              <w:right w:val="nil"/>
            </w:tcBorders>
            <w:vAlign w:val="center"/>
          </w:tcPr>
          <w:p w14:paraId="432AE13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b/>
                <w:bCs/>
              </w:rPr>
              <w:t>Anno 2024</w:t>
            </w:r>
          </w:p>
        </w:tc>
        <w:tc>
          <w:tcPr>
            <w:tcW w:w="1382" w:type="dxa"/>
            <w:tcBorders>
              <w:top w:val="nil"/>
              <w:left w:val="nil"/>
              <w:bottom w:val="single" w:sz="4" w:space="0" w:color="000000"/>
              <w:right w:val="nil"/>
            </w:tcBorders>
            <w:vAlign w:val="center"/>
          </w:tcPr>
          <w:p w14:paraId="5F0EC14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b/>
                <w:bCs/>
              </w:rPr>
              <w:t>Anno 2025</w:t>
            </w:r>
          </w:p>
        </w:tc>
        <w:tc>
          <w:tcPr>
            <w:tcW w:w="1024" w:type="dxa"/>
            <w:vMerge/>
            <w:tcBorders>
              <w:top w:val="single" w:sz="4" w:space="0" w:color="000000"/>
              <w:left w:val="nil"/>
              <w:bottom w:val="single" w:sz="4" w:space="0" w:color="000000"/>
              <w:right w:val="nil"/>
            </w:tcBorders>
            <w:vAlign w:val="center"/>
          </w:tcPr>
          <w:p w14:paraId="54190FB7"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024" w:type="dxa"/>
            <w:vMerge/>
            <w:tcBorders>
              <w:top w:val="single" w:sz="4" w:space="0" w:color="000000"/>
              <w:left w:val="nil"/>
              <w:bottom w:val="single" w:sz="4" w:space="0" w:color="000000"/>
              <w:right w:val="nil"/>
            </w:tcBorders>
            <w:vAlign w:val="center"/>
          </w:tcPr>
          <w:p w14:paraId="607CBA4B"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033" w:type="dxa"/>
            <w:vMerge/>
            <w:tcBorders>
              <w:top w:val="single" w:sz="4" w:space="0" w:color="000000"/>
              <w:left w:val="nil"/>
              <w:bottom w:val="single" w:sz="4" w:space="0" w:color="000000"/>
              <w:right w:val="nil"/>
            </w:tcBorders>
            <w:vAlign w:val="center"/>
          </w:tcPr>
          <w:p w14:paraId="2C03AEC8" w14:textId="77777777" w:rsidR="00C91C1B" w:rsidRPr="00C522AD" w:rsidRDefault="00C91C1B">
            <w:pPr>
              <w:widowControl w:val="0"/>
              <w:pBdr>
                <w:top w:val="nil"/>
                <w:left w:val="nil"/>
                <w:bottom w:val="nil"/>
                <w:right w:val="nil"/>
                <w:between w:val="nil"/>
              </w:pBdr>
              <w:spacing w:line="276" w:lineRule="auto"/>
              <w:rPr>
                <w:rFonts w:ascii="Calibri" w:eastAsia="Calibri" w:hAnsi="Calibri" w:cs="Calibri"/>
              </w:rPr>
            </w:pPr>
          </w:p>
        </w:tc>
        <w:tc>
          <w:tcPr>
            <w:tcW w:w="1028" w:type="dxa"/>
            <w:tcBorders>
              <w:top w:val="nil"/>
              <w:left w:val="nil"/>
              <w:bottom w:val="nil"/>
              <w:right w:val="nil"/>
            </w:tcBorders>
            <w:vAlign w:val="center"/>
          </w:tcPr>
          <w:p w14:paraId="2454F8D6" w14:textId="77777777" w:rsidR="00C91C1B" w:rsidRPr="00C522AD" w:rsidRDefault="00C91C1B">
            <w:pPr>
              <w:pBdr>
                <w:top w:val="nil"/>
                <w:left w:val="nil"/>
                <w:bottom w:val="nil"/>
                <w:right w:val="nil"/>
                <w:between w:val="nil"/>
              </w:pBdr>
              <w:jc w:val="right"/>
              <w:rPr>
                <w:rFonts w:ascii="Calibri" w:eastAsia="Calibri" w:hAnsi="Calibri" w:cs="Calibri"/>
              </w:rPr>
            </w:pPr>
          </w:p>
        </w:tc>
      </w:tr>
      <w:tr w:rsidR="00C522AD" w:rsidRPr="00C522AD" w14:paraId="6E58363B" w14:textId="77777777">
        <w:trPr>
          <w:trHeight w:val="263"/>
        </w:trPr>
        <w:tc>
          <w:tcPr>
            <w:tcW w:w="1633" w:type="dxa"/>
            <w:tcBorders>
              <w:top w:val="nil"/>
              <w:left w:val="nil"/>
              <w:bottom w:val="nil"/>
              <w:right w:val="nil"/>
            </w:tcBorders>
            <w:vAlign w:val="center"/>
          </w:tcPr>
          <w:p w14:paraId="6E228870"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Germania</w:t>
            </w:r>
          </w:p>
        </w:tc>
        <w:tc>
          <w:tcPr>
            <w:tcW w:w="1381" w:type="dxa"/>
            <w:tcBorders>
              <w:top w:val="nil"/>
              <w:left w:val="nil"/>
              <w:bottom w:val="nil"/>
              <w:right w:val="nil"/>
            </w:tcBorders>
            <w:vAlign w:val="center"/>
          </w:tcPr>
          <w:p w14:paraId="3DD923B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444.728.534</w:t>
            </w:r>
          </w:p>
        </w:tc>
        <w:tc>
          <w:tcPr>
            <w:tcW w:w="1382" w:type="dxa"/>
            <w:tcBorders>
              <w:top w:val="nil"/>
              <w:left w:val="nil"/>
              <w:bottom w:val="nil"/>
              <w:right w:val="nil"/>
            </w:tcBorders>
            <w:vAlign w:val="center"/>
          </w:tcPr>
          <w:p w14:paraId="4E3B835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412.150.554</w:t>
            </w:r>
          </w:p>
        </w:tc>
        <w:tc>
          <w:tcPr>
            <w:tcW w:w="1024" w:type="dxa"/>
            <w:tcBorders>
              <w:top w:val="nil"/>
              <w:left w:val="nil"/>
              <w:bottom w:val="nil"/>
              <w:right w:val="nil"/>
            </w:tcBorders>
            <w:vAlign w:val="center"/>
          </w:tcPr>
          <w:p w14:paraId="5C2A570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12,1%</w:t>
            </w:r>
          </w:p>
        </w:tc>
        <w:tc>
          <w:tcPr>
            <w:tcW w:w="1024" w:type="dxa"/>
            <w:tcBorders>
              <w:top w:val="nil"/>
              <w:left w:val="nil"/>
              <w:bottom w:val="nil"/>
              <w:right w:val="nil"/>
            </w:tcBorders>
            <w:vAlign w:val="center"/>
          </w:tcPr>
          <w:p w14:paraId="5F58964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-7,3%</w:t>
            </w:r>
          </w:p>
        </w:tc>
        <w:tc>
          <w:tcPr>
            <w:tcW w:w="1033" w:type="dxa"/>
            <w:tcBorders>
              <w:top w:val="nil"/>
              <w:left w:val="nil"/>
              <w:bottom w:val="nil"/>
              <w:right w:val="nil"/>
            </w:tcBorders>
            <w:vAlign w:val="center"/>
          </w:tcPr>
          <w:p w14:paraId="64893419"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-1,0%</w:t>
            </w:r>
          </w:p>
        </w:tc>
        <w:tc>
          <w:tcPr>
            <w:tcW w:w="1028" w:type="dxa"/>
            <w:tcBorders>
              <w:top w:val="nil"/>
              <w:left w:val="nil"/>
              <w:bottom w:val="nil"/>
              <w:right w:val="nil"/>
            </w:tcBorders>
            <w:vAlign w:val="center"/>
          </w:tcPr>
          <w:p w14:paraId="7EA07FE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135780EE" w14:textId="77777777">
        <w:trPr>
          <w:trHeight w:val="263"/>
        </w:trPr>
        <w:tc>
          <w:tcPr>
            <w:tcW w:w="1633" w:type="dxa"/>
            <w:tcBorders>
              <w:top w:val="nil"/>
              <w:left w:val="nil"/>
              <w:bottom w:val="nil"/>
              <w:right w:val="nil"/>
            </w:tcBorders>
            <w:vAlign w:val="center"/>
          </w:tcPr>
          <w:p w14:paraId="492569F2"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Francia</w:t>
            </w:r>
          </w:p>
        </w:tc>
        <w:tc>
          <w:tcPr>
            <w:tcW w:w="1381" w:type="dxa"/>
            <w:tcBorders>
              <w:top w:val="nil"/>
              <w:left w:val="nil"/>
              <w:bottom w:val="nil"/>
              <w:right w:val="nil"/>
            </w:tcBorders>
            <w:vAlign w:val="center"/>
          </w:tcPr>
          <w:p w14:paraId="3B5E542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425.226.290</w:t>
            </w:r>
          </w:p>
        </w:tc>
        <w:tc>
          <w:tcPr>
            <w:tcW w:w="1382" w:type="dxa"/>
            <w:tcBorders>
              <w:top w:val="nil"/>
              <w:left w:val="nil"/>
              <w:bottom w:val="nil"/>
              <w:right w:val="nil"/>
            </w:tcBorders>
            <w:vAlign w:val="center"/>
          </w:tcPr>
          <w:p w14:paraId="2CCE99C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391.298.064</w:t>
            </w:r>
          </w:p>
        </w:tc>
        <w:tc>
          <w:tcPr>
            <w:tcW w:w="1024" w:type="dxa"/>
            <w:tcBorders>
              <w:top w:val="nil"/>
              <w:left w:val="nil"/>
              <w:bottom w:val="nil"/>
              <w:right w:val="nil"/>
            </w:tcBorders>
            <w:vAlign w:val="center"/>
          </w:tcPr>
          <w:p w14:paraId="0CEE6A0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11,5%</w:t>
            </w:r>
          </w:p>
        </w:tc>
        <w:tc>
          <w:tcPr>
            <w:tcW w:w="1024" w:type="dxa"/>
            <w:tcBorders>
              <w:top w:val="nil"/>
              <w:left w:val="nil"/>
              <w:bottom w:val="nil"/>
              <w:right w:val="nil"/>
            </w:tcBorders>
            <w:vAlign w:val="center"/>
          </w:tcPr>
          <w:p w14:paraId="3167006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-8,0%</w:t>
            </w:r>
          </w:p>
        </w:tc>
        <w:tc>
          <w:tcPr>
            <w:tcW w:w="1033" w:type="dxa"/>
            <w:tcBorders>
              <w:top w:val="nil"/>
              <w:left w:val="nil"/>
              <w:bottom w:val="nil"/>
              <w:right w:val="nil"/>
            </w:tcBorders>
            <w:vAlign w:val="center"/>
          </w:tcPr>
          <w:p w14:paraId="5787A2D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-1,0%</w:t>
            </w:r>
          </w:p>
        </w:tc>
        <w:tc>
          <w:tcPr>
            <w:tcW w:w="1028" w:type="dxa"/>
            <w:tcBorders>
              <w:top w:val="nil"/>
              <w:left w:val="nil"/>
              <w:bottom w:val="nil"/>
              <w:right w:val="nil"/>
            </w:tcBorders>
            <w:vAlign w:val="center"/>
          </w:tcPr>
          <w:p w14:paraId="09801FF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0BFF7EFE" w14:textId="77777777">
        <w:trPr>
          <w:trHeight w:val="263"/>
        </w:trPr>
        <w:tc>
          <w:tcPr>
            <w:tcW w:w="1633" w:type="dxa"/>
            <w:tcBorders>
              <w:top w:val="nil"/>
              <w:left w:val="nil"/>
              <w:bottom w:val="nil"/>
              <w:right w:val="nil"/>
            </w:tcBorders>
            <w:vAlign w:val="center"/>
          </w:tcPr>
          <w:p w14:paraId="1EF9EC66"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Austria</w:t>
            </w:r>
          </w:p>
        </w:tc>
        <w:tc>
          <w:tcPr>
            <w:tcW w:w="1381" w:type="dxa"/>
            <w:tcBorders>
              <w:top w:val="nil"/>
              <w:left w:val="nil"/>
              <w:bottom w:val="nil"/>
              <w:right w:val="nil"/>
            </w:tcBorders>
            <w:vAlign w:val="center"/>
          </w:tcPr>
          <w:p w14:paraId="74EED8E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257.115.368</w:t>
            </w:r>
          </w:p>
        </w:tc>
        <w:tc>
          <w:tcPr>
            <w:tcW w:w="1382" w:type="dxa"/>
            <w:tcBorders>
              <w:top w:val="nil"/>
              <w:left w:val="nil"/>
              <w:bottom w:val="nil"/>
              <w:right w:val="nil"/>
            </w:tcBorders>
            <w:vAlign w:val="center"/>
          </w:tcPr>
          <w:p w14:paraId="0A03D337"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302.029.776</w:t>
            </w:r>
          </w:p>
        </w:tc>
        <w:tc>
          <w:tcPr>
            <w:tcW w:w="1024" w:type="dxa"/>
            <w:tcBorders>
              <w:top w:val="nil"/>
              <w:left w:val="nil"/>
              <w:bottom w:val="nil"/>
              <w:right w:val="nil"/>
            </w:tcBorders>
            <w:vAlign w:val="center"/>
          </w:tcPr>
          <w:p w14:paraId="4FCA889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8,9%</w:t>
            </w:r>
          </w:p>
        </w:tc>
        <w:tc>
          <w:tcPr>
            <w:tcW w:w="1024" w:type="dxa"/>
            <w:tcBorders>
              <w:top w:val="nil"/>
              <w:left w:val="nil"/>
              <w:bottom w:val="nil"/>
              <w:right w:val="nil"/>
            </w:tcBorders>
            <w:vAlign w:val="center"/>
          </w:tcPr>
          <w:p w14:paraId="27E62D9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17,5%</w:t>
            </w:r>
          </w:p>
        </w:tc>
        <w:tc>
          <w:tcPr>
            <w:tcW w:w="1033" w:type="dxa"/>
            <w:tcBorders>
              <w:top w:val="nil"/>
              <w:left w:val="nil"/>
              <w:bottom w:val="nil"/>
              <w:right w:val="nil"/>
            </w:tcBorders>
            <w:vAlign w:val="center"/>
          </w:tcPr>
          <w:p w14:paraId="446FF0E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1,3%</w:t>
            </w:r>
          </w:p>
        </w:tc>
        <w:tc>
          <w:tcPr>
            <w:tcW w:w="1028" w:type="dxa"/>
            <w:tcBorders>
              <w:top w:val="nil"/>
              <w:left w:val="nil"/>
              <w:bottom w:val="nil"/>
              <w:right w:val="nil"/>
            </w:tcBorders>
            <w:vAlign w:val="center"/>
          </w:tcPr>
          <w:p w14:paraId="157A32E7"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3C5CAD3D" w14:textId="77777777">
        <w:trPr>
          <w:trHeight w:val="263"/>
        </w:trPr>
        <w:tc>
          <w:tcPr>
            <w:tcW w:w="1633" w:type="dxa"/>
            <w:tcBorders>
              <w:top w:val="nil"/>
              <w:left w:val="nil"/>
              <w:bottom w:val="nil"/>
              <w:right w:val="nil"/>
            </w:tcBorders>
            <w:vAlign w:val="center"/>
          </w:tcPr>
          <w:p w14:paraId="63B79D27"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Spagna</w:t>
            </w:r>
          </w:p>
        </w:tc>
        <w:tc>
          <w:tcPr>
            <w:tcW w:w="1381" w:type="dxa"/>
            <w:tcBorders>
              <w:top w:val="nil"/>
              <w:left w:val="nil"/>
              <w:bottom w:val="nil"/>
              <w:right w:val="nil"/>
            </w:tcBorders>
            <w:vAlign w:val="center"/>
          </w:tcPr>
          <w:p w14:paraId="1614DAE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304.581.869</w:t>
            </w:r>
          </w:p>
        </w:tc>
        <w:tc>
          <w:tcPr>
            <w:tcW w:w="1382" w:type="dxa"/>
            <w:tcBorders>
              <w:top w:val="nil"/>
              <w:left w:val="nil"/>
              <w:bottom w:val="nil"/>
              <w:right w:val="nil"/>
            </w:tcBorders>
            <w:vAlign w:val="center"/>
          </w:tcPr>
          <w:p w14:paraId="391F964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299.107.209</w:t>
            </w:r>
          </w:p>
        </w:tc>
        <w:tc>
          <w:tcPr>
            <w:tcW w:w="1024" w:type="dxa"/>
            <w:tcBorders>
              <w:top w:val="nil"/>
              <w:left w:val="nil"/>
              <w:bottom w:val="nil"/>
              <w:right w:val="nil"/>
            </w:tcBorders>
            <w:vAlign w:val="center"/>
          </w:tcPr>
          <w:p w14:paraId="0BD610DF"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8,8%</w:t>
            </w:r>
          </w:p>
        </w:tc>
        <w:tc>
          <w:tcPr>
            <w:tcW w:w="1024" w:type="dxa"/>
            <w:tcBorders>
              <w:top w:val="nil"/>
              <w:left w:val="nil"/>
              <w:bottom w:val="nil"/>
              <w:right w:val="nil"/>
            </w:tcBorders>
            <w:vAlign w:val="center"/>
          </w:tcPr>
          <w:p w14:paraId="2E51E905"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-1,8%</w:t>
            </w:r>
          </w:p>
        </w:tc>
        <w:tc>
          <w:tcPr>
            <w:tcW w:w="1033" w:type="dxa"/>
            <w:tcBorders>
              <w:top w:val="nil"/>
              <w:left w:val="nil"/>
              <w:bottom w:val="nil"/>
              <w:right w:val="nil"/>
            </w:tcBorders>
            <w:vAlign w:val="center"/>
          </w:tcPr>
          <w:p w14:paraId="17652C8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c>
          <w:tcPr>
            <w:tcW w:w="1028" w:type="dxa"/>
            <w:tcBorders>
              <w:top w:val="nil"/>
              <w:left w:val="nil"/>
              <w:bottom w:val="nil"/>
              <w:right w:val="nil"/>
            </w:tcBorders>
            <w:vAlign w:val="center"/>
          </w:tcPr>
          <w:p w14:paraId="1F69E401"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4CD95242" w14:textId="77777777">
        <w:trPr>
          <w:trHeight w:val="263"/>
        </w:trPr>
        <w:tc>
          <w:tcPr>
            <w:tcW w:w="1633" w:type="dxa"/>
            <w:tcBorders>
              <w:top w:val="nil"/>
              <w:left w:val="nil"/>
              <w:bottom w:val="nil"/>
              <w:right w:val="nil"/>
            </w:tcBorders>
            <w:vAlign w:val="center"/>
          </w:tcPr>
          <w:p w14:paraId="4A6EE3D0"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Stati Uniti</w:t>
            </w:r>
          </w:p>
        </w:tc>
        <w:tc>
          <w:tcPr>
            <w:tcW w:w="1381" w:type="dxa"/>
            <w:tcBorders>
              <w:top w:val="nil"/>
              <w:left w:val="nil"/>
              <w:bottom w:val="nil"/>
              <w:right w:val="nil"/>
            </w:tcBorders>
            <w:vAlign w:val="center"/>
          </w:tcPr>
          <w:p w14:paraId="1B26768F"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276.176.688</w:t>
            </w:r>
          </w:p>
        </w:tc>
        <w:tc>
          <w:tcPr>
            <w:tcW w:w="1382" w:type="dxa"/>
            <w:tcBorders>
              <w:top w:val="nil"/>
              <w:left w:val="nil"/>
              <w:bottom w:val="nil"/>
              <w:right w:val="nil"/>
            </w:tcBorders>
            <w:vAlign w:val="center"/>
          </w:tcPr>
          <w:p w14:paraId="2D9F172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244.157.290</w:t>
            </w:r>
          </w:p>
        </w:tc>
        <w:tc>
          <w:tcPr>
            <w:tcW w:w="1024" w:type="dxa"/>
            <w:tcBorders>
              <w:top w:val="nil"/>
              <w:left w:val="nil"/>
              <w:bottom w:val="nil"/>
              <w:right w:val="nil"/>
            </w:tcBorders>
            <w:vAlign w:val="center"/>
          </w:tcPr>
          <w:p w14:paraId="4B49014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7,2%</w:t>
            </w:r>
          </w:p>
        </w:tc>
        <w:tc>
          <w:tcPr>
            <w:tcW w:w="1024" w:type="dxa"/>
            <w:tcBorders>
              <w:top w:val="nil"/>
              <w:left w:val="nil"/>
              <w:bottom w:val="nil"/>
              <w:right w:val="nil"/>
            </w:tcBorders>
            <w:vAlign w:val="center"/>
          </w:tcPr>
          <w:p w14:paraId="4AC2B1C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-11,6%</w:t>
            </w:r>
          </w:p>
        </w:tc>
        <w:tc>
          <w:tcPr>
            <w:tcW w:w="1033" w:type="dxa"/>
            <w:tcBorders>
              <w:top w:val="nil"/>
              <w:left w:val="nil"/>
              <w:bottom w:val="nil"/>
              <w:right w:val="nil"/>
            </w:tcBorders>
            <w:vAlign w:val="center"/>
          </w:tcPr>
          <w:p w14:paraId="2A2BB10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-1,0%</w:t>
            </w:r>
          </w:p>
        </w:tc>
        <w:tc>
          <w:tcPr>
            <w:tcW w:w="1028" w:type="dxa"/>
            <w:tcBorders>
              <w:top w:val="nil"/>
              <w:left w:val="nil"/>
              <w:bottom w:val="nil"/>
              <w:right w:val="nil"/>
            </w:tcBorders>
            <w:vAlign w:val="center"/>
          </w:tcPr>
          <w:p w14:paraId="693261A8"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76724521" w14:textId="77777777">
        <w:trPr>
          <w:trHeight w:val="263"/>
        </w:trPr>
        <w:tc>
          <w:tcPr>
            <w:tcW w:w="1633" w:type="dxa"/>
            <w:tcBorders>
              <w:top w:val="nil"/>
              <w:left w:val="nil"/>
              <w:bottom w:val="nil"/>
              <w:right w:val="nil"/>
            </w:tcBorders>
            <w:vAlign w:val="center"/>
          </w:tcPr>
          <w:p w14:paraId="48357ADA"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Regno Unito</w:t>
            </w:r>
          </w:p>
        </w:tc>
        <w:tc>
          <w:tcPr>
            <w:tcW w:w="1381" w:type="dxa"/>
            <w:tcBorders>
              <w:top w:val="nil"/>
              <w:left w:val="nil"/>
              <w:bottom w:val="nil"/>
              <w:right w:val="nil"/>
            </w:tcBorders>
            <w:vAlign w:val="center"/>
          </w:tcPr>
          <w:p w14:paraId="46B6E4F9"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108.677.155</w:t>
            </w:r>
          </w:p>
        </w:tc>
        <w:tc>
          <w:tcPr>
            <w:tcW w:w="1382" w:type="dxa"/>
            <w:tcBorders>
              <w:top w:val="nil"/>
              <w:left w:val="nil"/>
              <w:bottom w:val="nil"/>
              <w:right w:val="nil"/>
            </w:tcBorders>
            <w:vAlign w:val="center"/>
          </w:tcPr>
          <w:p w14:paraId="717AEDE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165.497.618</w:t>
            </w:r>
          </w:p>
        </w:tc>
        <w:tc>
          <w:tcPr>
            <w:tcW w:w="1024" w:type="dxa"/>
            <w:tcBorders>
              <w:top w:val="nil"/>
              <w:left w:val="nil"/>
              <w:bottom w:val="nil"/>
              <w:right w:val="nil"/>
            </w:tcBorders>
            <w:vAlign w:val="center"/>
          </w:tcPr>
          <w:p w14:paraId="1404F79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4,9%</w:t>
            </w:r>
          </w:p>
        </w:tc>
        <w:tc>
          <w:tcPr>
            <w:tcW w:w="1024" w:type="dxa"/>
            <w:tcBorders>
              <w:top w:val="nil"/>
              <w:left w:val="nil"/>
              <w:bottom w:val="nil"/>
              <w:right w:val="nil"/>
            </w:tcBorders>
            <w:vAlign w:val="center"/>
          </w:tcPr>
          <w:p w14:paraId="1D9BBC9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52,3%</w:t>
            </w:r>
          </w:p>
        </w:tc>
        <w:tc>
          <w:tcPr>
            <w:tcW w:w="1033" w:type="dxa"/>
            <w:tcBorders>
              <w:top w:val="nil"/>
              <w:left w:val="nil"/>
              <w:bottom w:val="nil"/>
              <w:right w:val="nil"/>
            </w:tcBorders>
            <w:vAlign w:val="center"/>
          </w:tcPr>
          <w:p w14:paraId="7A9DD68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1,7%</w:t>
            </w:r>
          </w:p>
        </w:tc>
        <w:tc>
          <w:tcPr>
            <w:tcW w:w="1028" w:type="dxa"/>
            <w:tcBorders>
              <w:top w:val="nil"/>
              <w:left w:val="nil"/>
              <w:bottom w:val="nil"/>
              <w:right w:val="nil"/>
            </w:tcBorders>
            <w:vAlign w:val="center"/>
          </w:tcPr>
          <w:p w14:paraId="143CAAD4"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75D303B1" w14:textId="77777777">
        <w:trPr>
          <w:trHeight w:val="263"/>
        </w:trPr>
        <w:tc>
          <w:tcPr>
            <w:tcW w:w="1633" w:type="dxa"/>
            <w:tcBorders>
              <w:top w:val="nil"/>
              <w:left w:val="nil"/>
              <w:bottom w:val="nil"/>
              <w:right w:val="nil"/>
            </w:tcBorders>
            <w:vAlign w:val="center"/>
          </w:tcPr>
          <w:p w14:paraId="18D2F31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Svizzera</w:t>
            </w:r>
          </w:p>
        </w:tc>
        <w:tc>
          <w:tcPr>
            <w:tcW w:w="1381" w:type="dxa"/>
            <w:tcBorders>
              <w:top w:val="nil"/>
              <w:left w:val="nil"/>
              <w:bottom w:val="nil"/>
              <w:right w:val="nil"/>
            </w:tcBorders>
            <w:vAlign w:val="center"/>
          </w:tcPr>
          <w:p w14:paraId="6FC43C46"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75.040.111</w:t>
            </w:r>
          </w:p>
        </w:tc>
        <w:tc>
          <w:tcPr>
            <w:tcW w:w="1382" w:type="dxa"/>
            <w:tcBorders>
              <w:top w:val="nil"/>
              <w:left w:val="nil"/>
              <w:bottom w:val="nil"/>
              <w:right w:val="nil"/>
            </w:tcBorders>
            <w:vAlign w:val="center"/>
          </w:tcPr>
          <w:p w14:paraId="56494CD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124.130.475</w:t>
            </w:r>
          </w:p>
        </w:tc>
        <w:tc>
          <w:tcPr>
            <w:tcW w:w="1024" w:type="dxa"/>
            <w:tcBorders>
              <w:top w:val="nil"/>
              <w:left w:val="nil"/>
              <w:bottom w:val="nil"/>
              <w:right w:val="nil"/>
            </w:tcBorders>
            <w:vAlign w:val="center"/>
          </w:tcPr>
          <w:p w14:paraId="5516381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3,7%</w:t>
            </w:r>
          </w:p>
        </w:tc>
        <w:tc>
          <w:tcPr>
            <w:tcW w:w="1024" w:type="dxa"/>
            <w:tcBorders>
              <w:top w:val="nil"/>
              <w:left w:val="nil"/>
              <w:bottom w:val="nil"/>
              <w:right w:val="nil"/>
            </w:tcBorders>
            <w:vAlign w:val="center"/>
          </w:tcPr>
          <w:p w14:paraId="5073801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65,4%</w:t>
            </w:r>
          </w:p>
        </w:tc>
        <w:tc>
          <w:tcPr>
            <w:tcW w:w="1033" w:type="dxa"/>
            <w:tcBorders>
              <w:top w:val="nil"/>
              <w:left w:val="nil"/>
              <w:bottom w:val="nil"/>
              <w:right w:val="nil"/>
            </w:tcBorders>
            <w:vAlign w:val="center"/>
          </w:tcPr>
          <w:p w14:paraId="7A068843"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1,5%</w:t>
            </w:r>
          </w:p>
        </w:tc>
        <w:tc>
          <w:tcPr>
            <w:tcW w:w="1028" w:type="dxa"/>
            <w:tcBorders>
              <w:top w:val="nil"/>
              <w:left w:val="nil"/>
              <w:bottom w:val="nil"/>
              <w:right w:val="nil"/>
            </w:tcBorders>
            <w:vAlign w:val="center"/>
          </w:tcPr>
          <w:p w14:paraId="67A6673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386FFF46" w14:textId="77777777">
        <w:trPr>
          <w:trHeight w:val="263"/>
        </w:trPr>
        <w:tc>
          <w:tcPr>
            <w:tcW w:w="1633" w:type="dxa"/>
            <w:tcBorders>
              <w:top w:val="nil"/>
              <w:left w:val="nil"/>
              <w:bottom w:val="nil"/>
              <w:right w:val="nil"/>
            </w:tcBorders>
            <w:vAlign w:val="center"/>
          </w:tcPr>
          <w:p w14:paraId="3B41A58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Cina</w:t>
            </w:r>
          </w:p>
        </w:tc>
        <w:tc>
          <w:tcPr>
            <w:tcW w:w="1381" w:type="dxa"/>
            <w:tcBorders>
              <w:top w:val="nil"/>
              <w:left w:val="nil"/>
              <w:bottom w:val="nil"/>
              <w:right w:val="nil"/>
            </w:tcBorders>
            <w:vAlign w:val="center"/>
          </w:tcPr>
          <w:p w14:paraId="6077C1D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102.643.215</w:t>
            </w:r>
          </w:p>
        </w:tc>
        <w:tc>
          <w:tcPr>
            <w:tcW w:w="1382" w:type="dxa"/>
            <w:tcBorders>
              <w:top w:val="nil"/>
              <w:left w:val="nil"/>
              <w:bottom w:val="nil"/>
              <w:right w:val="nil"/>
            </w:tcBorders>
            <w:vAlign w:val="center"/>
          </w:tcPr>
          <w:p w14:paraId="6D547633"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113.932.791</w:t>
            </w:r>
          </w:p>
        </w:tc>
        <w:tc>
          <w:tcPr>
            <w:tcW w:w="1024" w:type="dxa"/>
            <w:tcBorders>
              <w:top w:val="nil"/>
              <w:left w:val="nil"/>
              <w:bottom w:val="nil"/>
              <w:right w:val="nil"/>
            </w:tcBorders>
            <w:vAlign w:val="center"/>
          </w:tcPr>
          <w:p w14:paraId="5C47709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3,4%</w:t>
            </w:r>
          </w:p>
        </w:tc>
        <w:tc>
          <w:tcPr>
            <w:tcW w:w="1024" w:type="dxa"/>
            <w:tcBorders>
              <w:top w:val="nil"/>
              <w:left w:val="nil"/>
              <w:bottom w:val="nil"/>
              <w:right w:val="nil"/>
            </w:tcBorders>
            <w:vAlign w:val="center"/>
          </w:tcPr>
          <w:p w14:paraId="3BB770F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11,0%</w:t>
            </w:r>
          </w:p>
        </w:tc>
        <w:tc>
          <w:tcPr>
            <w:tcW w:w="1033" w:type="dxa"/>
            <w:tcBorders>
              <w:top w:val="nil"/>
              <w:left w:val="nil"/>
              <w:bottom w:val="nil"/>
              <w:right w:val="nil"/>
            </w:tcBorders>
            <w:vAlign w:val="center"/>
          </w:tcPr>
          <w:p w14:paraId="0776070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0,3%</w:t>
            </w:r>
          </w:p>
        </w:tc>
        <w:tc>
          <w:tcPr>
            <w:tcW w:w="1028" w:type="dxa"/>
            <w:tcBorders>
              <w:top w:val="nil"/>
              <w:left w:val="nil"/>
              <w:bottom w:val="nil"/>
              <w:right w:val="nil"/>
            </w:tcBorders>
            <w:vAlign w:val="center"/>
          </w:tcPr>
          <w:p w14:paraId="55F87A13"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60E88C0" w14:textId="77777777">
        <w:trPr>
          <w:trHeight w:val="263"/>
        </w:trPr>
        <w:tc>
          <w:tcPr>
            <w:tcW w:w="1633" w:type="dxa"/>
            <w:tcBorders>
              <w:top w:val="nil"/>
              <w:left w:val="nil"/>
              <w:bottom w:val="nil"/>
              <w:right w:val="nil"/>
            </w:tcBorders>
            <w:vAlign w:val="center"/>
          </w:tcPr>
          <w:p w14:paraId="3BA0E823"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Paesi Bassi</w:t>
            </w:r>
          </w:p>
        </w:tc>
        <w:tc>
          <w:tcPr>
            <w:tcW w:w="1381" w:type="dxa"/>
            <w:tcBorders>
              <w:top w:val="nil"/>
              <w:left w:val="nil"/>
              <w:bottom w:val="nil"/>
              <w:right w:val="nil"/>
            </w:tcBorders>
            <w:vAlign w:val="center"/>
          </w:tcPr>
          <w:p w14:paraId="26F65A09"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103.028.281</w:t>
            </w:r>
          </w:p>
        </w:tc>
        <w:tc>
          <w:tcPr>
            <w:tcW w:w="1382" w:type="dxa"/>
            <w:tcBorders>
              <w:top w:val="nil"/>
              <w:left w:val="nil"/>
              <w:bottom w:val="nil"/>
              <w:right w:val="nil"/>
            </w:tcBorders>
            <w:vAlign w:val="center"/>
          </w:tcPr>
          <w:p w14:paraId="53E8E48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104.087.398</w:t>
            </w:r>
          </w:p>
        </w:tc>
        <w:tc>
          <w:tcPr>
            <w:tcW w:w="1024" w:type="dxa"/>
            <w:tcBorders>
              <w:top w:val="nil"/>
              <w:left w:val="nil"/>
              <w:bottom w:val="nil"/>
              <w:right w:val="nil"/>
            </w:tcBorders>
            <w:vAlign w:val="center"/>
          </w:tcPr>
          <w:p w14:paraId="289335E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3,1%</w:t>
            </w:r>
          </w:p>
        </w:tc>
        <w:tc>
          <w:tcPr>
            <w:tcW w:w="1024" w:type="dxa"/>
            <w:tcBorders>
              <w:top w:val="nil"/>
              <w:left w:val="nil"/>
              <w:bottom w:val="nil"/>
              <w:right w:val="nil"/>
            </w:tcBorders>
            <w:vAlign w:val="center"/>
          </w:tcPr>
          <w:p w14:paraId="3286CCB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w:t>
            </w:r>
          </w:p>
        </w:tc>
        <w:tc>
          <w:tcPr>
            <w:tcW w:w="1033" w:type="dxa"/>
            <w:tcBorders>
              <w:top w:val="nil"/>
              <w:left w:val="nil"/>
              <w:bottom w:val="nil"/>
              <w:right w:val="nil"/>
            </w:tcBorders>
            <w:vAlign w:val="center"/>
          </w:tcPr>
          <w:p w14:paraId="78691386"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0,0%</w:t>
            </w:r>
          </w:p>
        </w:tc>
        <w:tc>
          <w:tcPr>
            <w:tcW w:w="1028" w:type="dxa"/>
            <w:tcBorders>
              <w:top w:val="nil"/>
              <w:left w:val="nil"/>
              <w:bottom w:val="nil"/>
              <w:right w:val="nil"/>
            </w:tcBorders>
            <w:vAlign w:val="center"/>
          </w:tcPr>
          <w:p w14:paraId="721EE39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5C470A75" w14:textId="77777777">
        <w:trPr>
          <w:trHeight w:val="263"/>
        </w:trPr>
        <w:tc>
          <w:tcPr>
            <w:tcW w:w="1633" w:type="dxa"/>
            <w:tcBorders>
              <w:top w:val="nil"/>
              <w:left w:val="nil"/>
              <w:bottom w:val="nil"/>
              <w:right w:val="nil"/>
            </w:tcBorders>
            <w:vAlign w:val="center"/>
          </w:tcPr>
          <w:p w14:paraId="16A106B1"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Turchia</w:t>
            </w:r>
          </w:p>
        </w:tc>
        <w:tc>
          <w:tcPr>
            <w:tcW w:w="1381" w:type="dxa"/>
            <w:tcBorders>
              <w:top w:val="nil"/>
              <w:left w:val="nil"/>
              <w:bottom w:val="nil"/>
              <w:right w:val="nil"/>
            </w:tcBorders>
            <w:vAlign w:val="center"/>
          </w:tcPr>
          <w:p w14:paraId="3A8A7F1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86.362.221</w:t>
            </w:r>
          </w:p>
        </w:tc>
        <w:tc>
          <w:tcPr>
            <w:tcW w:w="1382" w:type="dxa"/>
            <w:tcBorders>
              <w:top w:val="nil"/>
              <w:left w:val="nil"/>
              <w:bottom w:val="nil"/>
              <w:right w:val="nil"/>
            </w:tcBorders>
            <w:vAlign w:val="center"/>
          </w:tcPr>
          <w:p w14:paraId="6E3A06BE"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66.862.715</w:t>
            </w:r>
          </w:p>
        </w:tc>
        <w:tc>
          <w:tcPr>
            <w:tcW w:w="1024" w:type="dxa"/>
            <w:tcBorders>
              <w:top w:val="nil"/>
              <w:left w:val="nil"/>
              <w:bottom w:val="nil"/>
              <w:right w:val="nil"/>
            </w:tcBorders>
            <w:vAlign w:val="center"/>
          </w:tcPr>
          <w:p w14:paraId="4321971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2,0%</w:t>
            </w:r>
          </w:p>
        </w:tc>
        <w:tc>
          <w:tcPr>
            <w:tcW w:w="1024" w:type="dxa"/>
            <w:tcBorders>
              <w:top w:val="nil"/>
              <w:left w:val="nil"/>
              <w:bottom w:val="nil"/>
              <w:right w:val="nil"/>
            </w:tcBorders>
            <w:vAlign w:val="center"/>
          </w:tcPr>
          <w:p w14:paraId="7AAF298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-22,6%</w:t>
            </w:r>
          </w:p>
        </w:tc>
        <w:tc>
          <w:tcPr>
            <w:tcW w:w="1033" w:type="dxa"/>
            <w:tcBorders>
              <w:top w:val="nil"/>
              <w:left w:val="nil"/>
              <w:bottom w:val="nil"/>
              <w:right w:val="nil"/>
            </w:tcBorders>
            <w:vAlign w:val="center"/>
          </w:tcPr>
          <w:p w14:paraId="2CD9BCEC"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-0,6%</w:t>
            </w:r>
          </w:p>
        </w:tc>
        <w:tc>
          <w:tcPr>
            <w:tcW w:w="1028" w:type="dxa"/>
            <w:tcBorders>
              <w:top w:val="nil"/>
              <w:left w:val="nil"/>
              <w:bottom w:val="nil"/>
              <w:right w:val="nil"/>
            </w:tcBorders>
            <w:vAlign w:val="center"/>
          </w:tcPr>
          <w:p w14:paraId="3831744A"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01D4EA79" w14:textId="77777777">
        <w:trPr>
          <w:trHeight w:val="263"/>
        </w:trPr>
        <w:tc>
          <w:tcPr>
            <w:tcW w:w="1633" w:type="dxa"/>
            <w:tcBorders>
              <w:top w:val="nil"/>
              <w:left w:val="nil"/>
              <w:bottom w:val="nil"/>
              <w:right w:val="nil"/>
            </w:tcBorders>
            <w:vAlign w:val="center"/>
          </w:tcPr>
          <w:p w14:paraId="2C690099"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Polonia</w:t>
            </w:r>
          </w:p>
        </w:tc>
        <w:tc>
          <w:tcPr>
            <w:tcW w:w="1381" w:type="dxa"/>
            <w:tcBorders>
              <w:top w:val="nil"/>
              <w:left w:val="nil"/>
              <w:bottom w:val="nil"/>
              <w:right w:val="nil"/>
            </w:tcBorders>
            <w:vAlign w:val="center"/>
          </w:tcPr>
          <w:p w14:paraId="5348BC1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59.872.625</w:t>
            </w:r>
          </w:p>
        </w:tc>
        <w:tc>
          <w:tcPr>
            <w:tcW w:w="1382" w:type="dxa"/>
            <w:tcBorders>
              <w:top w:val="nil"/>
              <w:left w:val="nil"/>
              <w:bottom w:val="nil"/>
              <w:right w:val="nil"/>
            </w:tcBorders>
            <w:vAlign w:val="center"/>
          </w:tcPr>
          <w:p w14:paraId="28653F7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61.564.019</w:t>
            </w:r>
          </w:p>
        </w:tc>
        <w:tc>
          <w:tcPr>
            <w:tcW w:w="1024" w:type="dxa"/>
            <w:tcBorders>
              <w:top w:val="nil"/>
              <w:left w:val="nil"/>
              <w:bottom w:val="nil"/>
              <w:right w:val="nil"/>
            </w:tcBorders>
            <w:vAlign w:val="center"/>
          </w:tcPr>
          <w:p w14:paraId="4F3F672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1,8%</w:t>
            </w:r>
          </w:p>
        </w:tc>
        <w:tc>
          <w:tcPr>
            <w:tcW w:w="1024" w:type="dxa"/>
            <w:tcBorders>
              <w:top w:val="nil"/>
              <w:left w:val="nil"/>
              <w:bottom w:val="nil"/>
              <w:right w:val="nil"/>
            </w:tcBorders>
            <w:vAlign w:val="center"/>
          </w:tcPr>
          <w:p w14:paraId="4E66321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2,8%</w:t>
            </w:r>
          </w:p>
        </w:tc>
        <w:tc>
          <w:tcPr>
            <w:tcW w:w="1033" w:type="dxa"/>
            <w:tcBorders>
              <w:top w:val="nil"/>
              <w:left w:val="nil"/>
              <w:bottom w:val="nil"/>
              <w:right w:val="nil"/>
            </w:tcBorders>
            <w:vAlign w:val="center"/>
          </w:tcPr>
          <w:p w14:paraId="419C892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c>
          <w:tcPr>
            <w:tcW w:w="1028" w:type="dxa"/>
            <w:tcBorders>
              <w:top w:val="nil"/>
              <w:left w:val="nil"/>
              <w:bottom w:val="nil"/>
              <w:right w:val="nil"/>
            </w:tcBorders>
            <w:vAlign w:val="center"/>
          </w:tcPr>
          <w:p w14:paraId="2D466D1E"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46126E2D" w14:textId="77777777">
        <w:trPr>
          <w:trHeight w:val="263"/>
        </w:trPr>
        <w:tc>
          <w:tcPr>
            <w:tcW w:w="1633" w:type="dxa"/>
            <w:tcBorders>
              <w:top w:val="nil"/>
              <w:left w:val="nil"/>
              <w:bottom w:val="nil"/>
              <w:right w:val="nil"/>
            </w:tcBorders>
            <w:vAlign w:val="center"/>
          </w:tcPr>
          <w:p w14:paraId="6033DDE0"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Grecia</w:t>
            </w:r>
          </w:p>
        </w:tc>
        <w:tc>
          <w:tcPr>
            <w:tcW w:w="1381" w:type="dxa"/>
            <w:tcBorders>
              <w:top w:val="nil"/>
              <w:left w:val="nil"/>
              <w:bottom w:val="nil"/>
              <w:right w:val="nil"/>
            </w:tcBorders>
            <w:vAlign w:val="center"/>
          </w:tcPr>
          <w:p w14:paraId="40D3C3E0"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61.460.242</w:t>
            </w:r>
          </w:p>
        </w:tc>
        <w:tc>
          <w:tcPr>
            <w:tcW w:w="1382" w:type="dxa"/>
            <w:tcBorders>
              <w:top w:val="nil"/>
              <w:left w:val="nil"/>
              <w:bottom w:val="nil"/>
              <w:right w:val="nil"/>
            </w:tcBorders>
            <w:vAlign w:val="center"/>
          </w:tcPr>
          <w:p w14:paraId="170E4FA1"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58.853.090</w:t>
            </w:r>
          </w:p>
        </w:tc>
        <w:tc>
          <w:tcPr>
            <w:tcW w:w="1024" w:type="dxa"/>
            <w:tcBorders>
              <w:top w:val="nil"/>
              <w:left w:val="nil"/>
              <w:bottom w:val="nil"/>
              <w:right w:val="nil"/>
            </w:tcBorders>
            <w:vAlign w:val="center"/>
          </w:tcPr>
          <w:p w14:paraId="1B11928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w:t>
            </w:r>
          </w:p>
        </w:tc>
        <w:tc>
          <w:tcPr>
            <w:tcW w:w="1024" w:type="dxa"/>
            <w:tcBorders>
              <w:top w:val="nil"/>
              <w:left w:val="nil"/>
              <w:bottom w:val="nil"/>
              <w:right w:val="nil"/>
            </w:tcBorders>
            <w:vAlign w:val="center"/>
          </w:tcPr>
          <w:p w14:paraId="0C2E2F7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-4,2%</w:t>
            </w:r>
          </w:p>
        </w:tc>
        <w:tc>
          <w:tcPr>
            <w:tcW w:w="1033" w:type="dxa"/>
            <w:tcBorders>
              <w:top w:val="nil"/>
              <w:left w:val="nil"/>
              <w:bottom w:val="nil"/>
              <w:right w:val="nil"/>
            </w:tcBorders>
            <w:vAlign w:val="center"/>
          </w:tcPr>
          <w:p w14:paraId="62E092F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c>
          <w:tcPr>
            <w:tcW w:w="1028" w:type="dxa"/>
            <w:tcBorders>
              <w:top w:val="nil"/>
              <w:left w:val="nil"/>
              <w:bottom w:val="nil"/>
              <w:right w:val="nil"/>
            </w:tcBorders>
            <w:vAlign w:val="center"/>
          </w:tcPr>
          <w:p w14:paraId="5C7315A6"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53864F57" w14:textId="77777777">
        <w:trPr>
          <w:trHeight w:val="263"/>
        </w:trPr>
        <w:tc>
          <w:tcPr>
            <w:tcW w:w="1633" w:type="dxa"/>
            <w:tcBorders>
              <w:top w:val="nil"/>
              <w:left w:val="nil"/>
              <w:bottom w:val="nil"/>
              <w:right w:val="nil"/>
            </w:tcBorders>
            <w:vAlign w:val="center"/>
          </w:tcPr>
          <w:p w14:paraId="4C198B44"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Portogallo</w:t>
            </w:r>
          </w:p>
        </w:tc>
        <w:tc>
          <w:tcPr>
            <w:tcW w:w="1381" w:type="dxa"/>
            <w:tcBorders>
              <w:top w:val="nil"/>
              <w:left w:val="nil"/>
              <w:bottom w:val="nil"/>
              <w:right w:val="nil"/>
            </w:tcBorders>
            <w:vAlign w:val="center"/>
          </w:tcPr>
          <w:p w14:paraId="0B007E2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54.116.106</w:t>
            </w:r>
          </w:p>
        </w:tc>
        <w:tc>
          <w:tcPr>
            <w:tcW w:w="1382" w:type="dxa"/>
            <w:tcBorders>
              <w:top w:val="nil"/>
              <w:left w:val="nil"/>
              <w:bottom w:val="nil"/>
              <w:right w:val="nil"/>
            </w:tcBorders>
            <w:vAlign w:val="center"/>
          </w:tcPr>
          <w:p w14:paraId="2CF47ED4"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58.221.631</w:t>
            </w:r>
          </w:p>
        </w:tc>
        <w:tc>
          <w:tcPr>
            <w:tcW w:w="1024" w:type="dxa"/>
            <w:tcBorders>
              <w:top w:val="nil"/>
              <w:left w:val="nil"/>
              <w:bottom w:val="nil"/>
              <w:right w:val="nil"/>
            </w:tcBorders>
            <w:vAlign w:val="center"/>
          </w:tcPr>
          <w:p w14:paraId="3AB24AA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w:t>
            </w:r>
          </w:p>
        </w:tc>
        <w:tc>
          <w:tcPr>
            <w:tcW w:w="1024" w:type="dxa"/>
            <w:tcBorders>
              <w:top w:val="nil"/>
              <w:left w:val="nil"/>
              <w:bottom w:val="nil"/>
              <w:right w:val="nil"/>
            </w:tcBorders>
            <w:vAlign w:val="center"/>
          </w:tcPr>
          <w:p w14:paraId="64E5E47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7,6%</w:t>
            </w:r>
          </w:p>
        </w:tc>
        <w:tc>
          <w:tcPr>
            <w:tcW w:w="1033" w:type="dxa"/>
            <w:tcBorders>
              <w:top w:val="nil"/>
              <w:left w:val="nil"/>
              <w:bottom w:val="nil"/>
              <w:right w:val="nil"/>
            </w:tcBorders>
            <w:vAlign w:val="center"/>
          </w:tcPr>
          <w:p w14:paraId="627BA61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0,1%</w:t>
            </w:r>
          </w:p>
        </w:tc>
        <w:tc>
          <w:tcPr>
            <w:tcW w:w="1028" w:type="dxa"/>
            <w:tcBorders>
              <w:top w:val="nil"/>
              <w:left w:val="nil"/>
              <w:bottom w:val="nil"/>
              <w:right w:val="nil"/>
            </w:tcBorders>
            <w:vAlign w:val="center"/>
          </w:tcPr>
          <w:p w14:paraId="3C9FA4E9"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084C15C3" w14:textId="77777777">
        <w:trPr>
          <w:trHeight w:val="263"/>
        </w:trPr>
        <w:tc>
          <w:tcPr>
            <w:tcW w:w="1633" w:type="dxa"/>
            <w:tcBorders>
              <w:top w:val="nil"/>
              <w:left w:val="nil"/>
              <w:bottom w:val="nil"/>
              <w:right w:val="nil"/>
            </w:tcBorders>
            <w:vAlign w:val="center"/>
          </w:tcPr>
          <w:p w14:paraId="629EAE7F"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Belgio</w:t>
            </w:r>
          </w:p>
        </w:tc>
        <w:tc>
          <w:tcPr>
            <w:tcW w:w="1381" w:type="dxa"/>
            <w:tcBorders>
              <w:top w:val="nil"/>
              <w:left w:val="nil"/>
              <w:bottom w:val="nil"/>
              <w:right w:val="nil"/>
            </w:tcBorders>
            <w:vAlign w:val="center"/>
          </w:tcPr>
          <w:p w14:paraId="7C991B92"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63.624.711</w:t>
            </w:r>
          </w:p>
        </w:tc>
        <w:tc>
          <w:tcPr>
            <w:tcW w:w="1382" w:type="dxa"/>
            <w:tcBorders>
              <w:top w:val="nil"/>
              <w:left w:val="nil"/>
              <w:bottom w:val="nil"/>
              <w:right w:val="nil"/>
            </w:tcBorders>
            <w:vAlign w:val="center"/>
          </w:tcPr>
          <w:p w14:paraId="18C39D4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57.206.515</w:t>
            </w:r>
          </w:p>
        </w:tc>
        <w:tc>
          <w:tcPr>
            <w:tcW w:w="1024" w:type="dxa"/>
            <w:tcBorders>
              <w:top w:val="nil"/>
              <w:left w:val="nil"/>
              <w:bottom w:val="nil"/>
              <w:right w:val="nil"/>
            </w:tcBorders>
            <w:vAlign w:val="center"/>
          </w:tcPr>
          <w:p w14:paraId="2375CD1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1,7%</w:t>
            </w:r>
          </w:p>
        </w:tc>
        <w:tc>
          <w:tcPr>
            <w:tcW w:w="1024" w:type="dxa"/>
            <w:tcBorders>
              <w:top w:val="nil"/>
              <w:left w:val="nil"/>
              <w:bottom w:val="nil"/>
              <w:right w:val="nil"/>
            </w:tcBorders>
            <w:vAlign w:val="center"/>
          </w:tcPr>
          <w:p w14:paraId="7948CCF4"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-10,1%</w:t>
            </w:r>
          </w:p>
        </w:tc>
        <w:tc>
          <w:tcPr>
            <w:tcW w:w="1033" w:type="dxa"/>
            <w:tcBorders>
              <w:top w:val="nil"/>
              <w:left w:val="nil"/>
              <w:bottom w:val="nil"/>
              <w:right w:val="nil"/>
            </w:tcBorders>
            <w:vAlign w:val="center"/>
          </w:tcPr>
          <w:p w14:paraId="78EBAD4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-0,2%</w:t>
            </w:r>
          </w:p>
        </w:tc>
        <w:tc>
          <w:tcPr>
            <w:tcW w:w="1028" w:type="dxa"/>
            <w:tcBorders>
              <w:top w:val="nil"/>
              <w:left w:val="nil"/>
              <w:bottom w:val="nil"/>
              <w:right w:val="nil"/>
            </w:tcBorders>
            <w:vAlign w:val="center"/>
          </w:tcPr>
          <w:p w14:paraId="0463EB72"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5D575004" w14:textId="77777777">
        <w:trPr>
          <w:trHeight w:val="263"/>
        </w:trPr>
        <w:tc>
          <w:tcPr>
            <w:tcW w:w="1633" w:type="dxa"/>
            <w:tcBorders>
              <w:top w:val="nil"/>
              <w:left w:val="nil"/>
              <w:bottom w:val="nil"/>
              <w:right w:val="nil"/>
            </w:tcBorders>
            <w:vAlign w:val="center"/>
          </w:tcPr>
          <w:p w14:paraId="69EB86CB"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Vietnam</w:t>
            </w:r>
          </w:p>
        </w:tc>
        <w:tc>
          <w:tcPr>
            <w:tcW w:w="1381" w:type="dxa"/>
            <w:tcBorders>
              <w:top w:val="nil"/>
              <w:left w:val="nil"/>
              <w:bottom w:val="nil"/>
              <w:right w:val="nil"/>
            </w:tcBorders>
            <w:vAlign w:val="center"/>
          </w:tcPr>
          <w:p w14:paraId="0B9F195A"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73.176.089</w:t>
            </w:r>
          </w:p>
        </w:tc>
        <w:tc>
          <w:tcPr>
            <w:tcW w:w="1382" w:type="dxa"/>
            <w:tcBorders>
              <w:top w:val="nil"/>
              <w:left w:val="nil"/>
              <w:bottom w:val="nil"/>
              <w:right w:val="nil"/>
            </w:tcBorders>
            <w:vAlign w:val="center"/>
          </w:tcPr>
          <w:p w14:paraId="719C51FB"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53.182.579</w:t>
            </w:r>
          </w:p>
        </w:tc>
        <w:tc>
          <w:tcPr>
            <w:tcW w:w="1024" w:type="dxa"/>
            <w:tcBorders>
              <w:top w:val="nil"/>
              <w:left w:val="nil"/>
              <w:bottom w:val="nil"/>
              <w:right w:val="nil"/>
            </w:tcBorders>
            <w:vAlign w:val="center"/>
          </w:tcPr>
          <w:p w14:paraId="1502048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1,6%</w:t>
            </w:r>
          </w:p>
        </w:tc>
        <w:tc>
          <w:tcPr>
            <w:tcW w:w="1024" w:type="dxa"/>
            <w:tcBorders>
              <w:top w:val="nil"/>
              <w:left w:val="nil"/>
              <w:bottom w:val="nil"/>
              <w:right w:val="nil"/>
            </w:tcBorders>
            <w:vAlign w:val="center"/>
          </w:tcPr>
          <w:p w14:paraId="097513CD"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-27,3%</w:t>
            </w:r>
          </w:p>
        </w:tc>
        <w:tc>
          <w:tcPr>
            <w:tcW w:w="1033" w:type="dxa"/>
            <w:tcBorders>
              <w:top w:val="nil"/>
              <w:left w:val="nil"/>
              <w:bottom w:val="nil"/>
              <w:right w:val="nil"/>
            </w:tcBorders>
            <w:vAlign w:val="center"/>
          </w:tcPr>
          <w:p w14:paraId="6B856800"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-0,6%</w:t>
            </w:r>
          </w:p>
        </w:tc>
        <w:tc>
          <w:tcPr>
            <w:tcW w:w="1028" w:type="dxa"/>
            <w:tcBorders>
              <w:top w:val="nil"/>
              <w:left w:val="nil"/>
              <w:bottom w:val="nil"/>
              <w:right w:val="nil"/>
            </w:tcBorders>
            <w:vAlign w:val="center"/>
          </w:tcPr>
          <w:p w14:paraId="77F3C19B"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74ECC4C3" w14:textId="77777777">
        <w:trPr>
          <w:trHeight w:val="263"/>
        </w:trPr>
        <w:tc>
          <w:tcPr>
            <w:tcW w:w="1633" w:type="dxa"/>
            <w:tcBorders>
              <w:top w:val="nil"/>
              <w:left w:val="nil"/>
              <w:bottom w:val="nil"/>
              <w:right w:val="nil"/>
            </w:tcBorders>
            <w:vAlign w:val="center"/>
          </w:tcPr>
          <w:p w14:paraId="79A59B44"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rPr>
              <w:t>Altro</w:t>
            </w:r>
          </w:p>
        </w:tc>
        <w:tc>
          <w:tcPr>
            <w:tcW w:w="1381" w:type="dxa"/>
            <w:tcBorders>
              <w:top w:val="nil"/>
              <w:left w:val="nil"/>
              <w:bottom w:val="nil"/>
              <w:right w:val="nil"/>
            </w:tcBorders>
          </w:tcPr>
          <w:p w14:paraId="61427C88"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832.444.417</w:t>
            </w:r>
          </w:p>
        </w:tc>
        <w:tc>
          <w:tcPr>
            <w:tcW w:w="1382" w:type="dxa"/>
            <w:tcBorders>
              <w:top w:val="nil"/>
              <w:left w:val="nil"/>
              <w:bottom w:val="nil"/>
              <w:right w:val="nil"/>
            </w:tcBorders>
          </w:tcPr>
          <w:p w14:paraId="4EB05EEC" w14:textId="77777777" w:rsidR="00C91C1B" w:rsidRPr="00C522AD" w:rsidRDefault="00C227BB">
            <w:pPr>
              <w:pBdr>
                <w:top w:val="nil"/>
                <w:left w:val="nil"/>
                <w:bottom w:val="nil"/>
                <w:right w:val="nil"/>
                <w:between w:val="nil"/>
              </w:pBdr>
              <w:jc w:val="right"/>
              <w:rPr>
                <w:rFonts w:ascii="Calibri" w:eastAsia="Calibri" w:hAnsi="Calibri" w:cs="Calibri"/>
              </w:rPr>
            </w:pPr>
            <w:r w:rsidRPr="00C522AD">
              <w:rPr>
                <w:rFonts w:ascii="Calibri" w:eastAsia="Calibri" w:hAnsi="Calibri" w:cs="Calibri"/>
              </w:rPr>
              <w:t>881.594.388</w:t>
            </w:r>
          </w:p>
        </w:tc>
        <w:tc>
          <w:tcPr>
            <w:tcW w:w="1024" w:type="dxa"/>
            <w:tcBorders>
              <w:top w:val="nil"/>
              <w:left w:val="nil"/>
              <w:bottom w:val="nil"/>
              <w:right w:val="nil"/>
            </w:tcBorders>
          </w:tcPr>
          <w:p w14:paraId="5F3664B1"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26,0%</w:t>
            </w:r>
          </w:p>
        </w:tc>
        <w:tc>
          <w:tcPr>
            <w:tcW w:w="1024" w:type="dxa"/>
            <w:tcBorders>
              <w:top w:val="nil"/>
              <w:left w:val="nil"/>
              <w:bottom w:val="nil"/>
              <w:right w:val="nil"/>
            </w:tcBorders>
          </w:tcPr>
          <w:p w14:paraId="44C1B5C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rPr>
              <w:t>5,9%</w:t>
            </w:r>
          </w:p>
        </w:tc>
        <w:tc>
          <w:tcPr>
            <w:tcW w:w="1033" w:type="dxa"/>
            <w:tcBorders>
              <w:top w:val="nil"/>
              <w:left w:val="nil"/>
              <w:bottom w:val="nil"/>
              <w:right w:val="nil"/>
            </w:tcBorders>
          </w:tcPr>
          <w:p w14:paraId="5667D7E7"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i/>
                <w:iCs/>
              </w:rPr>
              <w:t>1,5%</w:t>
            </w:r>
          </w:p>
        </w:tc>
        <w:tc>
          <w:tcPr>
            <w:tcW w:w="1028" w:type="dxa"/>
            <w:tcBorders>
              <w:top w:val="nil"/>
              <w:left w:val="nil"/>
              <w:bottom w:val="nil"/>
              <w:right w:val="nil"/>
            </w:tcBorders>
            <w:vAlign w:val="center"/>
          </w:tcPr>
          <w:p w14:paraId="68D2AABB"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04A5979" w14:textId="77777777">
        <w:trPr>
          <w:trHeight w:val="263"/>
        </w:trPr>
        <w:tc>
          <w:tcPr>
            <w:tcW w:w="1633" w:type="dxa"/>
            <w:tcBorders>
              <w:top w:val="single" w:sz="4" w:space="0" w:color="000000"/>
              <w:left w:val="nil"/>
              <w:bottom w:val="single" w:sz="4" w:space="0" w:color="000000"/>
              <w:right w:val="nil"/>
            </w:tcBorders>
            <w:vAlign w:val="center"/>
          </w:tcPr>
          <w:p w14:paraId="3A455E35" w14:textId="77777777"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b/>
                <w:bCs/>
              </w:rPr>
              <w:t>Totale</w:t>
            </w:r>
          </w:p>
        </w:tc>
        <w:tc>
          <w:tcPr>
            <w:tcW w:w="1381" w:type="dxa"/>
            <w:tcBorders>
              <w:top w:val="single" w:sz="4" w:space="0" w:color="000000"/>
              <w:left w:val="nil"/>
              <w:bottom w:val="single" w:sz="4" w:space="0" w:color="000000"/>
              <w:right w:val="nil"/>
            </w:tcBorders>
          </w:tcPr>
          <w:p w14:paraId="123BEA5A"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3.328.273.922</w:t>
            </w:r>
          </w:p>
        </w:tc>
        <w:tc>
          <w:tcPr>
            <w:tcW w:w="1382" w:type="dxa"/>
            <w:tcBorders>
              <w:top w:val="single" w:sz="4" w:space="0" w:color="000000"/>
              <w:left w:val="nil"/>
              <w:bottom w:val="single" w:sz="4" w:space="0" w:color="000000"/>
              <w:right w:val="nil"/>
            </w:tcBorders>
          </w:tcPr>
          <w:p w14:paraId="1F9A4308"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3.393.876.112</w:t>
            </w:r>
          </w:p>
        </w:tc>
        <w:tc>
          <w:tcPr>
            <w:tcW w:w="1024" w:type="dxa"/>
            <w:tcBorders>
              <w:top w:val="single" w:sz="4" w:space="0" w:color="000000"/>
              <w:left w:val="nil"/>
              <w:bottom w:val="single" w:sz="4" w:space="0" w:color="000000"/>
              <w:right w:val="nil"/>
            </w:tcBorders>
          </w:tcPr>
          <w:p w14:paraId="7C0A568E"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100,0%</w:t>
            </w:r>
          </w:p>
        </w:tc>
        <w:tc>
          <w:tcPr>
            <w:tcW w:w="1024" w:type="dxa"/>
            <w:tcBorders>
              <w:top w:val="single" w:sz="4" w:space="0" w:color="000000"/>
              <w:left w:val="nil"/>
              <w:bottom w:val="single" w:sz="4" w:space="0" w:color="000000"/>
              <w:right w:val="nil"/>
            </w:tcBorders>
          </w:tcPr>
          <w:p w14:paraId="33A77ED2"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rPr>
              <w:t>2,0%</w:t>
            </w:r>
          </w:p>
        </w:tc>
        <w:tc>
          <w:tcPr>
            <w:tcW w:w="1033" w:type="dxa"/>
            <w:tcBorders>
              <w:top w:val="single" w:sz="4" w:space="0" w:color="000000"/>
              <w:left w:val="nil"/>
              <w:bottom w:val="single" w:sz="4" w:space="0" w:color="000000"/>
              <w:right w:val="nil"/>
            </w:tcBorders>
          </w:tcPr>
          <w:p w14:paraId="3BB9143B" w14:textId="77777777" w:rsidR="00C91C1B" w:rsidRPr="00C522AD" w:rsidRDefault="00C227BB">
            <w:pPr>
              <w:pBdr>
                <w:top w:val="nil"/>
                <w:left w:val="nil"/>
                <w:bottom w:val="nil"/>
                <w:right w:val="nil"/>
                <w:between w:val="nil"/>
              </w:pBdr>
              <w:jc w:val="center"/>
              <w:rPr>
                <w:rFonts w:ascii="Calibri" w:eastAsia="Calibri" w:hAnsi="Calibri" w:cs="Calibri"/>
              </w:rPr>
            </w:pPr>
            <w:r w:rsidRPr="00C522AD">
              <w:rPr>
                <w:rFonts w:ascii="Calibri" w:eastAsia="Calibri" w:hAnsi="Calibri" w:cs="Calibri"/>
                <w:b/>
                <w:bCs/>
                <w:i/>
                <w:iCs/>
              </w:rPr>
              <w:t>2,0%</w:t>
            </w:r>
          </w:p>
        </w:tc>
        <w:tc>
          <w:tcPr>
            <w:tcW w:w="1028" w:type="dxa"/>
            <w:tcBorders>
              <w:top w:val="nil"/>
              <w:left w:val="nil"/>
              <w:bottom w:val="nil"/>
              <w:right w:val="nil"/>
            </w:tcBorders>
            <w:vAlign w:val="center"/>
          </w:tcPr>
          <w:p w14:paraId="464A0263" w14:textId="77777777" w:rsidR="00C91C1B" w:rsidRPr="00C522AD" w:rsidRDefault="00C91C1B">
            <w:pPr>
              <w:pBdr>
                <w:top w:val="nil"/>
                <w:left w:val="nil"/>
                <w:bottom w:val="nil"/>
                <w:right w:val="nil"/>
                <w:between w:val="nil"/>
              </w:pBdr>
              <w:jc w:val="center"/>
              <w:rPr>
                <w:rFonts w:ascii="Calibri" w:eastAsia="Calibri" w:hAnsi="Calibri" w:cs="Calibri"/>
              </w:rPr>
            </w:pPr>
          </w:p>
        </w:tc>
      </w:tr>
      <w:tr w:rsidR="00C522AD" w:rsidRPr="00C522AD" w14:paraId="2F1A8974" w14:textId="77777777">
        <w:trPr>
          <w:trHeight w:val="263"/>
        </w:trPr>
        <w:tc>
          <w:tcPr>
            <w:tcW w:w="8505" w:type="dxa"/>
            <w:gridSpan w:val="7"/>
            <w:tcBorders>
              <w:top w:val="nil"/>
              <w:left w:val="nil"/>
              <w:bottom w:val="nil"/>
              <w:right w:val="nil"/>
            </w:tcBorders>
            <w:vAlign w:val="center"/>
          </w:tcPr>
          <w:p w14:paraId="5F5731B3" w14:textId="0437467F" w:rsidR="00C91C1B" w:rsidRPr="00C522AD" w:rsidRDefault="00C227BB">
            <w:pPr>
              <w:pBdr>
                <w:top w:val="nil"/>
                <w:left w:val="nil"/>
                <w:bottom w:val="nil"/>
                <w:right w:val="nil"/>
                <w:between w:val="nil"/>
              </w:pBdr>
              <w:rPr>
                <w:rFonts w:ascii="Calibri" w:eastAsia="Calibri" w:hAnsi="Calibri" w:cs="Calibri"/>
              </w:rPr>
            </w:pPr>
            <w:r w:rsidRPr="00C522AD">
              <w:rPr>
                <w:rFonts w:ascii="Calibri" w:eastAsia="Calibri" w:hAnsi="Calibri" w:cs="Calibri"/>
                <w:i/>
                <w:iCs/>
              </w:rPr>
              <w:t xml:space="preserve">Fonte: Elaborazioni Camera di Commercio Toscana Nord-Ovest-ISR su dati Istat (dati </w:t>
            </w:r>
            <w:r w:rsidR="002F5205" w:rsidRPr="00C522AD">
              <w:rPr>
                <w:rFonts w:ascii="Calibri" w:eastAsia="Calibri" w:hAnsi="Calibri" w:cs="Calibri"/>
                <w:i/>
                <w:iCs/>
              </w:rPr>
              <w:t xml:space="preserve">2025 </w:t>
            </w:r>
            <w:r w:rsidRPr="00C522AD">
              <w:rPr>
                <w:rFonts w:ascii="Calibri" w:eastAsia="Calibri" w:hAnsi="Calibri" w:cs="Calibri"/>
                <w:i/>
                <w:iCs/>
              </w:rPr>
              <w:t>provvisori)</w:t>
            </w:r>
          </w:p>
        </w:tc>
      </w:tr>
    </w:tbl>
    <w:p w14:paraId="2817F06C"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br w:type="page"/>
      </w:r>
      <w:r w:rsidRPr="00C522AD">
        <w:rPr>
          <w:rFonts w:ascii="Calibri" w:eastAsia="Calibri" w:hAnsi="Calibri" w:cs="Calibri"/>
          <w:b/>
          <w:bCs/>
          <w:i/>
          <w:iCs/>
          <w:sz w:val="22"/>
          <w:szCs w:val="22"/>
        </w:rPr>
        <w:lastRenderedPageBreak/>
        <w:t>_______________________________________________________________________________GRUPPO DI LAVORO</w:t>
      </w:r>
    </w:p>
    <w:p w14:paraId="396F2B70" w14:textId="77777777"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r w:rsidRPr="00C522AD">
        <w:rPr>
          <w:rFonts w:ascii="Calibri" w:eastAsia="Calibri" w:hAnsi="Calibri" w:cs="Calibri"/>
          <w:b/>
          <w:bCs/>
          <w:i/>
          <w:iCs/>
          <w:sz w:val="22"/>
          <w:szCs w:val="22"/>
        </w:rPr>
        <w:t>Coordinamento</w:t>
      </w:r>
    </w:p>
    <w:p w14:paraId="78E2371C"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Alberto Susini</w:t>
      </w:r>
    </w:p>
    <w:p w14:paraId="19691BB2" w14:textId="77777777"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r w:rsidRPr="00C522AD">
        <w:rPr>
          <w:rFonts w:ascii="Calibri" w:eastAsia="Calibri" w:hAnsi="Calibri" w:cs="Calibri"/>
          <w:b/>
          <w:bCs/>
          <w:i/>
          <w:iCs/>
          <w:sz w:val="22"/>
          <w:szCs w:val="22"/>
        </w:rPr>
        <w:t xml:space="preserve">Redazione </w:t>
      </w:r>
    </w:p>
    <w:p w14:paraId="70582C24"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Silvano Crecchi</w:t>
      </w:r>
    </w:p>
    <w:p w14:paraId="01A24EED" w14:textId="77777777"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r w:rsidRPr="00C522AD">
        <w:rPr>
          <w:rFonts w:ascii="Calibri" w:eastAsia="Calibri" w:hAnsi="Calibri" w:cs="Calibri"/>
          <w:b/>
          <w:bCs/>
          <w:i/>
          <w:iCs/>
          <w:sz w:val="22"/>
          <w:szCs w:val="22"/>
        </w:rPr>
        <w:t>Elaborazioni</w:t>
      </w:r>
    </w:p>
    <w:p w14:paraId="4ABA98AA"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Massimo Pazzarelli</w:t>
      </w:r>
    </w:p>
    <w:p w14:paraId="737F7EEF" w14:textId="77777777" w:rsidR="00C91C1B" w:rsidRPr="00C522AD" w:rsidRDefault="00C91C1B">
      <w:pPr>
        <w:pBdr>
          <w:top w:val="nil"/>
          <w:left w:val="nil"/>
          <w:bottom w:val="nil"/>
          <w:right w:val="nil"/>
          <w:between w:val="nil"/>
        </w:pBdr>
        <w:jc w:val="both"/>
        <w:rPr>
          <w:rFonts w:ascii="Calibri" w:eastAsia="Calibri" w:hAnsi="Calibri" w:cs="Calibri"/>
          <w:sz w:val="22"/>
          <w:szCs w:val="22"/>
        </w:rPr>
      </w:pPr>
    </w:p>
    <w:p w14:paraId="7D357F92" w14:textId="647ABA92"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r w:rsidRPr="00C522AD">
        <w:rPr>
          <w:rFonts w:ascii="Calibri" w:eastAsia="Calibri" w:hAnsi="Calibri" w:cs="Calibri"/>
          <w:sz w:val="22"/>
          <w:szCs w:val="22"/>
        </w:rPr>
        <w:t xml:space="preserve">Diffusa il </w:t>
      </w:r>
      <w:r w:rsidR="00F9358F" w:rsidRPr="00C522AD">
        <w:rPr>
          <w:rFonts w:ascii="Calibri" w:eastAsia="Calibri" w:hAnsi="Calibri" w:cs="Calibri"/>
          <w:sz w:val="22"/>
          <w:szCs w:val="22"/>
        </w:rPr>
        <w:t>23</w:t>
      </w:r>
      <w:r w:rsidRPr="00C522AD">
        <w:rPr>
          <w:rFonts w:ascii="Calibri" w:eastAsia="Calibri" w:hAnsi="Calibri" w:cs="Calibri"/>
          <w:sz w:val="22"/>
          <w:szCs w:val="22"/>
        </w:rPr>
        <w:t xml:space="preserve"> marzo 2026</w:t>
      </w:r>
    </w:p>
    <w:p w14:paraId="086C01D9" w14:textId="77777777"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r w:rsidRPr="00C522AD">
        <w:rPr>
          <w:rFonts w:ascii="Calibri" w:eastAsia="Calibri" w:hAnsi="Calibri" w:cs="Calibri"/>
          <w:b/>
          <w:bCs/>
          <w:i/>
          <w:iCs/>
          <w:sz w:val="22"/>
          <w:szCs w:val="22"/>
        </w:rPr>
        <w:t>INFO</w:t>
      </w:r>
    </w:p>
    <w:p w14:paraId="328F9469" w14:textId="77777777" w:rsidR="00C91C1B" w:rsidRPr="00C522AD" w:rsidRDefault="00C91C1B">
      <w:pPr>
        <w:pBdr>
          <w:top w:val="nil"/>
          <w:left w:val="nil"/>
          <w:bottom w:val="nil"/>
          <w:right w:val="nil"/>
          <w:between w:val="nil"/>
        </w:pBdr>
        <w:jc w:val="both"/>
        <w:rPr>
          <w:rFonts w:ascii="Calibri" w:eastAsia="Calibri" w:hAnsi="Calibri" w:cs="Calibri"/>
          <w:sz w:val="22"/>
          <w:szCs w:val="22"/>
        </w:rPr>
      </w:pPr>
      <w:hyperlink r:id="rId8">
        <w:r w:rsidRPr="00C522AD">
          <w:rPr>
            <w:rFonts w:ascii="Calibri" w:eastAsia="Calibri" w:hAnsi="Calibri" w:cs="Calibri"/>
            <w:i/>
            <w:iCs/>
            <w:sz w:val="22"/>
            <w:szCs w:val="22"/>
            <w:u w:val="single"/>
          </w:rPr>
          <w:t>studi@tno.camcom.it</w:t>
        </w:r>
      </w:hyperlink>
    </w:p>
    <w:p w14:paraId="493D4AEC" w14:textId="77777777" w:rsidR="00C91C1B" w:rsidRPr="00C522AD" w:rsidRDefault="00C91C1B">
      <w:pPr>
        <w:pBdr>
          <w:top w:val="nil"/>
          <w:left w:val="nil"/>
          <w:bottom w:val="nil"/>
          <w:right w:val="nil"/>
          <w:between w:val="nil"/>
        </w:pBdr>
        <w:jc w:val="both"/>
        <w:rPr>
          <w:rFonts w:ascii="Calibri" w:eastAsia="Calibri" w:hAnsi="Calibri" w:cs="Calibri"/>
          <w:sz w:val="22"/>
          <w:szCs w:val="22"/>
        </w:rPr>
      </w:pPr>
      <w:hyperlink r:id="rId9">
        <w:r w:rsidRPr="00C522AD">
          <w:rPr>
            <w:rFonts w:ascii="Calibri" w:eastAsia="Calibri" w:hAnsi="Calibri" w:cs="Calibri"/>
            <w:i/>
            <w:iCs/>
            <w:sz w:val="22"/>
            <w:szCs w:val="22"/>
            <w:u w:val="single"/>
          </w:rPr>
          <w:t>https://www.isr-ms.it</w:t>
        </w:r>
      </w:hyperlink>
      <w:r w:rsidRPr="00C522AD">
        <w:rPr>
          <w:rFonts w:ascii="Calibri" w:eastAsia="Calibri" w:hAnsi="Calibri" w:cs="Calibri"/>
          <w:i/>
          <w:iCs/>
          <w:sz w:val="22"/>
          <w:szCs w:val="22"/>
        </w:rPr>
        <w:t xml:space="preserve"> </w:t>
      </w:r>
    </w:p>
    <w:p w14:paraId="4F702436" w14:textId="77777777"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r w:rsidRPr="00C522AD">
        <w:br w:type="page"/>
      </w:r>
      <w:r w:rsidRPr="00C522AD">
        <w:rPr>
          <w:rFonts w:ascii="Calibri" w:eastAsia="Calibri" w:hAnsi="Calibri" w:cs="Calibri"/>
          <w:b/>
          <w:bCs/>
          <w:i/>
          <w:iCs/>
          <w:sz w:val="22"/>
          <w:szCs w:val="22"/>
        </w:rPr>
        <w:lastRenderedPageBreak/>
        <w:t>NOTA METODOLOGICA</w:t>
      </w:r>
    </w:p>
    <w:p w14:paraId="1C2A1BB6" w14:textId="77777777" w:rsidR="00C91C1B" w:rsidRPr="00C522AD" w:rsidRDefault="00C227BB">
      <w:pPr>
        <w:pBdr>
          <w:top w:val="nil"/>
          <w:left w:val="nil"/>
          <w:bottom w:val="nil"/>
          <w:right w:val="nil"/>
          <w:between w:val="nil"/>
        </w:pBdr>
        <w:spacing w:before="240"/>
        <w:jc w:val="both"/>
        <w:rPr>
          <w:rFonts w:ascii="Calibri" w:eastAsia="Calibri" w:hAnsi="Calibri" w:cs="Calibri"/>
          <w:sz w:val="22"/>
          <w:szCs w:val="22"/>
        </w:rPr>
      </w:pPr>
      <w:proofErr w:type="spellStart"/>
      <w:r w:rsidRPr="00C522AD">
        <w:rPr>
          <w:rFonts w:ascii="Calibri" w:eastAsia="Calibri" w:hAnsi="Calibri" w:cs="Calibri"/>
          <w:i/>
          <w:iCs/>
          <w:sz w:val="22"/>
          <w:szCs w:val="22"/>
        </w:rPr>
        <w:t>Coeweb</w:t>
      </w:r>
      <w:proofErr w:type="spellEnd"/>
      <w:r w:rsidRPr="00C522AD">
        <w:rPr>
          <w:rFonts w:ascii="Calibri" w:eastAsia="Calibri" w:hAnsi="Calibri" w:cs="Calibri"/>
          <w:i/>
          <w:iCs/>
          <w:sz w:val="22"/>
          <w:szCs w:val="22"/>
        </w:rPr>
        <w:t xml:space="preserve"> è il sistema informativo on-line di ISTAT dedicato alle statistiche del commercio con l'estero e fornisce, con cadenza mensile (trimestrale a livello provinciale), un ricco patrimonio informativo sui flussi commerciali dell'Italia con il resto del mondo. </w:t>
      </w:r>
    </w:p>
    <w:p w14:paraId="1675E4C5"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 xml:space="preserve">Le informazioni derivano per i paesi extra-UE dal Documento Amministrativo Unico (D.A.U.) e per i paesi UE dai modelli Intrastat acquisiti dall'Agenzia delle Dogane. </w:t>
      </w:r>
    </w:p>
    <w:p w14:paraId="43D61044"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I dati raccolti, una volta pervenuti all'ISTAT, vengono prima trattati in base alle normative comunitarie relative alle statistiche del commercio con l'estero e successivamente rivisti e validati dai revisori.</w:t>
      </w:r>
    </w:p>
    <w:p w14:paraId="063ACB1C"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 xml:space="preserve">La banca dati, che contiene informazioni a partire dal 1991, fornisce informazioni statistiche per le esportazioni e le importazioni secondo varie variabili di classificazione: </w:t>
      </w:r>
    </w:p>
    <w:p w14:paraId="188EB2D0"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 xml:space="preserve"> - Territorio di provenienza o destinazione delle merci (province, regioni, macro ripartizioni)</w:t>
      </w:r>
    </w:p>
    <w:p w14:paraId="356E8D89"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 xml:space="preserve"> - Tipologia di merce (secondo varie classificazioni: NC8, Ateco, CTCI, NST)</w:t>
      </w:r>
    </w:p>
    <w:p w14:paraId="6D388E8B"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 xml:space="preserve"> - Paese di destinazione o provenienza delle merci</w:t>
      </w:r>
    </w:p>
    <w:p w14:paraId="2DC1592B"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 xml:space="preserve">Ai fini dell’analisi è stata utilizzata la classificazione delle merci Ateco 2007, </w:t>
      </w:r>
    </w:p>
    <w:p w14:paraId="6D868509"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A livello provinciale l’analisi dell’interscambio commerciale è disponibile solamente in valore monetario.</w:t>
      </w:r>
    </w:p>
    <w:p w14:paraId="5CAA8FDF" w14:textId="77777777" w:rsidR="00C91C1B" w:rsidRPr="00C522AD" w:rsidRDefault="00C91C1B">
      <w:pPr>
        <w:pBdr>
          <w:top w:val="nil"/>
          <w:left w:val="nil"/>
          <w:bottom w:val="nil"/>
          <w:right w:val="nil"/>
          <w:between w:val="nil"/>
        </w:pBdr>
        <w:jc w:val="both"/>
        <w:rPr>
          <w:rFonts w:ascii="Calibri" w:eastAsia="Calibri" w:hAnsi="Calibri" w:cs="Calibri"/>
          <w:sz w:val="22"/>
          <w:szCs w:val="22"/>
        </w:rPr>
      </w:pPr>
    </w:p>
    <w:p w14:paraId="165E438B" w14:textId="77777777" w:rsidR="00C91C1B" w:rsidRPr="00C522AD" w:rsidRDefault="00C227BB">
      <w:pPr>
        <w:pBdr>
          <w:top w:val="nil"/>
          <w:left w:val="nil"/>
          <w:bottom w:val="nil"/>
          <w:right w:val="nil"/>
          <w:between w:val="nil"/>
        </w:pBdr>
        <w:jc w:val="both"/>
        <w:rPr>
          <w:rFonts w:ascii="Calibri" w:eastAsia="Calibri" w:hAnsi="Calibri" w:cs="Calibri"/>
          <w:sz w:val="22"/>
          <w:szCs w:val="22"/>
        </w:rPr>
      </w:pPr>
      <w:r w:rsidRPr="00C522AD">
        <w:rPr>
          <w:rFonts w:ascii="Calibri" w:eastAsia="Calibri" w:hAnsi="Calibri" w:cs="Calibri"/>
          <w:i/>
          <w:iCs/>
          <w:sz w:val="22"/>
          <w:szCs w:val="22"/>
        </w:rPr>
        <w:t>Di seguito la corrispondenza dei settori indicati nelle tabelle con il rispettivo codice Ateco 2007:</w:t>
      </w:r>
    </w:p>
    <w:tbl>
      <w:tblPr>
        <w:tblStyle w:val="a6"/>
        <w:tblW w:w="9639" w:type="dxa"/>
        <w:tblInd w:w="0" w:type="dxa"/>
        <w:tblLayout w:type="fixed"/>
        <w:tblLook w:val="0000" w:firstRow="0" w:lastRow="0" w:firstColumn="0" w:lastColumn="0" w:noHBand="0" w:noVBand="0"/>
      </w:tblPr>
      <w:tblGrid>
        <w:gridCol w:w="3969"/>
        <w:gridCol w:w="5670"/>
      </w:tblGrid>
      <w:tr w:rsidR="00C522AD" w:rsidRPr="00C522AD" w14:paraId="24D5827E" w14:textId="77777777" w:rsidTr="00966A96">
        <w:trPr>
          <w:trHeight w:val="227"/>
        </w:trPr>
        <w:tc>
          <w:tcPr>
            <w:tcW w:w="3969" w:type="dxa"/>
            <w:tcBorders>
              <w:top w:val="single" w:sz="4" w:space="0" w:color="000000"/>
              <w:left w:val="nil"/>
              <w:bottom w:val="single" w:sz="4" w:space="0" w:color="000000"/>
              <w:right w:val="nil"/>
            </w:tcBorders>
            <w:vAlign w:val="center"/>
          </w:tcPr>
          <w:p w14:paraId="3951E3B1"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b/>
                <w:bCs/>
                <w:sz w:val="18"/>
                <w:szCs w:val="18"/>
              </w:rPr>
              <w:t>Settore</w:t>
            </w:r>
          </w:p>
        </w:tc>
        <w:tc>
          <w:tcPr>
            <w:tcW w:w="5670" w:type="dxa"/>
            <w:tcBorders>
              <w:top w:val="single" w:sz="4" w:space="0" w:color="000000"/>
              <w:left w:val="nil"/>
              <w:bottom w:val="single" w:sz="4" w:space="0" w:color="000000"/>
              <w:right w:val="nil"/>
            </w:tcBorders>
            <w:vAlign w:val="center"/>
          </w:tcPr>
          <w:p w14:paraId="1598DFFC"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b/>
                <w:bCs/>
                <w:sz w:val="18"/>
                <w:szCs w:val="18"/>
              </w:rPr>
              <w:t>Ateco 2007</w:t>
            </w:r>
          </w:p>
        </w:tc>
      </w:tr>
      <w:tr w:rsidR="00C522AD" w:rsidRPr="00C522AD" w14:paraId="254EB4A2" w14:textId="77777777" w:rsidTr="00966A96">
        <w:trPr>
          <w:trHeight w:val="227"/>
        </w:trPr>
        <w:tc>
          <w:tcPr>
            <w:tcW w:w="3969" w:type="dxa"/>
            <w:tcBorders>
              <w:top w:val="single" w:sz="4" w:space="0" w:color="000000"/>
              <w:left w:val="nil"/>
              <w:bottom w:val="single" w:sz="4" w:space="0" w:color="808080"/>
              <w:right w:val="nil"/>
            </w:tcBorders>
            <w:vAlign w:val="center"/>
          </w:tcPr>
          <w:p w14:paraId="2DFBDB3D"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Pietra, sabbia e argilla</w:t>
            </w:r>
          </w:p>
        </w:tc>
        <w:tc>
          <w:tcPr>
            <w:tcW w:w="5670" w:type="dxa"/>
            <w:tcBorders>
              <w:top w:val="single" w:sz="4" w:space="0" w:color="000000"/>
              <w:left w:val="nil"/>
              <w:bottom w:val="single" w:sz="4" w:space="0" w:color="808080"/>
              <w:right w:val="nil"/>
            </w:tcBorders>
            <w:vAlign w:val="center"/>
          </w:tcPr>
          <w:p w14:paraId="3216873B"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BB081-Pietra, sabbia e argilla</w:t>
            </w:r>
          </w:p>
        </w:tc>
      </w:tr>
      <w:tr w:rsidR="00C522AD" w:rsidRPr="00C522AD" w14:paraId="3917A449" w14:textId="77777777" w:rsidTr="00966A96">
        <w:trPr>
          <w:trHeight w:val="227"/>
        </w:trPr>
        <w:tc>
          <w:tcPr>
            <w:tcW w:w="3969" w:type="dxa"/>
            <w:tcBorders>
              <w:top w:val="single" w:sz="4" w:space="0" w:color="808080"/>
              <w:left w:val="nil"/>
              <w:bottom w:val="single" w:sz="4" w:space="0" w:color="808080"/>
              <w:right w:val="nil"/>
            </w:tcBorders>
            <w:vAlign w:val="center"/>
          </w:tcPr>
          <w:p w14:paraId="5774684B"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Oli e grassi vegetali e animali</w:t>
            </w:r>
          </w:p>
        </w:tc>
        <w:tc>
          <w:tcPr>
            <w:tcW w:w="5670" w:type="dxa"/>
            <w:tcBorders>
              <w:top w:val="single" w:sz="4" w:space="0" w:color="808080"/>
              <w:left w:val="nil"/>
              <w:bottom w:val="single" w:sz="4" w:space="0" w:color="808080"/>
              <w:right w:val="nil"/>
            </w:tcBorders>
            <w:vAlign w:val="center"/>
          </w:tcPr>
          <w:p w14:paraId="27D1DCFD"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CA104-Oli e grassi vegetali e animali</w:t>
            </w:r>
          </w:p>
        </w:tc>
      </w:tr>
      <w:tr w:rsidR="00C522AD" w:rsidRPr="00C522AD" w14:paraId="5795BB53" w14:textId="77777777" w:rsidTr="00966A96">
        <w:trPr>
          <w:trHeight w:val="227"/>
        </w:trPr>
        <w:tc>
          <w:tcPr>
            <w:tcW w:w="3969" w:type="dxa"/>
            <w:tcBorders>
              <w:top w:val="single" w:sz="4" w:space="0" w:color="808080"/>
              <w:left w:val="nil"/>
              <w:bottom w:val="single" w:sz="4" w:space="0" w:color="808080"/>
              <w:right w:val="nil"/>
            </w:tcBorders>
            <w:vAlign w:val="center"/>
          </w:tcPr>
          <w:p w14:paraId="5B065E35"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Bevande</w:t>
            </w:r>
          </w:p>
        </w:tc>
        <w:tc>
          <w:tcPr>
            <w:tcW w:w="5670" w:type="dxa"/>
            <w:tcBorders>
              <w:top w:val="single" w:sz="4" w:space="0" w:color="808080"/>
              <w:left w:val="nil"/>
              <w:bottom w:val="single" w:sz="4" w:space="0" w:color="808080"/>
              <w:right w:val="nil"/>
            </w:tcBorders>
            <w:vAlign w:val="center"/>
          </w:tcPr>
          <w:p w14:paraId="1E59015B"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CA110-Bevande</w:t>
            </w:r>
          </w:p>
        </w:tc>
      </w:tr>
      <w:tr w:rsidR="00C522AD" w:rsidRPr="00C522AD" w14:paraId="3D485A5D" w14:textId="77777777" w:rsidTr="00966A96">
        <w:trPr>
          <w:trHeight w:val="227"/>
        </w:trPr>
        <w:tc>
          <w:tcPr>
            <w:tcW w:w="3969" w:type="dxa"/>
            <w:tcBorders>
              <w:top w:val="single" w:sz="4" w:space="0" w:color="808080"/>
              <w:left w:val="nil"/>
              <w:bottom w:val="single" w:sz="4" w:space="0" w:color="808080"/>
              <w:right w:val="nil"/>
            </w:tcBorders>
            <w:vAlign w:val="center"/>
          </w:tcPr>
          <w:p w14:paraId="264052FE"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Articoli di abbigliamento</w:t>
            </w:r>
          </w:p>
        </w:tc>
        <w:tc>
          <w:tcPr>
            <w:tcW w:w="5670" w:type="dxa"/>
            <w:tcBorders>
              <w:top w:val="single" w:sz="4" w:space="0" w:color="808080"/>
              <w:left w:val="nil"/>
              <w:bottom w:val="single" w:sz="4" w:space="0" w:color="808080"/>
              <w:right w:val="nil"/>
            </w:tcBorders>
            <w:vAlign w:val="center"/>
          </w:tcPr>
          <w:p w14:paraId="0CBCAD13"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CB141-Articoli di abbigliamento, escluso l'abbigliamento in pelliccia</w:t>
            </w:r>
          </w:p>
        </w:tc>
      </w:tr>
      <w:tr w:rsidR="00C522AD" w:rsidRPr="00C522AD" w14:paraId="4DEBF0B0" w14:textId="77777777" w:rsidTr="00966A96">
        <w:trPr>
          <w:trHeight w:val="227"/>
        </w:trPr>
        <w:tc>
          <w:tcPr>
            <w:tcW w:w="3969" w:type="dxa"/>
            <w:tcBorders>
              <w:top w:val="single" w:sz="4" w:space="0" w:color="808080"/>
              <w:left w:val="nil"/>
              <w:bottom w:val="single" w:sz="4" w:space="0" w:color="808080"/>
              <w:right w:val="nil"/>
            </w:tcBorders>
            <w:vAlign w:val="center"/>
          </w:tcPr>
          <w:p w14:paraId="1BBF7EEC"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Pelli-cuoio</w:t>
            </w:r>
          </w:p>
        </w:tc>
        <w:tc>
          <w:tcPr>
            <w:tcW w:w="5670" w:type="dxa"/>
            <w:tcBorders>
              <w:top w:val="single" w:sz="4" w:space="0" w:color="808080"/>
              <w:left w:val="nil"/>
              <w:bottom w:val="single" w:sz="4" w:space="0" w:color="808080"/>
              <w:right w:val="nil"/>
            </w:tcBorders>
            <w:vAlign w:val="center"/>
          </w:tcPr>
          <w:p w14:paraId="1C74F51C"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CB151-Cuoio conciato e lavorato; articoli da viaggio, borse, pelletteria e selleria; pellicce preparate e tinte</w:t>
            </w:r>
          </w:p>
        </w:tc>
      </w:tr>
      <w:tr w:rsidR="00C522AD" w:rsidRPr="00C522AD" w14:paraId="44BE6817" w14:textId="77777777" w:rsidTr="00966A96">
        <w:trPr>
          <w:trHeight w:val="227"/>
        </w:trPr>
        <w:tc>
          <w:tcPr>
            <w:tcW w:w="3969" w:type="dxa"/>
            <w:tcBorders>
              <w:top w:val="single" w:sz="4" w:space="0" w:color="808080"/>
              <w:left w:val="nil"/>
              <w:bottom w:val="single" w:sz="4" w:space="0" w:color="808080"/>
              <w:right w:val="nil"/>
            </w:tcBorders>
            <w:vAlign w:val="center"/>
          </w:tcPr>
          <w:p w14:paraId="6F7D6EA5"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Calzature</w:t>
            </w:r>
          </w:p>
        </w:tc>
        <w:tc>
          <w:tcPr>
            <w:tcW w:w="5670" w:type="dxa"/>
            <w:tcBorders>
              <w:top w:val="single" w:sz="4" w:space="0" w:color="808080"/>
              <w:left w:val="nil"/>
              <w:bottom w:val="single" w:sz="4" w:space="0" w:color="808080"/>
              <w:right w:val="nil"/>
            </w:tcBorders>
            <w:vAlign w:val="center"/>
          </w:tcPr>
          <w:p w14:paraId="3A0AA08F"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CB152-Calzature</w:t>
            </w:r>
          </w:p>
        </w:tc>
      </w:tr>
      <w:tr w:rsidR="00C522AD" w:rsidRPr="00C522AD" w14:paraId="7FAA535A" w14:textId="77777777" w:rsidTr="00966A96">
        <w:trPr>
          <w:trHeight w:val="227"/>
        </w:trPr>
        <w:tc>
          <w:tcPr>
            <w:tcW w:w="3969" w:type="dxa"/>
            <w:tcBorders>
              <w:top w:val="single" w:sz="4" w:space="0" w:color="808080"/>
              <w:left w:val="nil"/>
              <w:bottom w:val="single" w:sz="4" w:space="0" w:color="808080"/>
              <w:right w:val="nil"/>
            </w:tcBorders>
            <w:vAlign w:val="center"/>
          </w:tcPr>
          <w:p w14:paraId="57AC0189"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Pasta-carta, carta e cartone</w:t>
            </w:r>
          </w:p>
        </w:tc>
        <w:tc>
          <w:tcPr>
            <w:tcW w:w="5670" w:type="dxa"/>
            <w:tcBorders>
              <w:top w:val="single" w:sz="4" w:space="0" w:color="808080"/>
              <w:left w:val="nil"/>
              <w:bottom w:val="single" w:sz="4" w:space="0" w:color="808080"/>
              <w:right w:val="nil"/>
            </w:tcBorders>
            <w:vAlign w:val="center"/>
          </w:tcPr>
          <w:p w14:paraId="7CC3D409"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CC171-Pasta-carta, carta e cartone</w:t>
            </w:r>
          </w:p>
        </w:tc>
      </w:tr>
      <w:tr w:rsidR="00C522AD" w:rsidRPr="00C522AD" w14:paraId="67072B75" w14:textId="77777777" w:rsidTr="00966A96">
        <w:trPr>
          <w:trHeight w:val="227"/>
        </w:trPr>
        <w:tc>
          <w:tcPr>
            <w:tcW w:w="3969" w:type="dxa"/>
            <w:tcBorders>
              <w:top w:val="single" w:sz="4" w:space="0" w:color="808080"/>
              <w:left w:val="nil"/>
              <w:bottom w:val="single" w:sz="4" w:space="0" w:color="808080"/>
              <w:right w:val="nil"/>
            </w:tcBorders>
            <w:vAlign w:val="center"/>
          </w:tcPr>
          <w:p w14:paraId="444CAE17"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Articoli di carta e di cartone</w:t>
            </w:r>
          </w:p>
        </w:tc>
        <w:tc>
          <w:tcPr>
            <w:tcW w:w="5670" w:type="dxa"/>
            <w:tcBorders>
              <w:top w:val="single" w:sz="4" w:space="0" w:color="808080"/>
              <w:left w:val="nil"/>
              <w:bottom w:val="single" w:sz="4" w:space="0" w:color="808080"/>
              <w:right w:val="nil"/>
            </w:tcBorders>
            <w:vAlign w:val="center"/>
          </w:tcPr>
          <w:p w14:paraId="4CBF6EB6"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CC172-Articoli di carta e di cartone</w:t>
            </w:r>
          </w:p>
        </w:tc>
      </w:tr>
      <w:tr w:rsidR="00C522AD" w:rsidRPr="00C522AD" w14:paraId="29F4FB95" w14:textId="77777777" w:rsidTr="00966A96">
        <w:trPr>
          <w:trHeight w:val="227"/>
        </w:trPr>
        <w:tc>
          <w:tcPr>
            <w:tcW w:w="3969" w:type="dxa"/>
            <w:tcBorders>
              <w:top w:val="single" w:sz="4" w:space="0" w:color="808080"/>
              <w:left w:val="nil"/>
              <w:bottom w:val="single" w:sz="4" w:space="0" w:color="808080"/>
              <w:right w:val="nil"/>
            </w:tcBorders>
            <w:vAlign w:val="center"/>
          </w:tcPr>
          <w:p w14:paraId="191B2490"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 xml:space="preserve">Chimica di base, </w:t>
            </w:r>
            <w:proofErr w:type="spellStart"/>
            <w:proofErr w:type="gramStart"/>
            <w:r w:rsidRPr="00C522AD">
              <w:rPr>
                <w:rFonts w:asciiTheme="majorHAnsi" w:eastAsia="Calibri" w:hAnsiTheme="majorHAnsi" w:cstheme="majorHAnsi"/>
                <w:sz w:val="18"/>
                <w:szCs w:val="18"/>
              </w:rPr>
              <w:t>fertil.ti</w:t>
            </w:r>
            <w:proofErr w:type="spellEnd"/>
            <w:proofErr w:type="gramEnd"/>
            <w:r w:rsidRPr="00C522AD">
              <w:rPr>
                <w:rFonts w:asciiTheme="majorHAnsi" w:eastAsia="Calibri" w:hAnsiTheme="majorHAnsi" w:cstheme="majorHAnsi"/>
                <w:sz w:val="18"/>
                <w:szCs w:val="18"/>
              </w:rPr>
              <w:t>, plastica e gomma</w:t>
            </w:r>
          </w:p>
        </w:tc>
        <w:tc>
          <w:tcPr>
            <w:tcW w:w="5670" w:type="dxa"/>
            <w:tcBorders>
              <w:top w:val="single" w:sz="4" w:space="0" w:color="808080"/>
              <w:left w:val="nil"/>
              <w:bottom w:val="single" w:sz="4" w:space="0" w:color="808080"/>
              <w:right w:val="nil"/>
            </w:tcBorders>
            <w:vAlign w:val="center"/>
          </w:tcPr>
          <w:p w14:paraId="415661DC"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CE201-Prodotti chimici di base, fertilizzanti e composti azotati, materie plastiche e gomma sintetica in forme primarie</w:t>
            </w:r>
          </w:p>
        </w:tc>
      </w:tr>
      <w:tr w:rsidR="00C522AD" w:rsidRPr="00C522AD" w14:paraId="1DE7A981" w14:textId="77777777" w:rsidTr="00966A96">
        <w:trPr>
          <w:trHeight w:val="227"/>
        </w:trPr>
        <w:tc>
          <w:tcPr>
            <w:tcW w:w="3969" w:type="dxa"/>
            <w:tcBorders>
              <w:top w:val="single" w:sz="4" w:space="0" w:color="808080"/>
              <w:left w:val="nil"/>
              <w:bottom w:val="single" w:sz="4" w:space="0" w:color="808080"/>
              <w:right w:val="nil"/>
            </w:tcBorders>
            <w:vAlign w:val="center"/>
          </w:tcPr>
          <w:p w14:paraId="3664419F"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Altri prodotti chimici</w:t>
            </w:r>
          </w:p>
        </w:tc>
        <w:tc>
          <w:tcPr>
            <w:tcW w:w="5670" w:type="dxa"/>
            <w:tcBorders>
              <w:top w:val="single" w:sz="4" w:space="0" w:color="808080"/>
              <w:left w:val="nil"/>
              <w:bottom w:val="single" w:sz="4" w:space="0" w:color="808080"/>
              <w:right w:val="nil"/>
            </w:tcBorders>
            <w:vAlign w:val="center"/>
          </w:tcPr>
          <w:p w14:paraId="3F3636F8"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CE205-Altri prodotti chimici</w:t>
            </w:r>
          </w:p>
        </w:tc>
      </w:tr>
      <w:tr w:rsidR="00C522AD" w:rsidRPr="00C522AD" w14:paraId="5B4EC1BF" w14:textId="77777777" w:rsidTr="00966A96">
        <w:trPr>
          <w:trHeight w:val="227"/>
        </w:trPr>
        <w:tc>
          <w:tcPr>
            <w:tcW w:w="3969" w:type="dxa"/>
            <w:tcBorders>
              <w:top w:val="single" w:sz="4" w:space="0" w:color="808080"/>
              <w:left w:val="nil"/>
              <w:bottom w:val="single" w:sz="4" w:space="0" w:color="808080"/>
              <w:right w:val="nil"/>
            </w:tcBorders>
            <w:vAlign w:val="center"/>
          </w:tcPr>
          <w:p w14:paraId="5B5E726F"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Medicinali e preparati farmaceutici</w:t>
            </w:r>
          </w:p>
        </w:tc>
        <w:tc>
          <w:tcPr>
            <w:tcW w:w="5670" w:type="dxa"/>
            <w:tcBorders>
              <w:top w:val="single" w:sz="4" w:space="0" w:color="808080"/>
              <w:left w:val="nil"/>
              <w:bottom w:val="single" w:sz="4" w:space="0" w:color="808080"/>
              <w:right w:val="nil"/>
            </w:tcBorders>
            <w:vAlign w:val="center"/>
          </w:tcPr>
          <w:p w14:paraId="5158EB7B"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CF212-Medicinali e preparati farmaceutici</w:t>
            </w:r>
          </w:p>
        </w:tc>
      </w:tr>
      <w:tr w:rsidR="00C522AD" w:rsidRPr="00C522AD" w14:paraId="6F5ED842" w14:textId="77777777" w:rsidTr="00966A96">
        <w:trPr>
          <w:trHeight w:val="227"/>
        </w:trPr>
        <w:tc>
          <w:tcPr>
            <w:tcW w:w="3969" w:type="dxa"/>
            <w:tcBorders>
              <w:top w:val="single" w:sz="4" w:space="0" w:color="808080"/>
              <w:left w:val="nil"/>
              <w:bottom w:val="single" w:sz="4" w:space="0" w:color="808080"/>
              <w:right w:val="nil"/>
            </w:tcBorders>
            <w:vAlign w:val="center"/>
          </w:tcPr>
          <w:p w14:paraId="776BA416"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Articoli in materie plastiche</w:t>
            </w:r>
          </w:p>
        </w:tc>
        <w:tc>
          <w:tcPr>
            <w:tcW w:w="5670" w:type="dxa"/>
            <w:tcBorders>
              <w:top w:val="single" w:sz="4" w:space="0" w:color="808080"/>
              <w:left w:val="nil"/>
              <w:bottom w:val="single" w:sz="4" w:space="0" w:color="808080"/>
              <w:right w:val="nil"/>
            </w:tcBorders>
            <w:vAlign w:val="center"/>
          </w:tcPr>
          <w:p w14:paraId="7782C8D0"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CG222-Articoli in materie plastiche</w:t>
            </w:r>
          </w:p>
        </w:tc>
      </w:tr>
      <w:tr w:rsidR="00C522AD" w:rsidRPr="00C522AD" w14:paraId="0D733927" w14:textId="77777777" w:rsidTr="00966A96">
        <w:trPr>
          <w:trHeight w:val="227"/>
        </w:trPr>
        <w:tc>
          <w:tcPr>
            <w:tcW w:w="3969" w:type="dxa"/>
            <w:tcBorders>
              <w:top w:val="single" w:sz="4" w:space="0" w:color="808080"/>
              <w:left w:val="nil"/>
              <w:bottom w:val="single" w:sz="4" w:space="0" w:color="808080"/>
              <w:right w:val="nil"/>
            </w:tcBorders>
          </w:tcPr>
          <w:p w14:paraId="336AF7E3" w14:textId="304B2F3E"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Prodotti refrattari</w:t>
            </w:r>
          </w:p>
        </w:tc>
        <w:tc>
          <w:tcPr>
            <w:tcW w:w="5670" w:type="dxa"/>
            <w:tcBorders>
              <w:top w:val="single" w:sz="4" w:space="0" w:color="808080"/>
              <w:left w:val="nil"/>
              <w:bottom w:val="single" w:sz="4" w:space="0" w:color="808080"/>
              <w:right w:val="nil"/>
            </w:tcBorders>
          </w:tcPr>
          <w:p w14:paraId="29B48586" w14:textId="4F60277A"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232-Prodotti refrattari</w:t>
            </w:r>
          </w:p>
        </w:tc>
      </w:tr>
      <w:tr w:rsidR="00C522AD" w:rsidRPr="00C522AD" w14:paraId="4B9E19F0" w14:textId="77777777" w:rsidTr="00966A96">
        <w:trPr>
          <w:trHeight w:val="227"/>
        </w:trPr>
        <w:tc>
          <w:tcPr>
            <w:tcW w:w="3969" w:type="dxa"/>
            <w:tcBorders>
              <w:top w:val="single" w:sz="4" w:space="0" w:color="808080"/>
              <w:left w:val="nil"/>
              <w:bottom w:val="single" w:sz="4" w:space="0" w:color="808080"/>
              <w:right w:val="nil"/>
            </w:tcBorders>
          </w:tcPr>
          <w:p w14:paraId="50C38D6E" w14:textId="7CFD8F42"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Materiali da costruzione in terracotta</w:t>
            </w:r>
          </w:p>
        </w:tc>
        <w:tc>
          <w:tcPr>
            <w:tcW w:w="5670" w:type="dxa"/>
            <w:tcBorders>
              <w:top w:val="single" w:sz="4" w:space="0" w:color="808080"/>
              <w:left w:val="nil"/>
              <w:bottom w:val="single" w:sz="4" w:space="0" w:color="808080"/>
              <w:right w:val="nil"/>
            </w:tcBorders>
          </w:tcPr>
          <w:p w14:paraId="79159265" w14:textId="266DCD24"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233-Materiali da costruzione in terracotta</w:t>
            </w:r>
          </w:p>
        </w:tc>
      </w:tr>
      <w:tr w:rsidR="00C522AD" w:rsidRPr="00C522AD" w14:paraId="309E204A" w14:textId="77777777" w:rsidTr="00966A96">
        <w:trPr>
          <w:trHeight w:val="227"/>
        </w:trPr>
        <w:tc>
          <w:tcPr>
            <w:tcW w:w="3969" w:type="dxa"/>
            <w:tcBorders>
              <w:top w:val="single" w:sz="4" w:space="0" w:color="808080"/>
              <w:left w:val="nil"/>
              <w:bottom w:val="single" w:sz="4" w:space="0" w:color="808080"/>
              <w:right w:val="nil"/>
            </w:tcBorders>
          </w:tcPr>
          <w:p w14:paraId="3A37948E" w14:textId="5D63A2C9"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Prodotti in calcestruzzo, cemento e gesso</w:t>
            </w:r>
          </w:p>
        </w:tc>
        <w:tc>
          <w:tcPr>
            <w:tcW w:w="5670" w:type="dxa"/>
            <w:tcBorders>
              <w:top w:val="single" w:sz="4" w:space="0" w:color="808080"/>
              <w:left w:val="nil"/>
              <w:bottom w:val="single" w:sz="4" w:space="0" w:color="808080"/>
              <w:right w:val="nil"/>
            </w:tcBorders>
          </w:tcPr>
          <w:p w14:paraId="014AE0C9" w14:textId="5268E883"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236-Prodotti in calcestruzzo, cemento e gesso</w:t>
            </w:r>
          </w:p>
        </w:tc>
      </w:tr>
      <w:tr w:rsidR="00C522AD" w:rsidRPr="00C522AD" w14:paraId="0730945C" w14:textId="77777777" w:rsidTr="00966A96">
        <w:trPr>
          <w:trHeight w:val="227"/>
        </w:trPr>
        <w:tc>
          <w:tcPr>
            <w:tcW w:w="3969" w:type="dxa"/>
            <w:tcBorders>
              <w:top w:val="single" w:sz="4" w:space="0" w:color="808080"/>
              <w:left w:val="nil"/>
              <w:bottom w:val="single" w:sz="4" w:space="0" w:color="808080"/>
              <w:right w:val="nil"/>
            </w:tcBorders>
            <w:vAlign w:val="center"/>
          </w:tcPr>
          <w:p w14:paraId="249B5031"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Pietre tagliate, modellate e finite</w:t>
            </w:r>
          </w:p>
        </w:tc>
        <w:tc>
          <w:tcPr>
            <w:tcW w:w="5670" w:type="dxa"/>
            <w:tcBorders>
              <w:top w:val="single" w:sz="4" w:space="0" w:color="808080"/>
              <w:left w:val="nil"/>
              <w:bottom w:val="single" w:sz="4" w:space="0" w:color="808080"/>
              <w:right w:val="nil"/>
            </w:tcBorders>
            <w:vAlign w:val="center"/>
          </w:tcPr>
          <w:p w14:paraId="75603726"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CG237-Pietre tagliate, modellate e finite</w:t>
            </w:r>
          </w:p>
        </w:tc>
      </w:tr>
      <w:tr w:rsidR="00C522AD" w:rsidRPr="00C522AD" w14:paraId="0C3A42A4" w14:textId="77777777" w:rsidTr="00966A96">
        <w:trPr>
          <w:trHeight w:val="227"/>
        </w:trPr>
        <w:tc>
          <w:tcPr>
            <w:tcW w:w="3969" w:type="dxa"/>
            <w:tcBorders>
              <w:top w:val="single" w:sz="4" w:space="0" w:color="808080"/>
              <w:left w:val="nil"/>
              <w:bottom w:val="single" w:sz="4" w:space="0" w:color="808080"/>
              <w:right w:val="nil"/>
            </w:tcBorders>
          </w:tcPr>
          <w:p w14:paraId="2B6FC480" w14:textId="33834169" w:rsidR="006E127C" w:rsidRPr="00C522AD" w:rsidRDefault="006E127C" w:rsidP="006E127C">
            <w:pPr>
              <w:pBdr>
                <w:top w:val="nil"/>
                <w:left w:val="nil"/>
                <w:bottom w:val="nil"/>
                <w:right w:val="nil"/>
                <w:between w:val="nil"/>
              </w:pBdr>
              <w:rPr>
                <w:rFonts w:asciiTheme="majorHAnsi" w:hAnsiTheme="majorHAnsi" w:cstheme="majorHAnsi"/>
                <w:sz w:val="18"/>
                <w:szCs w:val="18"/>
              </w:rPr>
            </w:pPr>
            <w:r w:rsidRPr="00C522AD">
              <w:rPr>
                <w:rFonts w:asciiTheme="majorHAnsi" w:hAnsiTheme="majorHAnsi" w:cstheme="majorHAnsi"/>
                <w:sz w:val="18"/>
                <w:szCs w:val="18"/>
              </w:rPr>
              <w:t>Prodotti abrasivi</w:t>
            </w:r>
          </w:p>
        </w:tc>
        <w:tc>
          <w:tcPr>
            <w:tcW w:w="5670" w:type="dxa"/>
            <w:tcBorders>
              <w:top w:val="single" w:sz="4" w:space="0" w:color="808080"/>
              <w:left w:val="nil"/>
              <w:bottom w:val="single" w:sz="4" w:space="0" w:color="808080"/>
              <w:right w:val="nil"/>
            </w:tcBorders>
          </w:tcPr>
          <w:p w14:paraId="79D219F2" w14:textId="58569D44"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239-Prodotti abrasivi e di minerali non metalliferi n.c.a.</w:t>
            </w:r>
          </w:p>
        </w:tc>
      </w:tr>
      <w:tr w:rsidR="00C522AD" w:rsidRPr="00C522AD" w14:paraId="5169EDDC" w14:textId="77777777" w:rsidTr="00966A96">
        <w:trPr>
          <w:trHeight w:val="227"/>
        </w:trPr>
        <w:tc>
          <w:tcPr>
            <w:tcW w:w="3969" w:type="dxa"/>
            <w:tcBorders>
              <w:top w:val="single" w:sz="4" w:space="0" w:color="808080"/>
              <w:left w:val="nil"/>
              <w:bottom w:val="single" w:sz="4" w:space="0" w:color="808080"/>
              <w:right w:val="nil"/>
            </w:tcBorders>
            <w:vAlign w:val="center"/>
          </w:tcPr>
          <w:p w14:paraId="6DB84218"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Tubi, condotti, profilati cavi e relativi accessori</w:t>
            </w:r>
          </w:p>
        </w:tc>
        <w:tc>
          <w:tcPr>
            <w:tcW w:w="5670" w:type="dxa"/>
            <w:tcBorders>
              <w:top w:val="single" w:sz="4" w:space="0" w:color="808080"/>
              <w:left w:val="nil"/>
              <w:bottom w:val="single" w:sz="4" w:space="0" w:color="808080"/>
              <w:right w:val="nil"/>
            </w:tcBorders>
            <w:vAlign w:val="center"/>
          </w:tcPr>
          <w:p w14:paraId="50CC8728"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CH242-Tubi, condotti, profilati cavi e relativi accessori in acciaio (esclusi quelli in acciaio colato)</w:t>
            </w:r>
          </w:p>
        </w:tc>
      </w:tr>
      <w:tr w:rsidR="00C522AD" w:rsidRPr="00C522AD" w14:paraId="4FE9C0D8" w14:textId="77777777" w:rsidTr="00966A96">
        <w:trPr>
          <w:trHeight w:val="227"/>
        </w:trPr>
        <w:tc>
          <w:tcPr>
            <w:tcW w:w="3969" w:type="dxa"/>
            <w:tcBorders>
              <w:top w:val="single" w:sz="4" w:space="0" w:color="808080"/>
              <w:left w:val="nil"/>
              <w:bottom w:val="single" w:sz="4" w:space="0" w:color="808080"/>
              <w:right w:val="nil"/>
            </w:tcBorders>
            <w:vAlign w:val="center"/>
          </w:tcPr>
          <w:p w14:paraId="67D6F313"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Metalli di base preziosi e altri metalli non ferrosi</w:t>
            </w:r>
          </w:p>
        </w:tc>
        <w:tc>
          <w:tcPr>
            <w:tcW w:w="5670" w:type="dxa"/>
            <w:tcBorders>
              <w:top w:val="single" w:sz="4" w:space="0" w:color="808080"/>
              <w:left w:val="nil"/>
              <w:bottom w:val="single" w:sz="4" w:space="0" w:color="808080"/>
              <w:right w:val="nil"/>
            </w:tcBorders>
            <w:vAlign w:val="center"/>
          </w:tcPr>
          <w:p w14:paraId="3C381E28"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CH244-Metalli di base preziosi e altri metalli non ferrosi; combustibili nucleari</w:t>
            </w:r>
          </w:p>
        </w:tc>
      </w:tr>
      <w:tr w:rsidR="00C522AD" w:rsidRPr="00C522AD" w14:paraId="4B9B8226" w14:textId="77777777" w:rsidTr="00966A96">
        <w:trPr>
          <w:trHeight w:val="227"/>
        </w:trPr>
        <w:tc>
          <w:tcPr>
            <w:tcW w:w="3969" w:type="dxa"/>
            <w:tcBorders>
              <w:top w:val="single" w:sz="4" w:space="0" w:color="808080"/>
              <w:left w:val="nil"/>
              <w:bottom w:val="single" w:sz="4" w:space="0" w:color="808080"/>
              <w:right w:val="nil"/>
            </w:tcBorders>
            <w:vAlign w:val="center"/>
          </w:tcPr>
          <w:p w14:paraId="5597EFEA"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Utensili e oggetti di ferramenta</w:t>
            </w:r>
          </w:p>
        </w:tc>
        <w:tc>
          <w:tcPr>
            <w:tcW w:w="5670" w:type="dxa"/>
            <w:tcBorders>
              <w:top w:val="single" w:sz="4" w:space="0" w:color="808080"/>
              <w:left w:val="nil"/>
              <w:bottom w:val="single" w:sz="4" w:space="0" w:color="808080"/>
              <w:right w:val="nil"/>
            </w:tcBorders>
            <w:vAlign w:val="center"/>
          </w:tcPr>
          <w:p w14:paraId="40DBCEDB"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CH257-Articoli di coltelleria, utensili e oggetti di ferramenta</w:t>
            </w:r>
          </w:p>
        </w:tc>
      </w:tr>
      <w:tr w:rsidR="00C522AD" w:rsidRPr="00C522AD" w14:paraId="17C90D63" w14:textId="77777777" w:rsidTr="00966A96">
        <w:trPr>
          <w:trHeight w:val="227"/>
        </w:trPr>
        <w:tc>
          <w:tcPr>
            <w:tcW w:w="3969" w:type="dxa"/>
            <w:tcBorders>
              <w:top w:val="single" w:sz="4" w:space="0" w:color="808080"/>
              <w:left w:val="nil"/>
              <w:bottom w:val="single" w:sz="4" w:space="0" w:color="808080"/>
              <w:right w:val="nil"/>
            </w:tcBorders>
          </w:tcPr>
          <w:p w14:paraId="1E90EFDC" w14:textId="75C0091C"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Altri prodotti in metallo</w:t>
            </w:r>
          </w:p>
        </w:tc>
        <w:tc>
          <w:tcPr>
            <w:tcW w:w="5670" w:type="dxa"/>
            <w:tcBorders>
              <w:top w:val="single" w:sz="4" w:space="0" w:color="808080"/>
              <w:left w:val="nil"/>
              <w:bottom w:val="single" w:sz="4" w:space="0" w:color="808080"/>
              <w:right w:val="nil"/>
            </w:tcBorders>
          </w:tcPr>
          <w:p w14:paraId="394E9C25" w14:textId="632A7FEA" w:rsidR="006E127C" w:rsidRPr="00C522AD" w:rsidRDefault="006E127C" w:rsidP="006E127C">
            <w:pPr>
              <w:pBdr>
                <w:top w:val="nil"/>
                <w:left w:val="nil"/>
                <w:bottom w:val="nil"/>
                <w:right w:val="nil"/>
                <w:between w:val="nil"/>
              </w:pBdr>
              <w:rPr>
                <w:rFonts w:asciiTheme="majorHAnsi" w:eastAsia="Calibri" w:hAnsiTheme="majorHAnsi" w:cstheme="majorHAnsi"/>
                <w:sz w:val="18"/>
                <w:szCs w:val="18"/>
              </w:rPr>
            </w:pPr>
            <w:r w:rsidRPr="00C522AD">
              <w:rPr>
                <w:rFonts w:asciiTheme="majorHAnsi" w:hAnsiTheme="majorHAnsi" w:cstheme="majorHAnsi"/>
                <w:sz w:val="18"/>
                <w:szCs w:val="18"/>
              </w:rPr>
              <w:t>259-Altri prodotti in metallo</w:t>
            </w:r>
          </w:p>
        </w:tc>
      </w:tr>
      <w:tr w:rsidR="00C522AD" w:rsidRPr="00C522AD" w14:paraId="5D5B949E" w14:textId="77777777" w:rsidTr="00966A96">
        <w:trPr>
          <w:trHeight w:val="227"/>
        </w:trPr>
        <w:tc>
          <w:tcPr>
            <w:tcW w:w="3969" w:type="dxa"/>
            <w:tcBorders>
              <w:top w:val="single" w:sz="4" w:space="0" w:color="808080"/>
              <w:left w:val="nil"/>
              <w:bottom w:val="single" w:sz="4" w:space="0" w:color="808080"/>
              <w:right w:val="nil"/>
            </w:tcBorders>
            <w:vAlign w:val="center"/>
          </w:tcPr>
          <w:p w14:paraId="27DCB66F"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 xml:space="preserve">Strumenti di </w:t>
            </w:r>
            <w:proofErr w:type="spellStart"/>
            <w:r w:rsidRPr="00C522AD">
              <w:rPr>
                <w:rFonts w:asciiTheme="majorHAnsi" w:eastAsia="Calibri" w:hAnsiTheme="majorHAnsi" w:cstheme="majorHAnsi"/>
                <w:sz w:val="18"/>
                <w:szCs w:val="18"/>
              </w:rPr>
              <w:t>misuraz</w:t>
            </w:r>
            <w:proofErr w:type="spellEnd"/>
            <w:r w:rsidRPr="00C522AD">
              <w:rPr>
                <w:rFonts w:asciiTheme="majorHAnsi" w:eastAsia="Calibri" w:hAnsiTheme="majorHAnsi" w:cstheme="majorHAnsi"/>
                <w:sz w:val="18"/>
                <w:szCs w:val="18"/>
              </w:rPr>
              <w:t xml:space="preserve">., prova e </w:t>
            </w:r>
            <w:proofErr w:type="spellStart"/>
            <w:r w:rsidRPr="00C522AD">
              <w:rPr>
                <w:rFonts w:asciiTheme="majorHAnsi" w:eastAsia="Calibri" w:hAnsiTheme="majorHAnsi" w:cstheme="majorHAnsi"/>
                <w:sz w:val="18"/>
                <w:szCs w:val="18"/>
              </w:rPr>
              <w:t>navigaz</w:t>
            </w:r>
            <w:proofErr w:type="spellEnd"/>
            <w:r w:rsidRPr="00C522AD">
              <w:rPr>
                <w:rFonts w:asciiTheme="majorHAnsi" w:eastAsia="Calibri" w:hAnsiTheme="majorHAnsi" w:cstheme="majorHAnsi"/>
                <w:sz w:val="18"/>
                <w:szCs w:val="18"/>
              </w:rPr>
              <w:t>.</w:t>
            </w:r>
          </w:p>
        </w:tc>
        <w:tc>
          <w:tcPr>
            <w:tcW w:w="5670" w:type="dxa"/>
            <w:tcBorders>
              <w:top w:val="single" w:sz="4" w:space="0" w:color="808080"/>
              <w:left w:val="nil"/>
              <w:bottom w:val="single" w:sz="4" w:space="0" w:color="808080"/>
              <w:right w:val="nil"/>
            </w:tcBorders>
            <w:vAlign w:val="center"/>
          </w:tcPr>
          <w:p w14:paraId="594F96DD"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CI265-Strumenti e apparecchi di misurazione, prova e navigazione; orologi</w:t>
            </w:r>
          </w:p>
        </w:tc>
      </w:tr>
      <w:tr w:rsidR="00C522AD" w:rsidRPr="00C522AD" w14:paraId="37F30CC0" w14:textId="77777777" w:rsidTr="00966A96">
        <w:trPr>
          <w:trHeight w:val="227"/>
        </w:trPr>
        <w:tc>
          <w:tcPr>
            <w:tcW w:w="3969" w:type="dxa"/>
            <w:tcBorders>
              <w:top w:val="single" w:sz="4" w:space="0" w:color="808080"/>
              <w:left w:val="nil"/>
              <w:bottom w:val="single" w:sz="4" w:space="0" w:color="808080"/>
              <w:right w:val="nil"/>
            </w:tcBorders>
            <w:vAlign w:val="center"/>
          </w:tcPr>
          <w:p w14:paraId="1D6166AA"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Motori, generatori e trasformatori elettrici</w:t>
            </w:r>
          </w:p>
        </w:tc>
        <w:tc>
          <w:tcPr>
            <w:tcW w:w="5670" w:type="dxa"/>
            <w:tcBorders>
              <w:top w:val="single" w:sz="4" w:space="0" w:color="808080"/>
              <w:left w:val="nil"/>
              <w:bottom w:val="single" w:sz="4" w:space="0" w:color="808080"/>
              <w:right w:val="nil"/>
            </w:tcBorders>
            <w:vAlign w:val="center"/>
          </w:tcPr>
          <w:p w14:paraId="3CAC4580"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CJ271-Motori, generatori e trasformatori elettrici; apparecchiature per la distribuzione e il controllo dell'elettricità</w:t>
            </w:r>
          </w:p>
        </w:tc>
      </w:tr>
      <w:tr w:rsidR="00C522AD" w:rsidRPr="00C522AD" w14:paraId="2659103D" w14:textId="77777777" w:rsidTr="00966A96">
        <w:trPr>
          <w:trHeight w:val="227"/>
        </w:trPr>
        <w:tc>
          <w:tcPr>
            <w:tcW w:w="3969" w:type="dxa"/>
            <w:tcBorders>
              <w:top w:val="single" w:sz="4" w:space="0" w:color="808080"/>
              <w:left w:val="nil"/>
              <w:bottom w:val="single" w:sz="4" w:space="0" w:color="808080"/>
              <w:right w:val="nil"/>
            </w:tcBorders>
            <w:vAlign w:val="center"/>
          </w:tcPr>
          <w:p w14:paraId="023D0602"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 xml:space="preserve">Apparecchiature di cablaggio </w:t>
            </w:r>
          </w:p>
        </w:tc>
        <w:tc>
          <w:tcPr>
            <w:tcW w:w="5670" w:type="dxa"/>
            <w:tcBorders>
              <w:top w:val="single" w:sz="4" w:space="0" w:color="808080"/>
              <w:left w:val="nil"/>
              <w:bottom w:val="single" w:sz="4" w:space="0" w:color="808080"/>
              <w:right w:val="nil"/>
            </w:tcBorders>
            <w:vAlign w:val="center"/>
          </w:tcPr>
          <w:p w14:paraId="7A1C2F8C"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 xml:space="preserve">CJ273-Apparecchiature di cablaggio </w:t>
            </w:r>
          </w:p>
        </w:tc>
      </w:tr>
      <w:tr w:rsidR="00C522AD" w:rsidRPr="00C522AD" w14:paraId="0C737E1F" w14:textId="77777777" w:rsidTr="00966A96">
        <w:trPr>
          <w:trHeight w:val="227"/>
        </w:trPr>
        <w:tc>
          <w:tcPr>
            <w:tcW w:w="3969" w:type="dxa"/>
            <w:tcBorders>
              <w:top w:val="single" w:sz="4" w:space="0" w:color="808080"/>
              <w:left w:val="nil"/>
              <w:bottom w:val="single" w:sz="4" w:space="0" w:color="808080"/>
              <w:right w:val="nil"/>
            </w:tcBorders>
            <w:vAlign w:val="center"/>
          </w:tcPr>
          <w:p w14:paraId="41D0C0D0"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Macchine di impiego generale</w:t>
            </w:r>
          </w:p>
        </w:tc>
        <w:tc>
          <w:tcPr>
            <w:tcW w:w="5670" w:type="dxa"/>
            <w:tcBorders>
              <w:top w:val="single" w:sz="4" w:space="0" w:color="808080"/>
              <w:left w:val="nil"/>
              <w:bottom w:val="single" w:sz="4" w:space="0" w:color="808080"/>
              <w:right w:val="nil"/>
            </w:tcBorders>
            <w:vAlign w:val="center"/>
          </w:tcPr>
          <w:p w14:paraId="0081BE70"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CK281-Macchine di impiego generale</w:t>
            </w:r>
          </w:p>
        </w:tc>
      </w:tr>
      <w:tr w:rsidR="00C522AD" w:rsidRPr="00C522AD" w14:paraId="625DE7A8" w14:textId="77777777" w:rsidTr="00966A96">
        <w:trPr>
          <w:trHeight w:val="227"/>
        </w:trPr>
        <w:tc>
          <w:tcPr>
            <w:tcW w:w="3969" w:type="dxa"/>
            <w:tcBorders>
              <w:top w:val="single" w:sz="4" w:space="0" w:color="808080"/>
              <w:left w:val="nil"/>
              <w:bottom w:val="single" w:sz="4" w:space="0" w:color="808080"/>
              <w:right w:val="nil"/>
            </w:tcBorders>
            <w:vAlign w:val="center"/>
          </w:tcPr>
          <w:p w14:paraId="45BA1DEA"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Altre macchine di impiego generale</w:t>
            </w:r>
          </w:p>
        </w:tc>
        <w:tc>
          <w:tcPr>
            <w:tcW w:w="5670" w:type="dxa"/>
            <w:tcBorders>
              <w:top w:val="single" w:sz="4" w:space="0" w:color="808080"/>
              <w:left w:val="nil"/>
              <w:bottom w:val="single" w:sz="4" w:space="0" w:color="808080"/>
              <w:right w:val="nil"/>
            </w:tcBorders>
            <w:vAlign w:val="center"/>
          </w:tcPr>
          <w:p w14:paraId="101A7742"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CK282-Altre macchine di impiego generale</w:t>
            </w:r>
          </w:p>
        </w:tc>
      </w:tr>
      <w:tr w:rsidR="00C522AD" w:rsidRPr="00C522AD" w14:paraId="1965A140" w14:textId="77777777" w:rsidTr="00966A96">
        <w:trPr>
          <w:trHeight w:val="227"/>
        </w:trPr>
        <w:tc>
          <w:tcPr>
            <w:tcW w:w="3969" w:type="dxa"/>
            <w:tcBorders>
              <w:top w:val="single" w:sz="4" w:space="0" w:color="808080"/>
              <w:left w:val="nil"/>
              <w:bottom w:val="single" w:sz="4" w:space="0" w:color="808080"/>
              <w:right w:val="nil"/>
            </w:tcBorders>
            <w:vAlign w:val="center"/>
          </w:tcPr>
          <w:p w14:paraId="478CF937"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 xml:space="preserve">Macchine per formatura </w:t>
            </w:r>
            <w:proofErr w:type="spellStart"/>
            <w:r w:rsidRPr="00C522AD">
              <w:rPr>
                <w:rFonts w:asciiTheme="majorHAnsi" w:eastAsia="Calibri" w:hAnsiTheme="majorHAnsi" w:cstheme="majorHAnsi"/>
                <w:sz w:val="18"/>
                <w:szCs w:val="18"/>
              </w:rPr>
              <w:t>met</w:t>
            </w:r>
            <w:proofErr w:type="spellEnd"/>
            <w:r w:rsidRPr="00C522AD">
              <w:rPr>
                <w:rFonts w:asciiTheme="majorHAnsi" w:eastAsia="Calibri" w:hAnsiTheme="majorHAnsi" w:cstheme="majorHAnsi"/>
                <w:sz w:val="18"/>
                <w:szCs w:val="18"/>
              </w:rPr>
              <w:t xml:space="preserve">. e altre </w:t>
            </w:r>
            <w:proofErr w:type="spellStart"/>
            <w:r w:rsidRPr="00C522AD">
              <w:rPr>
                <w:rFonts w:asciiTheme="majorHAnsi" w:eastAsia="Calibri" w:hAnsiTheme="majorHAnsi" w:cstheme="majorHAnsi"/>
                <w:sz w:val="18"/>
                <w:szCs w:val="18"/>
              </w:rPr>
              <w:t>macch</w:t>
            </w:r>
            <w:proofErr w:type="spellEnd"/>
            <w:r w:rsidRPr="00C522AD">
              <w:rPr>
                <w:rFonts w:asciiTheme="majorHAnsi" w:eastAsia="Calibri" w:hAnsiTheme="majorHAnsi" w:cstheme="majorHAnsi"/>
                <w:sz w:val="18"/>
                <w:szCs w:val="18"/>
              </w:rPr>
              <w:t>. utensili</w:t>
            </w:r>
          </w:p>
        </w:tc>
        <w:tc>
          <w:tcPr>
            <w:tcW w:w="5670" w:type="dxa"/>
            <w:tcBorders>
              <w:top w:val="single" w:sz="4" w:space="0" w:color="808080"/>
              <w:left w:val="nil"/>
              <w:bottom w:val="single" w:sz="4" w:space="0" w:color="808080"/>
              <w:right w:val="nil"/>
            </w:tcBorders>
            <w:vAlign w:val="center"/>
          </w:tcPr>
          <w:p w14:paraId="06417D03"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CK284-Macchine per la formatura dei metalli e altre macchine utensili</w:t>
            </w:r>
          </w:p>
        </w:tc>
      </w:tr>
      <w:tr w:rsidR="00C522AD" w:rsidRPr="00C522AD" w14:paraId="582F415C" w14:textId="77777777" w:rsidTr="00966A96">
        <w:trPr>
          <w:trHeight w:val="227"/>
        </w:trPr>
        <w:tc>
          <w:tcPr>
            <w:tcW w:w="3969" w:type="dxa"/>
            <w:tcBorders>
              <w:top w:val="single" w:sz="4" w:space="0" w:color="808080"/>
              <w:left w:val="nil"/>
              <w:bottom w:val="single" w:sz="4" w:space="0" w:color="808080"/>
              <w:right w:val="nil"/>
            </w:tcBorders>
            <w:vAlign w:val="center"/>
          </w:tcPr>
          <w:p w14:paraId="6AE7E0D3"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Altre macchine per impieghi speciali</w:t>
            </w:r>
          </w:p>
        </w:tc>
        <w:tc>
          <w:tcPr>
            <w:tcW w:w="5670" w:type="dxa"/>
            <w:tcBorders>
              <w:top w:val="single" w:sz="4" w:space="0" w:color="808080"/>
              <w:left w:val="nil"/>
              <w:bottom w:val="single" w:sz="4" w:space="0" w:color="808080"/>
              <w:right w:val="nil"/>
            </w:tcBorders>
            <w:vAlign w:val="center"/>
          </w:tcPr>
          <w:p w14:paraId="5CA8F0EB"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CK289-Altre macchine per impieghi speciali</w:t>
            </w:r>
          </w:p>
        </w:tc>
      </w:tr>
      <w:tr w:rsidR="00C522AD" w:rsidRPr="00C522AD" w14:paraId="4826520F" w14:textId="77777777" w:rsidTr="00966A96">
        <w:trPr>
          <w:trHeight w:val="227"/>
        </w:trPr>
        <w:tc>
          <w:tcPr>
            <w:tcW w:w="3969" w:type="dxa"/>
            <w:tcBorders>
              <w:top w:val="single" w:sz="4" w:space="0" w:color="808080"/>
              <w:left w:val="nil"/>
              <w:bottom w:val="single" w:sz="4" w:space="0" w:color="808080"/>
              <w:right w:val="nil"/>
            </w:tcBorders>
            <w:vAlign w:val="center"/>
          </w:tcPr>
          <w:p w14:paraId="27EB4608"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Navi e imbarcazioni</w:t>
            </w:r>
          </w:p>
        </w:tc>
        <w:tc>
          <w:tcPr>
            <w:tcW w:w="5670" w:type="dxa"/>
            <w:tcBorders>
              <w:top w:val="single" w:sz="4" w:space="0" w:color="808080"/>
              <w:left w:val="nil"/>
              <w:bottom w:val="single" w:sz="4" w:space="0" w:color="808080"/>
              <w:right w:val="nil"/>
            </w:tcBorders>
            <w:vAlign w:val="center"/>
          </w:tcPr>
          <w:p w14:paraId="07EA720F"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CL301-Navi e imbarcazioni</w:t>
            </w:r>
          </w:p>
        </w:tc>
      </w:tr>
      <w:tr w:rsidR="00C522AD" w:rsidRPr="00C522AD" w14:paraId="0CA3C6D5" w14:textId="77777777" w:rsidTr="00966A96">
        <w:trPr>
          <w:trHeight w:val="227"/>
        </w:trPr>
        <w:tc>
          <w:tcPr>
            <w:tcW w:w="3969" w:type="dxa"/>
            <w:tcBorders>
              <w:top w:val="single" w:sz="4" w:space="0" w:color="808080"/>
              <w:left w:val="nil"/>
              <w:bottom w:val="single" w:sz="4" w:space="0" w:color="808080"/>
              <w:right w:val="nil"/>
            </w:tcBorders>
            <w:vAlign w:val="center"/>
          </w:tcPr>
          <w:p w14:paraId="0126F487"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Cicli e motocicli</w:t>
            </w:r>
          </w:p>
        </w:tc>
        <w:tc>
          <w:tcPr>
            <w:tcW w:w="5670" w:type="dxa"/>
            <w:tcBorders>
              <w:top w:val="single" w:sz="4" w:space="0" w:color="808080"/>
              <w:left w:val="nil"/>
              <w:bottom w:val="single" w:sz="4" w:space="0" w:color="808080"/>
              <w:right w:val="nil"/>
            </w:tcBorders>
            <w:vAlign w:val="center"/>
          </w:tcPr>
          <w:p w14:paraId="4E7F81CF" w14:textId="77777777" w:rsidR="00C91C1B" w:rsidRPr="00C522AD" w:rsidRDefault="00C227BB">
            <w:pPr>
              <w:pBdr>
                <w:top w:val="nil"/>
                <w:left w:val="nil"/>
                <w:bottom w:val="nil"/>
                <w:right w:val="nil"/>
                <w:between w:val="nil"/>
              </w:pBdr>
              <w:rPr>
                <w:rFonts w:asciiTheme="majorHAnsi" w:eastAsia="Calibri" w:hAnsiTheme="majorHAnsi" w:cstheme="majorHAnsi"/>
                <w:sz w:val="18"/>
                <w:szCs w:val="18"/>
              </w:rPr>
            </w:pPr>
            <w:r w:rsidRPr="00C522AD">
              <w:rPr>
                <w:rFonts w:asciiTheme="majorHAnsi" w:eastAsia="Calibri" w:hAnsiTheme="majorHAnsi" w:cstheme="majorHAnsi"/>
                <w:sz w:val="18"/>
                <w:szCs w:val="18"/>
              </w:rPr>
              <w:t>CL309-Mezzi di trasporto n.c.a.</w:t>
            </w:r>
          </w:p>
        </w:tc>
      </w:tr>
      <w:tr w:rsidR="002D3A63" w:rsidRPr="00C522AD" w14:paraId="37881E45" w14:textId="77777777" w:rsidTr="00966A96">
        <w:trPr>
          <w:trHeight w:val="227"/>
        </w:trPr>
        <w:tc>
          <w:tcPr>
            <w:tcW w:w="3969" w:type="dxa"/>
            <w:tcBorders>
              <w:top w:val="single" w:sz="4" w:space="0" w:color="808080"/>
              <w:left w:val="nil"/>
              <w:bottom w:val="single" w:sz="4" w:space="0" w:color="000000"/>
              <w:right w:val="nil"/>
            </w:tcBorders>
            <w:vAlign w:val="center"/>
          </w:tcPr>
          <w:p w14:paraId="020F9626"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Mobili</w:t>
            </w:r>
          </w:p>
        </w:tc>
        <w:tc>
          <w:tcPr>
            <w:tcW w:w="5670" w:type="dxa"/>
            <w:tcBorders>
              <w:top w:val="single" w:sz="4" w:space="0" w:color="808080"/>
              <w:left w:val="nil"/>
              <w:bottom w:val="single" w:sz="4" w:space="0" w:color="000000"/>
              <w:right w:val="nil"/>
            </w:tcBorders>
            <w:vAlign w:val="center"/>
          </w:tcPr>
          <w:p w14:paraId="2AFFEF32" w14:textId="77777777" w:rsidR="00C91C1B" w:rsidRPr="00C522AD" w:rsidRDefault="00C227BB">
            <w:pPr>
              <w:pBdr>
                <w:top w:val="nil"/>
                <w:left w:val="nil"/>
                <w:bottom w:val="nil"/>
                <w:right w:val="nil"/>
                <w:between w:val="nil"/>
              </w:pBdr>
              <w:rPr>
                <w:rFonts w:ascii="Calibri" w:eastAsia="Calibri" w:hAnsi="Calibri" w:cs="Calibri"/>
                <w:sz w:val="18"/>
                <w:szCs w:val="18"/>
              </w:rPr>
            </w:pPr>
            <w:r w:rsidRPr="00C522AD">
              <w:rPr>
                <w:rFonts w:ascii="Calibri" w:eastAsia="Calibri" w:hAnsi="Calibri" w:cs="Calibri"/>
                <w:sz w:val="18"/>
                <w:szCs w:val="18"/>
              </w:rPr>
              <w:t>CM310-Mobili</w:t>
            </w:r>
          </w:p>
        </w:tc>
      </w:tr>
    </w:tbl>
    <w:p w14:paraId="7BFE0405" w14:textId="77777777" w:rsidR="00C91C1B" w:rsidRPr="00C522AD" w:rsidRDefault="00C91C1B">
      <w:pPr>
        <w:pBdr>
          <w:top w:val="nil"/>
          <w:left w:val="nil"/>
          <w:bottom w:val="nil"/>
          <w:right w:val="nil"/>
          <w:between w:val="nil"/>
        </w:pBdr>
        <w:jc w:val="both"/>
        <w:rPr>
          <w:rFonts w:ascii="Calibri" w:eastAsia="Calibri" w:hAnsi="Calibri" w:cs="Calibri"/>
          <w:sz w:val="22"/>
          <w:szCs w:val="22"/>
        </w:rPr>
      </w:pPr>
      <w:bookmarkStart w:id="1" w:name="_iq2b87ykdcsu" w:colFirst="0" w:colLast="0"/>
      <w:bookmarkEnd w:id="1"/>
    </w:p>
    <w:sectPr w:rsidR="00C91C1B" w:rsidRPr="00C522AD">
      <w:footerReference w:type="default" r:id="rId10"/>
      <w:pgSz w:w="11906" w:h="16838"/>
      <w:pgMar w:top="1134" w:right="1558" w:bottom="709" w:left="1559" w:header="720"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A55E5" w14:textId="77777777" w:rsidR="00124700" w:rsidRDefault="00124700">
      <w:r>
        <w:separator/>
      </w:r>
    </w:p>
  </w:endnote>
  <w:endnote w:type="continuationSeparator" w:id="0">
    <w:p w14:paraId="451BB04D" w14:textId="77777777" w:rsidR="00124700" w:rsidRDefault="0012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324BE96-A52C-430E-BA02-FBA547322186}"/>
  </w:font>
  <w:font w:name="Calibri">
    <w:panose1 w:val="020F0502020204030204"/>
    <w:charset w:val="00"/>
    <w:family w:val="swiss"/>
    <w:pitch w:val="variable"/>
    <w:sig w:usb0="E4002EFF" w:usb1="C200247B" w:usb2="00000009" w:usb3="00000000" w:csb0="000001FF" w:csb1="00000000"/>
    <w:embedRegular r:id="rId2" w:fontKey="{03015321-9843-4549-8826-5F25EF11F845}"/>
    <w:embedBold r:id="rId3" w:fontKey="{16F49AC1-B238-4D49-A546-F52D6D235315}"/>
    <w:embedItalic r:id="rId4" w:fontKey="{1487540F-13A6-4AA6-9688-CB442C8D07E5}"/>
    <w:embedBoldItalic r:id="rId5" w:fontKey="{B78FE90B-F0F5-452C-845B-B702F54359C7}"/>
  </w:font>
  <w:font w:name="Cambria">
    <w:panose1 w:val="02040503050406030204"/>
    <w:charset w:val="00"/>
    <w:family w:val="roman"/>
    <w:pitch w:val="variable"/>
    <w:sig w:usb0="E00006FF" w:usb1="420024FF" w:usb2="02000000" w:usb3="00000000" w:csb0="0000019F" w:csb1="00000000"/>
    <w:embedRegular r:id="rId6" w:fontKey="{47B5137F-C9F0-4599-AF02-089105AC0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2C2E" w14:textId="21B9130E" w:rsidR="00124700" w:rsidRDefault="00124700">
    <w:pPr>
      <w:pBdr>
        <w:top w:val="nil"/>
        <w:left w:val="nil"/>
        <w:bottom w:val="nil"/>
        <w:right w:val="nil"/>
        <w:between w:val="nil"/>
      </w:pBdr>
      <w:tabs>
        <w:tab w:val="center" w:pos="4819"/>
        <w:tab w:val="right" w:pos="9638"/>
      </w:tabs>
      <w:jc w:val="center"/>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B860D5">
      <w:rPr>
        <w:rFonts w:ascii="Calibri" w:eastAsia="Calibri" w:hAnsi="Calibri" w:cs="Calibri"/>
        <w:noProof/>
        <w:color w:val="000000"/>
        <w:sz w:val="24"/>
        <w:szCs w:val="24"/>
      </w:rPr>
      <w:t>15</w:t>
    </w:r>
    <w:r>
      <w:rPr>
        <w:rFonts w:ascii="Calibri" w:eastAsia="Calibri" w:hAnsi="Calibri" w:cs="Calibri"/>
        <w:color w:val="000000"/>
        <w:sz w:val="24"/>
        <w:szCs w:val="24"/>
      </w:rPr>
      <w:fldChar w:fldCharType="end"/>
    </w:r>
  </w:p>
  <w:p w14:paraId="2423DB4C" w14:textId="77777777" w:rsidR="00124700" w:rsidRDefault="00124700">
    <w:pPr>
      <w:pBdr>
        <w:top w:val="nil"/>
        <w:left w:val="nil"/>
        <w:bottom w:val="nil"/>
        <w:right w:val="nil"/>
        <w:between w:val="nil"/>
      </w:pBdr>
      <w:tabs>
        <w:tab w:val="center" w:pos="4819"/>
        <w:tab w:val="right" w:pos="9638"/>
        <w:tab w:val="left" w:pos="3660"/>
      </w:tabs>
      <w:jc w:val="both"/>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70164" w14:textId="77777777" w:rsidR="00124700" w:rsidRDefault="00124700">
      <w:r>
        <w:separator/>
      </w:r>
    </w:p>
  </w:footnote>
  <w:footnote w:type="continuationSeparator" w:id="0">
    <w:p w14:paraId="53D65E86" w14:textId="77777777" w:rsidR="00124700" w:rsidRDefault="001247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C1B"/>
    <w:rsid w:val="00066656"/>
    <w:rsid w:val="00070AE0"/>
    <w:rsid w:val="000C744E"/>
    <w:rsid w:val="000D19E0"/>
    <w:rsid w:val="00105523"/>
    <w:rsid w:val="00124700"/>
    <w:rsid w:val="0014358C"/>
    <w:rsid w:val="00145FEE"/>
    <w:rsid w:val="001F7454"/>
    <w:rsid w:val="00224CB8"/>
    <w:rsid w:val="002339CA"/>
    <w:rsid w:val="002C421D"/>
    <w:rsid w:val="002D3A63"/>
    <w:rsid w:val="002E000B"/>
    <w:rsid w:val="002F1060"/>
    <w:rsid w:val="002F5205"/>
    <w:rsid w:val="00307B38"/>
    <w:rsid w:val="00346DA9"/>
    <w:rsid w:val="003653D0"/>
    <w:rsid w:val="003B4B8E"/>
    <w:rsid w:val="003B604D"/>
    <w:rsid w:val="003B6B2B"/>
    <w:rsid w:val="003E2D1D"/>
    <w:rsid w:val="003F7EA8"/>
    <w:rsid w:val="00437900"/>
    <w:rsid w:val="004F711B"/>
    <w:rsid w:val="0050189A"/>
    <w:rsid w:val="00504B82"/>
    <w:rsid w:val="0054482F"/>
    <w:rsid w:val="00546FA7"/>
    <w:rsid w:val="0058679B"/>
    <w:rsid w:val="005C0F4A"/>
    <w:rsid w:val="005C2042"/>
    <w:rsid w:val="00614AB0"/>
    <w:rsid w:val="006309DA"/>
    <w:rsid w:val="00682F45"/>
    <w:rsid w:val="006E127C"/>
    <w:rsid w:val="006E4DC3"/>
    <w:rsid w:val="006F4179"/>
    <w:rsid w:val="00701B87"/>
    <w:rsid w:val="00783B91"/>
    <w:rsid w:val="0079739D"/>
    <w:rsid w:val="007A346E"/>
    <w:rsid w:val="008135E4"/>
    <w:rsid w:val="008209B3"/>
    <w:rsid w:val="0085215F"/>
    <w:rsid w:val="008658BB"/>
    <w:rsid w:val="00871B94"/>
    <w:rsid w:val="008766A6"/>
    <w:rsid w:val="00892F7D"/>
    <w:rsid w:val="008959E3"/>
    <w:rsid w:val="008971E1"/>
    <w:rsid w:val="009233CF"/>
    <w:rsid w:val="00966A96"/>
    <w:rsid w:val="009B388B"/>
    <w:rsid w:val="00A0064B"/>
    <w:rsid w:val="00A163D2"/>
    <w:rsid w:val="00A212E7"/>
    <w:rsid w:val="00AB665A"/>
    <w:rsid w:val="00B22EF9"/>
    <w:rsid w:val="00B26B6C"/>
    <w:rsid w:val="00B60EDC"/>
    <w:rsid w:val="00B860D5"/>
    <w:rsid w:val="00BC37A5"/>
    <w:rsid w:val="00C227BB"/>
    <w:rsid w:val="00C522AD"/>
    <w:rsid w:val="00C62B54"/>
    <w:rsid w:val="00C73BC5"/>
    <w:rsid w:val="00C91C1B"/>
    <w:rsid w:val="00D15924"/>
    <w:rsid w:val="00D45EBA"/>
    <w:rsid w:val="00DE0180"/>
    <w:rsid w:val="00DF5A1D"/>
    <w:rsid w:val="00E151CE"/>
    <w:rsid w:val="00E328C5"/>
    <w:rsid w:val="00E579F5"/>
    <w:rsid w:val="00EA3100"/>
    <w:rsid w:val="00EC424B"/>
    <w:rsid w:val="00ED4426"/>
    <w:rsid w:val="00ED7CAD"/>
    <w:rsid w:val="00F02A51"/>
    <w:rsid w:val="00F41EE6"/>
    <w:rsid w:val="00F4665D"/>
    <w:rsid w:val="00F9358F"/>
    <w:rsid w:val="00FB5EFF"/>
    <w:rsid w:val="00FB7751"/>
    <w:rsid w:val="00FF0D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FB10"/>
  <w15:docId w15:val="{475B04C0-27AD-48ED-B6D4-BA857B02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i@tno.camcom.i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isr-ms.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15</Pages>
  <Words>7461</Words>
  <Characters>42532</Characters>
  <Application>Microsoft Office Word</Application>
  <DocSecurity>0</DocSecurity>
  <Lines>354</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Susini Alberto</dc:creator>
  <cp:lastModifiedBy>Pazzarelli Massimo</cp:lastModifiedBy>
  <cp:revision>40</cp:revision>
  <cp:lastPrinted>2026-03-23T08:26:00Z</cp:lastPrinted>
  <dcterms:created xsi:type="dcterms:W3CDTF">2026-03-22T14:13:00Z</dcterms:created>
  <dcterms:modified xsi:type="dcterms:W3CDTF">2026-03-23T10:19:00Z</dcterms:modified>
</cp:coreProperties>
</file>