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85D78" w14:textId="3BEC88BE" w:rsidR="00A25799" w:rsidRPr="00A25799" w:rsidRDefault="00A25799">
      <w:pPr>
        <w:rPr>
          <w:rFonts w:ascii="Calibri" w:eastAsia="Calibri" w:hAnsi="Calibri" w:cs="Calibri"/>
          <w:b/>
          <w:bCs/>
          <w:sz w:val="32"/>
          <w:szCs w:val="32"/>
        </w:rPr>
      </w:pPr>
      <w:r w:rsidRPr="00A25799">
        <w:rPr>
          <w:rFonts w:ascii="Calibri" w:eastAsia="Calibri" w:hAnsi="Calibri" w:cs="Calibri"/>
          <w:b/>
          <w:bCs/>
          <w:sz w:val="32"/>
          <w:szCs w:val="32"/>
        </w:rPr>
        <w:t xml:space="preserve">Cresce Massa-Carrara, Lucca </w:t>
      </w:r>
      <w:r w:rsidR="00633F7A">
        <w:rPr>
          <w:rFonts w:ascii="Calibri" w:eastAsia="Calibri" w:hAnsi="Calibri" w:cs="Calibri"/>
          <w:b/>
          <w:bCs/>
          <w:sz w:val="32"/>
          <w:szCs w:val="32"/>
        </w:rPr>
        <w:t xml:space="preserve">in lieve calo ma </w:t>
      </w:r>
      <w:r w:rsidRPr="00A25799">
        <w:rPr>
          <w:rFonts w:ascii="Calibri" w:eastAsia="Calibri" w:hAnsi="Calibri" w:cs="Calibri"/>
          <w:b/>
          <w:bCs/>
          <w:sz w:val="32"/>
          <w:szCs w:val="32"/>
        </w:rPr>
        <w:t>su livelli record, Pisa in ripresa: il 2025 dell’export</w:t>
      </w:r>
    </w:p>
    <w:p w14:paraId="1C8FD384" w14:textId="42D0BBA8" w:rsidR="002D02AC" w:rsidRDefault="00DF550E">
      <w:pPr>
        <w:rPr>
          <w:rFonts w:ascii="Calibri" w:eastAsia="Calibri" w:hAnsi="Calibri" w:cs="Calibri"/>
          <w:i/>
          <w:iCs/>
        </w:rPr>
      </w:pPr>
      <w:r w:rsidRPr="00DF550E">
        <w:rPr>
          <w:rFonts w:ascii="Calibri" w:eastAsia="Calibri" w:hAnsi="Calibri" w:cs="Calibri"/>
          <w:i/>
          <w:iCs/>
        </w:rPr>
        <w:t xml:space="preserve">Meccanica e farmaceutica guidano la crescita, in calo olio, cartario e </w:t>
      </w:r>
      <w:r>
        <w:rPr>
          <w:rFonts w:ascii="Calibri" w:eastAsia="Calibri" w:hAnsi="Calibri" w:cs="Calibri"/>
          <w:i/>
          <w:iCs/>
        </w:rPr>
        <w:t>due-tre ruote.</w:t>
      </w:r>
    </w:p>
    <w:p w14:paraId="54B22D5E" w14:textId="61FD8E51" w:rsidR="002D02AC" w:rsidRDefault="009B2119">
      <w:p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Viareggio, </w:t>
      </w:r>
      <w:r w:rsidR="00D1056D">
        <w:rPr>
          <w:rFonts w:ascii="Calibri" w:eastAsia="Calibri" w:hAnsi="Calibri" w:cs="Calibri"/>
          <w:b/>
          <w:bCs/>
          <w:i/>
          <w:iCs/>
        </w:rPr>
        <w:t xml:space="preserve">23 </w:t>
      </w:r>
      <w:r>
        <w:rPr>
          <w:rFonts w:ascii="Calibri" w:eastAsia="Calibri" w:hAnsi="Calibri" w:cs="Calibri"/>
          <w:b/>
          <w:bCs/>
          <w:i/>
          <w:iCs/>
        </w:rPr>
        <w:t>marzo 2026.</w:t>
      </w:r>
      <w:r>
        <w:rPr>
          <w:rFonts w:ascii="Calibri" w:eastAsia="Calibri" w:hAnsi="Calibri" w:cs="Calibri"/>
        </w:rPr>
        <w:t xml:space="preserve"> Il 2025 ha visto una sostanziale tenuta dell’export delle province della Toscana Nord-Ovest, in un contesto internazionale </w:t>
      </w:r>
      <w:r w:rsidR="001158F8">
        <w:rPr>
          <w:rFonts w:ascii="Calibri" w:eastAsia="Calibri" w:hAnsi="Calibri" w:cs="Calibri"/>
        </w:rPr>
        <w:t xml:space="preserve">già </w:t>
      </w:r>
      <w:r>
        <w:rPr>
          <w:rFonts w:ascii="Calibri" w:eastAsia="Calibri" w:hAnsi="Calibri" w:cs="Calibri"/>
        </w:rPr>
        <w:t xml:space="preserve">caratterizzato da elevata incertezza. </w:t>
      </w:r>
      <w:r w:rsidR="005437D0" w:rsidRPr="005437D0">
        <w:rPr>
          <w:rFonts w:ascii="Calibri" w:eastAsia="Calibri" w:hAnsi="Calibri" w:cs="Calibri"/>
        </w:rPr>
        <w:t>A fronte di una crescita moderata del commercio mondiale e di un aumento delle esportazioni italiane del 3,3%, l’area mostra dinamiche differenziate: Massa-Carrara registra una crescita sostenuta, trainata dalla meccanica; Pisa evidenzia un parziale recupero grazie a farmaceutico e abbigliamento; Lucca, pur in lieve flessione per le contrazioni di olio e meccanica, mantiene valori prossimi ai massimi storici.</w:t>
      </w:r>
      <w:r w:rsidR="005437D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Nel complesso, la Toscana segna una crescita rilevante (+21,3%), sostenuta in larga parte dalla farmaceutica. Questi, in sintesi, i principali risultati dell’analisi dei dati Istat sul commercio internazionale</w:t>
      </w:r>
      <w:r w:rsidR="001158F8">
        <w:rPr>
          <w:rFonts w:ascii="Calibri" w:eastAsia="Calibri" w:hAnsi="Calibri" w:cs="Calibri"/>
        </w:rPr>
        <w:t xml:space="preserve"> sull’anno 2025</w:t>
      </w:r>
      <w:r>
        <w:rPr>
          <w:rFonts w:ascii="Calibri" w:eastAsia="Calibri" w:hAnsi="Calibri" w:cs="Calibri"/>
        </w:rPr>
        <w:t xml:space="preserve"> elaborati dalla Camera di Commercio della Toscana Nord-Ovest e dall’Istituto Studi e Ricerche (ISR).</w:t>
      </w:r>
    </w:p>
    <w:p w14:paraId="68C7CBAA" w14:textId="0B3977F1" w:rsidR="00DF550E" w:rsidRDefault="00DF550E">
      <w:pPr>
        <w:spacing w:before="240"/>
        <w:rPr>
          <w:rFonts w:ascii="Calibri" w:eastAsia="Calibri" w:hAnsi="Calibri" w:cs="Calibri"/>
          <w:i/>
          <w:iCs/>
        </w:rPr>
      </w:pPr>
      <w:r w:rsidRPr="00DF550E">
        <w:rPr>
          <w:rFonts w:ascii="Calibri" w:eastAsia="Calibri" w:hAnsi="Calibri" w:cs="Calibri"/>
          <w:i/>
          <w:iCs/>
        </w:rPr>
        <w:t>“Nel 2025 le esportazioni della Toscana Nord-Ovest hanno mostrato dinamiche diversificate</w:t>
      </w:r>
      <w:r w:rsidR="001158F8">
        <w:rPr>
          <w:rFonts w:ascii="Calibri" w:eastAsia="Calibri" w:hAnsi="Calibri" w:cs="Calibri"/>
          <w:i/>
          <w:iCs/>
        </w:rPr>
        <w:t>, ma resilienti</w:t>
      </w:r>
      <w:r w:rsidRPr="00DF550E">
        <w:rPr>
          <w:rFonts w:ascii="Calibri" w:eastAsia="Calibri" w:hAnsi="Calibri" w:cs="Calibri"/>
          <w:i/>
          <w:iCs/>
        </w:rPr>
        <w:t xml:space="preserve"> – </w:t>
      </w:r>
      <w:r w:rsidRPr="00DF550E">
        <w:rPr>
          <w:rFonts w:ascii="Calibri" w:eastAsia="Calibri" w:hAnsi="Calibri" w:cs="Calibri"/>
        </w:rPr>
        <w:t xml:space="preserve">afferma Valter Tamburini, </w:t>
      </w:r>
      <w:r w:rsidR="001158F8">
        <w:rPr>
          <w:rFonts w:ascii="Calibri" w:eastAsia="Calibri" w:hAnsi="Calibri" w:cs="Calibri"/>
        </w:rPr>
        <w:t>P</w:t>
      </w:r>
      <w:r w:rsidRPr="00DF550E">
        <w:rPr>
          <w:rFonts w:ascii="Calibri" w:eastAsia="Calibri" w:hAnsi="Calibri" w:cs="Calibri"/>
        </w:rPr>
        <w:t>residente della Camera di Commercio Toscana Nord-Ovest</w:t>
      </w:r>
      <w:r w:rsidRPr="00DF550E">
        <w:rPr>
          <w:rFonts w:ascii="Calibri" w:eastAsia="Calibri" w:hAnsi="Calibri" w:cs="Calibri"/>
          <w:i/>
          <w:iCs/>
        </w:rPr>
        <w:t xml:space="preserve">. Per sostenere le imprese </w:t>
      </w:r>
      <w:r w:rsidR="001158F8">
        <w:rPr>
          <w:rFonts w:ascii="Calibri" w:eastAsia="Calibri" w:hAnsi="Calibri" w:cs="Calibri"/>
          <w:i/>
          <w:iCs/>
        </w:rPr>
        <w:t xml:space="preserve">in una fase di crisi di alcuni mercati di riferimento </w:t>
      </w:r>
      <w:r w:rsidRPr="00DF550E">
        <w:rPr>
          <w:rFonts w:ascii="Calibri" w:eastAsia="Calibri" w:hAnsi="Calibri" w:cs="Calibri"/>
          <w:i/>
          <w:iCs/>
        </w:rPr>
        <w:t xml:space="preserve">e aiutarle a cogliere </w:t>
      </w:r>
      <w:r w:rsidR="001158F8">
        <w:rPr>
          <w:rFonts w:ascii="Calibri" w:eastAsia="Calibri" w:hAnsi="Calibri" w:cs="Calibri"/>
          <w:i/>
          <w:iCs/>
        </w:rPr>
        <w:t>nuove</w:t>
      </w:r>
      <w:r w:rsidRPr="00DF550E">
        <w:rPr>
          <w:rFonts w:ascii="Calibri" w:eastAsia="Calibri" w:hAnsi="Calibri" w:cs="Calibri"/>
          <w:i/>
          <w:iCs/>
        </w:rPr>
        <w:t xml:space="preserve"> opportunità, la Camera </w:t>
      </w:r>
      <w:r w:rsidR="001158F8">
        <w:rPr>
          <w:rFonts w:ascii="Calibri" w:eastAsia="Calibri" w:hAnsi="Calibri" w:cs="Calibri"/>
          <w:i/>
          <w:iCs/>
        </w:rPr>
        <w:t>offre lo sviluppo di un</w:t>
      </w:r>
      <w:r w:rsidRPr="00DF550E">
        <w:rPr>
          <w:rFonts w:ascii="Calibri" w:eastAsia="Calibri" w:hAnsi="Calibri" w:cs="Calibri"/>
          <w:i/>
          <w:iCs/>
        </w:rPr>
        <w:t xml:space="preserve"> Piano Export </w:t>
      </w:r>
      <w:r w:rsidR="001158F8">
        <w:rPr>
          <w:rFonts w:ascii="Calibri" w:eastAsia="Calibri" w:hAnsi="Calibri" w:cs="Calibri"/>
          <w:i/>
          <w:iCs/>
        </w:rPr>
        <w:t>per la singola impresa</w:t>
      </w:r>
      <w:r w:rsidRPr="00DF550E">
        <w:rPr>
          <w:rFonts w:ascii="Calibri" w:eastAsia="Calibri" w:hAnsi="Calibri" w:cs="Calibri"/>
          <w:i/>
          <w:iCs/>
        </w:rPr>
        <w:t xml:space="preserve">: uno strumento che analizza l’azienda, individua i mercati più promettenti e definisce una strategia concreta per </w:t>
      </w:r>
      <w:r w:rsidR="001158F8">
        <w:rPr>
          <w:rFonts w:ascii="Calibri" w:eastAsia="Calibri" w:hAnsi="Calibri" w:cs="Calibri"/>
          <w:i/>
          <w:iCs/>
        </w:rPr>
        <w:t>conquistarli</w:t>
      </w:r>
      <w:r w:rsidRPr="00DF550E">
        <w:rPr>
          <w:rFonts w:ascii="Calibri" w:eastAsia="Calibri" w:hAnsi="Calibri" w:cs="Calibri"/>
          <w:i/>
          <w:iCs/>
        </w:rPr>
        <w:t xml:space="preserve">. Possono richiederlo le imprese che non ne hanno mai usufruito o che </w:t>
      </w:r>
      <w:r w:rsidR="00042AE2">
        <w:rPr>
          <w:rFonts w:ascii="Calibri" w:eastAsia="Calibri" w:hAnsi="Calibri" w:cs="Calibri"/>
          <w:i/>
          <w:iCs/>
        </w:rPr>
        <w:t xml:space="preserve">ne </w:t>
      </w:r>
      <w:r w:rsidRPr="00DF550E">
        <w:rPr>
          <w:rFonts w:ascii="Calibri" w:eastAsia="Calibri" w:hAnsi="Calibri" w:cs="Calibri"/>
          <w:i/>
          <w:iCs/>
        </w:rPr>
        <w:t xml:space="preserve">hanno </w:t>
      </w:r>
      <w:r w:rsidR="00042AE2">
        <w:rPr>
          <w:rFonts w:ascii="Calibri" w:eastAsia="Calibri" w:hAnsi="Calibri" w:cs="Calibri"/>
          <w:i/>
          <w:iCs/>
        </w:rPr>
        <w:t xml:space="preserve">sviluppato uno più di </w:t>
      </w:r>
      <w:r w:rsidRPr="00DF550E">
        <w:rPr>
          <w:rFonts w:ascii="Calibri" w:eastAsia="Calibri" w:hAnsi="Calibri" w:cs="Calibri"/>
          <w:i/>
          <w:iCs/>
        </w:rPr>
        <w:t xml:space="preserve">due anni fa, presentando </w:t>
      </w:r>
      <w:r w:rsidR="00042AE2">
        <w:rPr>
          <w:rFonts w:ascii="Calibri" w:eastAsia="Calibri" w:hAnsi="Calibri" w:cs="Calibri"/>
          <w:i/>
          <w:iCs/>
        </w:rPr>
        <w:t>un</w:t>
      </w:r>
      <w:r w:rsidRPr="00DF550E">
        <w:rPr>
          <w:rFonts w:ascii="Calibri" w:eastAsia="Calibri" w:hAnsi="Calibri" w:cs="Calibri"/>
          <w:i/>
          <w:iCs/>
        </w:rPr>
        <w:t xml:space="preserve">a manifestazione d’interesse entro fine giugno. </w:t>
      </w:r>
      <w:r w:rsidR="00042AE2">
        <w:rPr>
          <w:rFonts w:ascii="Calibri" w:eastAsia="Calibri" w:hAnsi="Calibri" w:cs="Calibri"/>
          <w:i/>
          <w:iCs/>
        </w:rPr>
        <w:t>Accanto a questo servizio, offriamo assistenza, formazione e voucher per esportare. L</w:t>
      </w:r>
      <w:r w:rsidRPr="00DF550E">
        <w:rPr>
          <w:rFonts w:ascii="Calibri" w:eastAsia="Calibri" w:hAnsi="Calibri" w:cs="Calibri"/>
          <w:i/>
          <w:iCs/>
        </w:rPr>
        <w:t>a Camera</w:t>
      </w:r>
      <w:r w:rsidR="00042AE2">
        <w:rPr>
          <w:rFonts w:ascii="Calibri" w:eastAsia="Calibri" w:hAnsi="Calibri" w:cs="Calibri"/>
          <w:i/>
          <w:iCs/>
        </w:rPr>
        <w:t>, dunque,</w:t>
      </w:r>
      <w:r w:rsidRPr="00DF550E">
        <w:rPr>
          <w:rFonts w:ascii="Calibri" w:eastAsia="Calibri" w:hAnsi="Calibri" w:cs="Calibri"/>
          <w:i/>
          <w:iCs/>
        </w:rPr>
        <w:t xml:space="preserve"> conferma</w:t>
      </w:r>
      <w:r w:rsidR="00042AE2">
        <w:rPr>
          <w:rFonts w:ascii="Calibri" w:eastAsia="Calibri" w:hAnsi="Calibri" w:cs="Calibri"/>
          <w:i/>
          <w:iCs/>
        </w:rPr>
        <w:t xml:space="preserve"> anche quest’anno</w:t>
      </w:r>
      <w:r w:rsidRPr="00DF550E">
        <w:rPr>
          <w:rFonts w:ascii="Calibri" w:eastAsia="Calibri" w:hAnsi="Calibri" w:cs="Calibri"/>
          <w:i/>
          <w:iCs/>
        </w:rPr>
        <w:t xml:space="preserve"> il proprio impegno a fianco delle imprese nel percorso di internazionalizzazione.”</w:t>
      </w:r>
    </w:p>
    <w:p w14:paraId="4297974B" w14:textId="36BB0968" w:rsidR="00C22B27" w:rsidRDefault="009B2119">
      <w:p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Nel 2025, dopo il record dell’anno precedente, l’export della </w:t>
      </w:r>
      <w:r w:rsidRPr="00042AE2">
        <w:rPr>
          <w:rFonts w:ascii="Calibri" w:eastAsia="Calibri" w:hAnsi="Calibri" w:cs="Calibri"/>
          <w:b/>
          <w:bCs/>
        </w:rPr>
        <w:t>provincia di Lucca</w:t>
      </w:r>
      <w:r>
        <w:rPr>
          <w:rFonts w:ascii="Calibri" w:eastAsia="Calibri" w:hAnsi="Calibri" w:cs="Calibri"/>
        </w:rPr>
        <w:t xml:space="preserve"> ha registrato un fisiologico ridimensionamento, attestandosi a 5 miliardi e 398 milioni di euro (-2,6%) ma comunque su livelli storicamente molto elevati. La cantieristica nautica ha confermato il proprio ruolo di traino, mantenendo invariate vendite per circa 1 miliardo e 300 milioni di euro di esportazioni</w:t>
      </w:r>
      <w:r w:rsidR="00C22B27">
        <w:rPr>
          <w:rFonts w:ascii="Calibri" w:eastAsia="Calibri" w:hAnsi="Calibri" w:cs="Calibri"/>
        </w:rPr>
        <w:t xml:space="preserve"> (invariata rispetto al 2024)</w:t>
      </w:r>
      <w:r>
        <w:rPr>
          <w:rFonts w:ascii="Calibri" w:eastAsia="Calibri" w:hAnsi="Calibri" w:cs="Calibri"/>
        </w:rPr>
        <w:t>. Segnali più deboli sono emersi invece nel comparto cartario e cartotecnico: gli articoli di carta e cartone sono scesi a 744 milioni di euro (-1,4%), mentre la pasta-carta si è attestata a 455 milioni (-</w:t>
      </w:r>
      <w:r w:rsidR="008645BF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%), per un totale di circa 1,2 miliardi (-2,8%). Ancora più marcata la contrazione </w:t>
      </w:r>
      <w:r w:rsidR="00633F7A">
        <w:rPr>
          <w:rFonts w:ascii="Calibri" w:eastAsia="Calibri" w:hAnsi="Calibri" w:cs="Calibri"/>
        </w:rPr>
        <w:t xml:space="preserve">per </w:t>
      </w:r>
      <w:r>
        <w:rPr>
          <w:rFonts w:ascii="Calibri" w:eastAsia="Calibri" w:hAnsi="Calibri" w:cs="Calibri"/>
        </w:rPr>
        <w:t xml:space="preserve">la meccanica </w:t>
      </w:r>
      <w:r w:rsidR="00C92F09">
        <w:rPr>
          <w:rFonts w:ascii="Calibri" w:eastAsia="Calibri" w:hAnsi="Calibri" w:cs="Calibri"/>
        </w:rPr>
        <w:t>legata al cartario</w:t>
      </w:r>
      <w:r>
        <w:rPr>
          <w:rFonts w:ascii="Calibri" w:eastAsia="Calibri" w:hAnsi="Calibri" w:cs="Calibri"/>
        </w:rPr>
        <w:t xml:space="preserve"> (-9,9%</w:t>
      </w:r>
      <w:r w:rsidR="00393A62">
        <w:rPr>
          <w:rFonts w:ascii="Calibri" w:eastAsia="Calibri" w:hAnsi="Calibri" w:cs="Calibri"/>
        </w:rPr>
        <w:t>, 578 milioni di euro</w:t>
      </w:r>
      <w:r>
        <w:rPr>
          <w:rFonts w:ascii="Calibri" w:eastAsia="Calibri" w:hAnsi="Calibri" w:cs="Calibri"/>
        </w:rPr>
        <w:t xml:space="preserve">), e </w:t>
      </w:r>
      <w:r w:rsidR="00633F7A">
        <w:rPr>
          <w:rFonts w:ascii="Calibri" w:eastAsia="Calibri" w:hAnsi="Calibri" w:cs="Calibri"/>
        </w:rPr>
        <w:t xml:space="preserve">per </w:t>
      </w:r>
      <w:r w:rsidR="008645BF">
        <w:rPr>
          <w:rFonts w:ascii="Calibri" w:eastAsia="Calibri" w:hAnsi="Calibri" w:cs="Calibri"/>
        </w:rPr>
        <w:t>l’olio</w:t>
      </w:r>
      <w:r>
        <w:rPr>
          <w:rFonts w:ascii="Calibri" w:eastAsia="Calibri" w:hAnsi="Calibri" w:cs="Calibri"/>
        </w:rPr>
        <w:t xml:space="preserve">, </w:t>
      </w:r>
      <w:r w:rsidR="008645BF">
        <w:rPr>
          <w:rFonts w:ascii="Calibri" w:eastAsia="Calibri" w:hAnsi="Calibri" w:cs="Calibri"/>
        </w:rPr>
        <w:t>calato</w:t>
      </w:r>
      <w:r>
        <w:rPr>
          <w:rFonts w:ascii="Calibri" w:eastAsia="Calibri" w:hAnsi="Calibri" w:cs="Calibri"/>
        </w:rPr>
        <w:t xml:space="preserve"> a 291 milioni (-20,1%). Più contenute le variazioni negli altri settori manifatturieri: le macchine di impiego generale sono cresciute a 145 milioni di euro (+4,6%), stabili invece le apparecchiature di cablaggio a 320 milioni (+0,7%) e in lieve espansione la farmaceutica (178 milioni; +1,4%). </w:t>
      </w:r>
      <w:r w:rsidR="00393A62" w:rsidRPr="00393A62">
        <w:rPr>
          <w:rFonts w:ascii="Calibri" w:eastAsia="Calibri" w:hAnsi="Calibri" w:cs="Calibri"/>
        </w:rPr>
        <w:t>Le imprese lucchesi confermano un solido presidio sui principali mercati di riferimento, seppur in flessione: la Francia si mantiene primo partner (circa 748 milioni di euro, -6,5%), seguita da Stati Uniti (485 milioni, -7,7%) e Germania (484 milioni, -2,4%)</w:t>
      </w:r>
      <w:r w:rsidR="00393A62">
        <w:rPr>
          <w:rFonts w:ascii="Calibri" w:eastAsia="Calibri" w:hAnsi="Calibri" w:cs="Calibri"/>
        </w:rPr>
        <w:t xml:space="preserve">. </w:t>
      </w:r>
      <w:r w:rsidR="00393A62" w:rsidRPr="00393A62">
        <w:rPr>
          <w:rFonts w:ascii="Calibri" w:eastAsia="Calibri" w:hAnsi="Calibri" w:cs="Calibri"/>
        </w:rPr>
        <w:t>Si osserva inoltre una certa volatilità nei mercati legati alla nautica da diporto: le esportazioni risultano di volta in volta allocate su diverse giurisdizioni di registrazione, come le Isole Cayman — principale registro a livello globale per numero di yacht — e le Isole Marshall, player in crescita</w:t>
      </w:r>
      <w:r w:rsidR="00042AE2">
        <w:rPr>
          <w:rFonts w:ascii="Calibri" w:eastAsia="Calibri" w:hAnsi="Calibri" w:cs="Calibri"/>
        </w:rPr>
        <w:t>,</w:t>
      </w:r>
      <w:r w:rsidR="00393A62" w:rsidRPr="00393A62">
        <w:rPr>
          <w:rFonts w:ascii="Calibri" w:eastAsia="Calibri" w:hAnsi="Calibri" w:cs="Calibri"/>
        </w:rPr>
        <w:t xml:space="preserve"> ma di dimensioni più contenute. Un andamento che riflette la variabilità della clientela e delle </w:t>
      </w:r>
      <w:r w:rsidR="00393A62" w:rsidRPr="00393A62">
        <w:rPr>
          <w:rFonts w:ascii="Calibri" w:eastAsia="Calibri" w:hAnsi="Calibri" w:cs="Calibri"/>
        </w:rPr>
        <w:lastRenderedPageBreak/>
        <w:t>scelte di registrazione, più che una dinamica di sostituzione, configurandosi come un’alternanza tra destinazioni analoghe sotto il profilo fiscale.</w:t>
      </w:r>
      <w:r w:rsidR="00393A62">
        <w:rPr>
          <w:rFonts w:ascii="Calibri" w:eastAsia="Calibri" w:hAnsi="Calibri" w:cs="Calibri"/>
        </w:rPr>
        <w:t xml:space="preserve"> </w:t>
      </w:r>
    </w:p>
    <w:p w14:paraId="67EBBED0" w14:textId="55427F92" w:rsidR="00C22B27" w:rsidRPr="00C22B27" w:rsidRDefault="009B2119" w:rsidP="00C22B27">
      <w:pPr>
        <w:spacing w:before="240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</w:rPr>
        <w:t xml:space="preserve">Di segno opposto l’andamento della </w:t>
      </w:r>
      <w:r w:rsidR="00042AE2">
        <w:rPr>
          <w:rFonts w:ascii="Calibri" w:eastAsia="Calibri" w:hAnsi="Calibri" w:cs="Calibri"/>
          <w:b/>
          <w:bCs/>
        </w:rPr>
        <w:t>p</w:t>
      </w:r>
      <w:r w:rsidRPr="00042AE2">
        <w:rPr>
          <w:rFonts w:ascii="Calibri" w:eastAsia="Calibri" w:hAnsi="Calibri" w:cs="Calibri"/>
          <w:b/>
          <w:bCs/>
        </w:rPr>
        <w:t>rovincia di Massa-Carrara</w:t>
      </w:r>
      <w:r>
        <w:rPr>
          <w:rFonts w:ascii="Calibri" w:eastAsia="Calibri" w:hAnsi="Calibri" w:cs="Calibri"/>
        </w:rPr>
        <w:t xml:space="preserve">, </w:t>
      </w:r>
      <w:r w:rsidR="008645BF">
        <w:rPr>
          <w:rFonts w:ascii="Calibri" w:eastAsia="Calibri" w:hAnsi="Calibri" w:cs="Calibri"/>
        </w:rPr>
        <w:t>le cui esportazioni</w:t>
      </w:r>
      <w:r>
        <w:rPr>
          <w:rFonts w:ascii="Calibri" w:eastAsia="Calibri" w:hAnsi="Calibri" w:cs="Calibri"/>
        </w:rPr>
        <w:t xml:space="preserve"> nel 2025 </w:t>
      </w:r>
      <w:r w:rsidR="008645BF">
        <w:rPr>
          <w:rFonts w:ascii="Calibri" w:eastAsia="Calibri" w:hAnsi="Calibri" w:cs="Calibri"/>
        </w:rPr>
        <w:t xml:space="preserve">hanno superato per la prima volta i 3 miliardi di </w:t>
      </w:r>
      <w:r w:rsidR="00C22B27">
        <w:rPr>
          <w:rFonts w:ascii="Calibri" w:eastAsia="Calibri" w:hAnsi="Calibri" w:cs="Calibri"/>
        </w:rPr>
        <w:t>controvalore (</w:t>
      </w:r>
      <w:r>
        <w:rPr>
          <w:rFonts w:ascii="Calibri" w:eastAsia="Calibri" w:hAnsi="Calibri" w:cs="Calibri"/>
        </w:rPr>
        <w:t>3 miliardi e 163 milioni di euro, segnando una crescita del +50,4%</w:t>
      </w:r>
      <w:r w:rsidR="00C22B27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Un risultato che conferma, ancora una volta, la forte variabilità del sistema produttivo locale, strettamente legata al ciclo delle grandi commesse. La dinamica è stata trainata dalla meccanica, che </w:t>
      </w:r>
      <w:r w:rsidR="008645BF">
        <w:rPr>
          <w:rFonts w:ascii="Calibri" w:eastAsia="Calibri" w:hAnsi="Calibri" w:cs="Calibri"/>
        </w:rPr>
        <w:t>si conferma</w:t>
      </w:r>
      <w:r>
        <w:rPr>
          <w:rFonts w:ascii="Calibri" w:eastAsia="Calibri" w:hAnsi="Calibri" w:cs="Calibri"/>
        </w:rPr>
        <w:t xml:space="preserve"> il settore dominante dell’export provinciale. In particolare, le macchine di impiego generale hanno superato il miliardo di euro (+173,2%), arrivando a rappresentare oltre il 32% delle esportazioni complessive. A queste si sono affiancate le altre macchine di impiego generale, salite a 583 milioni di euro (+37,8%), e la cantieristica nautica, che ha più che raddoppiato le vendite raggiungendo 445 milioni di euro. Segnali meno favorevoli sono emersi invece dal lapideo, che ha registrato una flessione </w:t>
      </w:r>
      <w:r w:rsidR="00C22B27">
        <w:rPr>
          <w:rFonts w:ascii="Calibri" w:eastAsia="Calibri" w:hAnsi="Calibri" w:cs="Calibri"/>
        </w:rPr>
        <w:t xml:space="preserve">sia </w:t>
      </w:r>
      <w:r w:rsidR="008645BF">
        <w:rPr>
          <w:rFonts w:ascii="Calibri" w:eastAsia="Calibri" w:hAnsi="Calibri" w:cs="Calibri"/>
        </w:rPr>
        <w:t xml:space="preserve">dell’export di lavorato </w:t>
      </w:r>
      <w:r>
        <w:rPr>
          <w:rFonts w:ascii="Calibri" w:eastAsia="Calibri" w:hAnsi="Calibri" w:cs="Calibri"/>
        </w:rPr>
        <w:t>(-6,4%</w:t>
      </w:r>
      <w:r w:rsidR="00C22B27">
        <w:rPr>
          <w:rFonts w:ascii="Calibri" w:eastAsia="Calibri" w:hAnsi="Calibri" w:cs="Calibri"/>
        </w:rPr>
        <w:t>, 394 milioni di euro</w:t>
      </w:r>
      <w:r>
        <w:rPr>
          <w:rFonts w:ascii="Calibri" w:eastAsia="Calibri" w:hAnsi="Calibri" w:cs="Calibri"/>
        </w:rPr>
        <w:t>)</w:t>
      </w:r>
      <w:r w:rsidR="00C22B27">
        <w:rPr>
          <w:rFonts w:ascii="Calibri" w:eastAsia="Calibri" w:hAnsi="Calibri" w:cs="Calibri"/>
        </w:rPr>
        <w:t xml:space="preserve"> che </w:t>
      </w:r>
      <w:r>
        <w:rPr>
          <w:rFonts w:ascii="Calibri" w:eastAsia="Calibri" w:hAnsi="Calibri" w:cs="Calibri"/>
        </w:rPr>
        <w:t>d</w:t>
      </w:r>
      <w:r w:rsidR="008645BF"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</w:rPr>
        <w:t xml:space="preserve"> grezzo</w:t>
      </w:r>
      <w:r w:rsidR="00C22B2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(-2,9%). </w:t>
      </w:r>
      <w:r w:rsidR="00C22B27" w:rsidRPr="00C22B27">
        <w:rPr>
          <w:rFonts w:ascii="Calibri" w:eastAsia="Calibri" w:hAnsi="Calibri" w:cs="Calibri"/>
          <w:lang w:val="it-IT"/>
        </w:rPr>
        <w:t>Dal punto di vista geografico, il 2025 evidenzia una significativa riconfigurazione dei mercati di sbocco, riconducibile in larga parte alle grandi commesse della meccanica e alla conseguente maggiore incidenza delle destinazioni extra-europee. Gli Stati Uniti si confermano primo mercato con circa 795 milioni di euro (+25,8%), seguiti dalla Corea del Sud (257 milioni) e dalla Cina (222 milioni, +17,7%).</w:t>
      </w:r>
      <w:r w:rsidR="00C22B27">
        <w:rPr>
          <w:rFonts w:ascii="Calibri" w:eastAsia="Calibri" w:hAnsi="Calibri" w:cs="Calibri"/>
          <w:lang w:val="it-IT"/>
        </w:rPr>
        <w:t xml:space="preserve"> </w:t>
      </w:r>
      <w:r w:rsidR="00C22B27" w:rsidRPr="00C22B27">
        <w:rPr>
          <w:rFonts w:ascii="Calibri" w:eastAsia="Calibri" w:hAnsi="Calibri" w:cs="Calibri"/>
          <w:lang w:val="it-IT"/>
        </w:rPr>
        <w:t xml:space="preserve">Emergono inoltre poli di destinazione legati a singole operazioni industriali, come Qatar, Emirati Arabi Uniti e Algeria. </w:t>
      </w:r>
    </w:p>
    <w:p w14:paraId="12CBB328" w14:textId="77777777" w:rsidR="009B2119" w:rsidRDefault="009B2119">
      <w:pPr>
        <w:spacing w:before="240" w:after="240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</w:rPr>
        <w:t xml:space="preserve">Nel 2025 l’export della </w:t>
      </w:r>
      <w:r w:rsidRPr="00042AE2">
        <w:rPr>
          <w:rFonts w:ascii="Calibri" w:eastAsia="Calibri" w:hAnsi="Calibri" w:cs="Calibri"/>
          <w:b/>
          <w:bCs/>
        </w:rPr>
        <w:t>provincia di Pisa</w:t>
      </w:r>
      <w:r>
        <w:rPr>
          <w:rFonts w:ascii="Calibri" w:eastAsia="Calibri" w:hAnsi="Calibri" w:cs="Calibri"/>
        </w:rPr>
        <w:t xml:space="preserve"> ha mostrato un moderato recupero</w:t>
      </w:r>
      <w:r w:rsidR="00C22B27">
        <w:rPr>
          <w:rFonts w:ascii="Calibri" w:eastAsia="Calibri" w:hAnsi="Calibri" w:cs="Calibri"/>
        </w:rPr>
        <w:t xml:space="preserve"> (+2%)</w:t>
      </w:r>
      <w:r>
        <w:rPr>
          <w:rFonts w:ascii="Calibri" w:eastAsia="Calibri" w:hAnsi="Calibri" w:cs="Calibri"/>
        </w:rPr>
        <w:t xml:space="preserve"> dopo la flessione registrata nell’anno precedente, attestandosi a 3 miliardi e 394 milioni di euro</w:t>
      </w:r>
      <w:r w:rsidR="00C22B27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>Si tratta di un risultato positivo con un quadro settoriale che ha messo in luce andamenti differenziati. Il contributo più rilevante alla crescita è arrivato dal farmaceutico (276 milioni di euro</w:t>
      </w:r>
      <w:r w:rsidR="008645BF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+22,5%) che ha recuperato ampiamente la flessione del 2024. </w:t>
      </w:r>
      <w:r w:rsidR="00FD2BC2" w:rsidRPr="00FD2BC2">
        <w:rPr>
          <w:rFonts w:ascii="Calibri" w:eastAsia="Calibri" w:hAnsi="Calibri" w:cs="Calibri"/>
          <w:lang w:val="it-IT"/>
        </w:rPr>
        <w:t>Dinamiche particolarmente favorevoli si registrano anche per l’abbigliamento, che raggiunge i 111 milioni di euro (+53,6%), e per le altre macchine di impiego generale, salite a 124 milioni (+16,8%), confermando un rafforzamento diffuso in comparti a maggiore valore aggiunto.</w:t>
      </w:r>
      <w:r w:rsidR="00FD2BC2">
        <w:rPr>
          <w:rFonts w:ascii="Calibri" w:eastAsia="Calibri" w:hAnsi="Calibri" w:cs="Calibri"/>
          <w:lang w:val="it-IT"/>
        </w:rPr>
        <w:t xml:space="preserve"> </w:t>
      </w:r>
      <w:r w:rsidR="00FD2BC2" w:rsidRPr="00FD2BC2">
        <w:rPr>
          <w:rFonts w:ascii="Calibri" w:eastAsia="Calibri" w:hAnsi="Calibri" w:cs="Calibri"/>
          <w:lang w:val="it-IT"/>
        </w:rPr>
        <w:t>Un contributo rilevante alla crescita complessiva dell’export proviene inoltre dai prodotti derivanti dalla raffinazione del petrolio: si tratta, con elevata probabilità, di flussi riconducibili a operazioni straordinarie o di natura logistica-commerciale, e quindi non rappresentativi di una dinamica del tessuto produttivo locale.</w:t>
      </w:r>
      <w:r w:rsidR="00FD2BC2">
        <w:rPr>
          <w:rFonts w:ascii="Calibri" w:eastAsia="Calibri" w:hAnsi="Calibri" w:cs="Calibri"/>
          <w:lang w:val="it-IT"/>
        </w:rPr>
        <w:t xml:space="preserve"> </w:t>
      </w:r>
      <w:r>
        <w:rPr>
          <w:rFonts w:ascii="Calibri" w:eastAsia="Calibri" w:hAnsi="Calibri" w:cs="Calibri"/>
        </w:rPr>
        <w:t>Permangono tuttavia elementi di debolezza nei settori più tradizionali. I cicli e motocicli, primo comparto dell’export provinciale con circa 631 milioni di euro, hanno registrato una flessione del</w:t>
      </w:r>
      <w:r w:rsidR="008645BF">
        <w:rPr>
          <w:rFonts w:ascii="Calibri" w:eastAsia="Calibri" w:hAnsi="Calibri" w:cs="Calibri"/>
        </w:rPr>
        <w:t>l’</w:t>
      </w:r>
      <w:r>
        <w:rPr>
          <w:rFonts w:ascii="Calibri" w:eastAsia="Calibri" w:hAnsi="Calibri" w:cs="Calibri"/>
        </w:rPr>
        <w:t xml:space="preserve">11,2%, così come il cuoio (-5,8%), le calzature (-5,9%) e </w:t>
      </w:r>
      <w:r w:rsidR="008645BF">
        <w:rPr>
          <w:rFonts w:ascii="Calibri" w:eastAsia="Calibri" w:hAnsi="Calibri" w:cs="Calibri"/>
        </w:rPr>
        <w:t>i mobili</w:t>
      </w:r>
      <w:r>
        <w:rPr>
          <w:rFonts w:ascii="Calibri" w:eastAsia="Calibri" w:hAnsi="Calibri" w:cs="Calibri"/>
        </w:rPr>
        <w:t xml:space="preserve"> (-20%), confermando una fase di difficoltà già emersa nel 2024. In calo anche la chimica di base (-12,7%), a fronte di una dinamica complessivamente più stabile della meccanica. </w:t>
      </w:r>
      <w:r w:rsidR="005437D0" w:rsidRPr="005437D0">
        <w:rPr>
          <w:rFonts w:ascii="Calibri" w:eastAsia="Calibri" w:hAnsi="Calibri" w:cs="Calibri"/>
          <w:lang w:val="it-IT"/>
        </w:rPr>
        <w:t>Sul piano geografico, le esportazioni pisane restano concentrate in Europa, con i principali mercati in flessione: la Germania si conferma primo partner commerciale con 412 milioni di euro (-7,3%), seguita dalla Francia (391 milioni, -8%) e dalla Spagna (299 milioni, -1,8%).</w:t>
      </w:r>
      <w:r w:rsidR="005437D0">
        <w:rPr>
          <w:rFonts w:ascii="Calibri" w:eastAsia="Calibri" w:hAnsi="Calibri" w:cs="Calibri"/>
          <w:lang w:val="it-IT"/>
        </w:rPr>
        <w:t xml:space="preserve"> </w:t>
      </w:r>
      <w:r w:rsidR="005437D0" w:rsidRPr="005437D0">
        <w:rPr>
          <w:rFonts w:ascii="Calibri" w:eastAsia="Calibri" w:hAnsi="Calibri" w:cs="Calibri"/>
          <w:lang w:val="it-IT"/>
        </w:rPr>
        <w:t>In controtendenza, tra i paesi in crescita si segnalano Austria (+17,5%), Regno Unito (+52,3%) e Svizzera (+65,4%), mentre al di fuori dell’Europa gli Stati Uniti registrano una flessione (-11,6%) e la Cina una crescita (+11%).</w:t>
      </w:r>
      <w:r>
        <w:rPr>
          <w:rFonts w:ascii="Calibri" w:eastAsia="Calibri" w:hAnsi="Calibri" w:cs="Calibri"/>
          <w:lang w:val="it-IT"/>
        </w:rPr>
        <w:t xml:space="preserve"> </w:t>
      </w:r>
    </w:p>
    <w:p w14:paraId="36A4C52F" w14:textId="70589EA9" w:rsidR="002D02AC" w:rsidRDefault="009B2119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 xml:space="preserve">La nota completa di grafici e tabelle per ciascuna delle tre province è allegata a questo comunicato stampa ovvero scaricabile dal sito </w:t>
      </w:r>
      <w:hyperlink r:id="rId6">
        <w:r w:rsidR="002D02AC">
          <w:rPr>
            <w:rFonts w:ascii="Calibri" w:eastAsia="Calibri" w:hAnsi="Calibri" w:cs="Calibri"/>
            <w:color w:val="0000FF"/>
            <w:highlight w:val="white"/>
            <w:u w:val="single"/>
          </w:rPr>
          <w:t>www.isr-ms.it</w:t>
        </w:r>
      </w:hyperlink>
      <w:r>
        <w:rPr>
          <w:rFonts w:ascii="Calibri" w:eastAsia="Calibri" w:hAnsi="Calibri" w:cs="Calibri"/>
          <w:color w:val="0000FF"/>
          <w:highlight w:val="white"/>
          <w:u w:val="single"/>
        </w:rPr>
        <w:t>.</w:t>
      </w:r>
    </w:p>
    <w:p w14:paraId="6A2D5B89" w14:textId="77777777" w:rsidR="002D02AC" w:rsidRDefault="009B2119">
      <w:pPr>
        <w:spacing w:before="120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Camera di commercio della Toscana Nord-Ovest</w:t>
      </w:r>
    </w:p>
    <w:p w14:paraId="691D9133" w14:textId="77777777" w:rsidR="002D02AC" w:rsidRDefault="009B2119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Comunicazione: Alberto Susini</w:t>
      </w:r>
      <w:r>
        <w:rPr>
          <w:rFonts w:ascii="Calibri" w:eastAsia="Calibri" w:hAnsi="Calibri" w:cs="Calibri"/>
          <w:color w:val="000000"/>
          <w:sz w:val="18"/>
          <w:szCs w:val="18"/>
        </w:rPr>
        <w:t>: 050 512294</w:t>
      </w:r>
    </w:p>
    <w:p w14:paraId="2E584A17" w14:textId="77777777" w:rsidR="002D02AC" w:rsidRDefault="009B2119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comunicazione@tno.camcom.it</w:t>
      </w:r>
    </w:p>
    <w:p w14:paraId="0C1F11CD" w14:textId="77777777" w:rsidR="002D02AC" w:rsidRDefault="009B211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www.tno.camcom.it</w:t>
      </w:r>
    </w:p>
    <w:sectPr w:rsidR="002D02AC" w:rsidSect="00042AE2">
      <w:footerReference w:type="default" r:id="rId7"/>
      <w:headerReference w:type="first" r:id="rId8"/>
      <w:pgSz w:w="11906" w:h="16838"/>
      <w:pgMar w:top="1134" w:right="1559" w:bottom="567" w:left="1559" w:header="1146" w:footer="2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8E1AA" w14:textId="77777777" w:rsidR="00265F55" w:rsidRDefault="00265F55">
      <w:r>
        <w:separator/>
      </w:r>
    </w:p>
  </w:endnote>
  <w:endnote w:type="continuationSeparator" w:id="0">
    <w:p w14:paraId="14CE32F3" w14:textId="77777777" w:rsidR="00265F55" w:rsidRDefault="00265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BC40B405-32ED-4430-897B-AC8B4B9294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C2F068-EA50-4990-B20D-5A25F17C204C}"/>
    <w:embedBold r:id="rId3" w:fontKey="{267F611A-8519-4D4C-97C7-0DCF8BE31C37}"/>
    <w:embedItalic r:id="rId4" w:fontKey="{F41D83B9-CE46-4DFF-B353-8126575361D3}"/>
    <w:embedBoldItalic r:id="rId5" w:fontKey="{EB2AA459-60BC-4F88-9A43-68C0FAE7F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6ACC50-D7E7-4E62-B902-91290836C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1EE05" w14:textId="11375A15" w:rsidR="002D02AC" w:rsidRDefault="009B21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b/>
        <w:bCs/>
        <w:color w:val="00000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73159" w14:textId="77777777" w:rsidR="00265F55" w:rsidRDefault="00265F55">
      <w:r>
        <w:separator/>
      </w:r>
    </w:p>
  </w:footnote>
  <w:footnote w:type="continuationSeparator" w:id="0">
    <w:p w14:paraId="5CCC6E97" w14:textId="77777777" w:rsidR="00265F55" w:rsidRDefault="00265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E296" w14:textId="77777777" w:rsidR="002D02AC" w:rsidRDefault="009B2119">
    <w:pPr>
      <w:spacing w:before="240" w:after="240"/>
      <w:jc w:val="left"/>
      <w:rPr>
        <w:rFonts w:ascii="Calibri" w:eastAsia="Calibri" w:hAnsi="Calibri" w:cs="Calibri"/>
        <w:b/>
        <w:bCs/>
        <w:color w:val="808080"/>
        <w:sz w:val="4"/>
        <w:szCs w:val="4"/>
      </w:rPr>
    </w:pPr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Comunicato </w:t>
    </w:r>
    <w:r>
      <w:rPr>
        <w:rFonts w:ascii="Calibri" w:eastAsia="Calibri" w:hAnsi="Calibri" w:cs="Calibri"/>
        <w:b/>
        <w:bCs/>
        <w:color w:val="7F7F7F"/>
        <w:sz w:val="44"/>
        <w:szCs w:val="44"/>
      </w:rPr>
      <w:t>Stampa</w:t>
    </w:r>
    <w:r>
      <w:rPr>
        <w:noProof/>
        <w:lang w:val="it-IT"/>
      </w:rPr>
      <w:drawing>
        <wp:anchor distT="0" distB="0" distL="114300" distR="114300" simplePos="0" relativeHeight="251658240" behindDoc="0" locked="0" layoutInCell="1" hidden="0" allowOverlap="1" wp14:anchorId="4D878D3E" wp14:editId="644272CA">
          <wp:simplePos x="0" y="0"/>
          <wp:positionH relativeFrom="column">
            <wp:posOffset>-247649</wp:posOffset>
          </wp:positionH>
          <wp:positionV relativeFrom="paragraph">
            <wp:posOffset>-542924</wp:posOffset>
          </wp:positionV>
          <wp:extent cx="2880995" cy="524510"/>
          <wp:effectExtent l="0" t="0" r="0" b="0"/>
          <wp:wrapNone/>
          <wp:docPr id="1697978255" name="image2.png" descr="Logo Camera di Commercio della Toscana Nord-OPve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Camera di Commercio della Toscana Nord-OPves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0995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 wp14:anchorId="643AA578" wp14:editId="38EAD0A0">
          <wp:simplePos x="0" y="0"/>
          <wp:positionH relativeFrom="column">
            <wp:posOffset>2894965</wp:posOffset>
          </wp:positionH>
          <wp:positionV relativeFrom="paragraph">
            <wp:posOffset>-500379</wp:posOffset>
          </wp:positionV>
          <wp:extent cx="2961640" cy="457200"/>
          <wp:effectExtent l="0" t="0" r="0" b="0"/>
          <wp:wrapSquare wrapText="bothSides" distT="0" distB="0" distL="114300" distR="114300"/>
          <wp:docPr id="634914464" name="image1.png" descr="Logo Istituto di Studi e Ricerch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Istituto di Studi e Ricerch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164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AC"/>
    <w:rsid w:val="00040393"/>
    <w:rsid w:val="00042AE2"/>
    <w:rsid w:val="001158F8"/>
    <w:rsid w:val="00265F55"/>
    <w:rsid w:val="002D02AC"/>
    <w:rsid w:val="00312655"/>
    <w:rsid w:val="00393A62"/>
    <w:rsid w:val="004517AC"/>
    <w:rsid w:val="004C5108"/>
    <w:rsid w:val="004E2B43"/>
    <w:rsid w:val="005205EA"/>
    <w:rsid w:val="005437D0"/>
    <w:rsid w:val="00633F7A"/>
    <w:rsid w:val="007A346E"/>
    <w:rsid w:val="007D0716"/>
    <w:rsid w:val="008645BF"/>
    <w:rsid w:val="00890177"/>
    <w:rsid w:val="00977124"/>
    <w:rsid w:val="009B2119"/>
    <w:rsid w:val="00A25799"/>
    <w:rsid w:val="00C22B27"/>
    <w:rsid w:val="00C92F09"/>
    <w:rsid w:val="00D1056D"/>
    <w:rsid w:val="00D53014"/>
    <w:rsid w:val="00DF550E"/>
    <w:rsid w:val="00FD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38E28"/>
  <w15:docId w15:val="{475B04C0-27AD-48ED-B6D4-BA857B02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C22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sr-ms.it/export-e-industria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Ottino Marcella</cp:lastModifiedBy>
  <cp:revision>3</cp:revision>
  <dcterms:created xsi:type="dcterms:W3CDTF">2026-03-23T09:50:00Z</dcterms:created>
  <dcterms:modified xsi:type="dcterms:W3CDTF">2026-03-23T11:23:00Z</dcterms:modified>
</cp:coreProperties>
</file>