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1A208" w14:textId="77777777" w:rsidR="0083448D" w:rsidRDefault="0083448D" w:rsidP="0083448D">
      <w:pPr>
        <w:pStyle w:val="Titolo1"/>
      </w:pPr>
      <w:bookmarkStart w:id="0" w:name="_Toc214377211"/>
      <w:r>
        <w:t xml:space="preserve">Executive </w:t>
      </w:r>
      <w:proofErr w:type="spellStart"/>
      <w:r>
        <w:t>Summary</w:t>
      </w:r>
      <w:bookmarkEnd w:id="0"/>
      <w:proofErr w:type="spellEnd"/>
    </w:p>
    <w:p w14:paraId="4D91F475" w14:textId="77777777" w:rsidR="0083448D" w:rsidRDefault="0083448D" w:rsidP="0083448D">
      <w:r>
        <w:t xml:space="preserve">I temi di </w:t>
      </w:r>
      <w:r w:rsidRPr="006C31AE">
        <w:rPr>
          <w:b/>
          <w:bCs/>
        </w:rPr>
        <w:t>mobilità regionale</w:t>
      </w:r>
      <w:r>
        <w:t xml:space="preserve"> in Toscana sono al centro dell’odierno dibattito socio-politico. In questo contesto,</w:t>
      </w:r>
      <w:r w:rsidRPr="00B54027">
        <w:t xml:space="preserve"> </w:t>
      </w:r>
      <w:r>
        <w:t>l</w:t>
      </w:r>
      <w:r w:rsidRPr="00B54027">
        <w:t>a Strada di Grande Comunicazione Firenze–Pisa–Livorno (</w:t>
      </w:r>
      <w:r w:rsidRPr="006C31AE">
        <w:rPr>
          <w:b/>
          <w:bCs/>
        </w:rPr>
        <w:t>SGC FI-PI-LI</w:t>
      </w:r>
      <w:r w:rsidRPr="00B54027">
        <w:t>) è un’infrastruttura strategica: connette tre capoluoghi, sostiene rilevanti flussi di merci dirette ai porti e agli snodi autostradali e influisce sui tempi di percorrenza, sui costi logistici e sulla qualità della vita nelle aree servite. Le ipotesi di potenziamento oggi discusse — dalla terza corsia al miglioramento degli accessi, dall’adozione di tecnologie intelligenti alla promozione dell’intermodalità — comportano trade-off sociali, ambientali ed economici rilevanti.</w:t>
      </w:r>
      <w:r>
        <w:t xml:space="preserve"> Essi si pongono </w:t>
      </w:r>
      <w:r w:rsidRPr="00CE41AD">
        <w:t>in contrasto con altri scenari di</w:t>
      </w:r>
      <w:r>
        <w:t xml:space="preserve"> sviluppo del territorio, legati alla promozione di una mobilità alternativa e pubblica.</w:t>
      </w:r>
      <w:r w:rsidRPr="00B54027">
        <w:t xml:space="preserve"> Per questo motivo, valutare non solo gli impatti tecnici ma anche le percezioni e le preferenze degli utenti</w:t>
      </w:r>
      <w:r>
        <w:t>, delle imprese</w:t>
      </w:r>
      <w:r w:rsidRPr="00B54027">
        <w:t xml:space="preserve"> e degli stakeholder locali è essenziale per progettare interventi</w:t>
      </w:r>
      <w:r>
        <w:t xml:space="preserve"> di mobilità</w:t>
      </w:r>
      <w:r w:rsidRPr="00B54027">
        <w:t xml:space="preserve"> sostenibili e socialmente accettabili.</w:t>
      </w:r>
    </w:p>
    <w:p w14:paraId="735C0764" w14:textId="77777777" w:rsidR="0083448D" w:rsidRDefault="0083448D" w:rsidP="0083448D">
      <w:r w:rsidRPr="00543093">
        <w:t xml:space="preserve">Il </w:t>
      </w:r>
      <w:r w:rsidRPr="006C31AE">
        <w:rPr>
          <w:b/>
          <w:bCs/>
        </w:rPr>
        <w:t>progetto SAMPLE</w:t>
      </w:r>
      <w:r w:rsidRPr="00543093">
        <w:t>, sviluppato nell’ambito della Convenzione tra Scuola Superiore Sant’Anna – I</w:t>
      </w:r>
      <w:r>
        <w:t xml:space="preserve">stituto di </w:t>
      </w:r>
      <w:r w:rsidRPr="00543093">
        <w:t>M</w:t>
      </w:r>
      <w:r>
        <w:t>anagement</w:t>
      </w:r>
      <w:r w:rsidRPr="00543093">
        <w:t xml:space="preserve"> e la Camera di Commercio della Toscana Nord-Ovest, si </w:t>
      </w:r>
      <w:r>
        <w:t xml:space="preserve">è </w:t>
      </w:r>
      <w:r w:rsidRPr="00543093">
        <w:t>propo</w:t>
      </w:r>
      <w:r>
        <w:t>sto</w:t>
      </w:r>
      <w:r w:rsidRPr="00543093">
        <w:t xml:space="preserve"> di: (i) </w:t>
      </w:r>
      <w:r>
        <w:t>mappare</w:t>
      </w:r>
      <w:r w:rsidRPr="00543093">
        <w:t xml:space="preserve"> le criticità percepite</w:t>
      </w:r>
      <w:r>
        <w:t xml:space="preserve"> ed i desiderata degli stakeholder rilevanti della mobilità regionale; (ii)</w:t>
      </w:r>
      <w:r w:rsidRPr="00543093">
        <w:t xml:space="preserve"> </w:t>
      </w:r>
      <w:r>
        <w:t>identificar</w:t>
      </w:r>
      <w:r w:rsidRPr="00543093">
        <w:t>e le proposte di intervento</w:t>
      </w:r>
      <w:r>
        <w:t xml:space="preserve"> e costruire scenari di mobilità coerenti</w:t>
      </w:r>
      <w:r w:rsidRPr="00543093">
        <w:t>; (ii</w:t>
      </w:r>
      <w:r>
        <w:t>i</w:t>
      </w:r>
      <w:r w:rsidRPr="00543093">
        <w:t xml:space="preserve">) analizzare </w:t>
      </w:r>
      <w:r w:rsidRPr="008C2138">
        <w:t>alcune determinanti attitudinali, comportamentali e</w:t>
      </w:r>
      <w:r>
        <w:t xml:space="preserve"> socio-demografiche</w:t>
      </w:r>
      <w:r w:rsidRPr="00543093">
        <w:t xml:space="preserve"> dell’accettabilità dei possibili scenari di intervento</w:t>
      </w:r>
      <w:r>
        <w:t xml:space="preserve"> tra i cittadini e le imprese toscane</w:t>
      </w:r>
      <w:r w:rsidRPr="00543093">
        <w:t>; (iv) tradurre i risultati in implicazioni di policy concrete per la programmazione regionale.</w:t>
      </w:r>
    </w:p>
    <w:p w14:paraId="2C946DD5" w14:textId="77777777" w:rsidR="0083448D" w:rsidRDefault="0083448D" w:rsidP="0083448D">
      <w:r>
        <w:t xml:space="preserve">La ricerca ha adottato un disegno misto quali-quantitativo articolato in fasi sequenziali. Nella fase esplorativa è stata condotta un’analisi sistematica della letteratura scientifica sulla mobilità, approfondendo in particolare gli aspetti ambientali, infrastrutturali e comportamentali. L’attenzione si è concentrata sul contributo della metodologia LCA (Life </w:t>
      </w:r>
      <w:proofErr w:type="spellStart"/>
      <w:r>
        <w:t>Cycle</w:t>
      </w:r>
      <w:proofErr w:type="spellEnd"/>
      <w:r>
        <w:t xml:space="preserve"> </w:t>
      </w:r>
      <w:proofErr w:type="spellStart"/>
      <w:r>
        <w:t>Assessment</w:t>
      </w:r>
      <w:proofErr w:type="spellEnd"/>
      <w:r>
        <w:t>) alla valutazione ambientale delle alternative, sugli effetti dell’ampliamento della capacità stradale sulla domanda di traffico e sulle determinanti dei comportamenti individuali degli utenti.</w:t>
      </w:r>
      <w:r w:rsidRPr="006E58A4">
        <w:t xml:space="preserve"> </w:t>
      </w:r>
      <w:r>
        <w:t>In questa fase è stato esplorato anche il</w:t>
      </w:r>
      <w:r w:rsidRPr="006B42D1">
        <w:t xml:space="preserve"> paradosso di </w:t>
      </w:r>
      <w:proofErr w:type="spellStart"/>
      <w:r w:rsidRPr="006B42D1">
        <w:t>Braess</w:t>
      </w:r>
      <w:proofErr w:type="spellEnd"/>
      <w:r>
        <w:t xml:space="preserve"> (1968) secondo cui </w:t>
      </w:r>
      <w:r w:rsidRPr="006B42D1">
        <w:t xml:space="preserve">l’aggiunta di un nuovo collegamento </w:t>
      </w:r>
      <w:r>
        <w:t>stradale</w:t>
      </w:r>
      <w:r w:rsidRPr="006B42D1">
        <w:t xml:space="preserve"> in una rete di trasporto, invece di ridurre i tempi di viaggio, possa paradossalmente aumentarli per tutti gli utenti a causa di scelte individuali </w:t>
      </w:r>
      <w:r>
        <w:t>orientate al sovra-utilizzo delle nuove infrastrutture</w:t>
      </w:r>
      <w:r w:rsidRPr="006B42D1">
        <w:t>.</w:t>
      </w:r>
      <w:r>
        <w:t xml:space="preserve"> </w:t>
      </w:r>
      <w:r w:rsidRPr="009B11DD">
        <w:t>Gli obiettivi di questa prima esplorazione sono stati due: da un lato individuare domande di ricerca coerenti con le più recenti evidenze teoriche e contenutistiche, dall’altro analizzare le metodologie più adatte a comprendere e indagare gli aspetti di natura comportamentale.</w:t>
      </w:r>
    </w:p>
    <w:p w14:paraId="55464A70" w14:textId="77777777" w:rsidR="0083448D" w:rsidRDefault="0083448D" w:rsidP="0083448D">
      <w:r w:rsidRPr="006E58A4">
        <w:t xml:space="preserve">Parallelamente, il gruppo di ricerca ha svolto </w:t>
      </w:r>
      <w:r w:rsidRPr="006E58A4">
        <w:rPr>
          <w:b/>
          <w:bCs/>
        </w:rPr>
        <w:t>interviste semi-strutturate faccia a faccia</w:t>
      </w:r>
      <w:r w:rsidRPr="006E58A4">
        <w:t xml:space="preserve"> con </w:t>
      </w:r>
      <w:r>
        <w:t>gli stakeholder territoriali</w:t>
      </w:r>
      <w:r w:rsidRPr="006E58A4">
        <w:t xml:space="preserve"> appartenenti </w:t>
      </w:r>
      <w:r>
        <w:t>alle</w:t>
      </w:r>
      <w:r w:rsidRPr="00767F43">
        <w:t xml:space="preserve"> amministrazioni</w:t>
      </w:r>
      <w:r>
        <w:t xml:space="preserve"> regionali e dei comuni del territorio</w:t>
      </w:r>
      <w:r w:rsidRPr="006E58A4">
        <w:t>, aziende a partecipazione pubblica, imprese private e associazioni di categoria</w:t>
      </w:r>
      <w:r>
        <w:t>, selezionando i soggetti maggiormente coinvolti nelle dinamiche dell’asse FI-PI-LI</w:t>
      </w:r>
      <w:r w:rsidRPr="006E58A4">
        <w:t>.</w:t>
      </w:r>
      <w:r>
        <w:t xml:space="preserve"> </w:t>
      </w:r>
      <w:r w:rsidRPr="006E58A4">
        <w:t xml:space="preserve">Sono state </w:t>
      </w:r>
      <w:r>
        <w:t>effettuate</w:t>
      </w:r>
      <w:r w:rsidRPr="006E58A4">
        <w:t xml:space="preserve"> 14 interviste approfondite </w:t>
      </w:r>
      <w:r>
        <w:t>fino a raggiungere la condizione di</w:t>
      </w:r>
      <w:r w:rsidRPr="006E58A4">
        <w:t xml:space="preserve"> saturazione informativa</w:t>
      </w:r>
      <w:r>
        <w:t>. L’obiettivo delle interviste è stata la ricostruzione delle principali caratteristiche e criticità locali della SGC FI-PI-LI, nonché comprendere e situare le evidenze della letteratura scientifica nel contesto di mobilità locale.</w:t>
      </w:r>
      <w:r w:rsidRPr="006E58A4">
        <w:t xml:space="preserve"> I contenuti raccolti</w:t>
      </w:r>
      <w:r>
        <w:t xml:space="preserve"> in questa fase</w:t>
      </w:r>
      <w:r w:rsidRPr="006E58A4">
        <w:t xml:space="preserve"> hanno informato la costruzione di tre scenari di </w:t>
      </w:r>
      <w:r>
        <w:t>intervento per la mobilità regionale</w:t>
      </w:r>
      <w:r w:rsidRPr="006E58A4">
        <w:t xml:space="preserve">: </w:t>
      </w:r>
      <w:r w:rsidRPr="006E58A4">
        <w:rPr>
          <w:i/>
          <w:iCs/>
        </w:rPr>
        <w:t>BAU</w:t>
      </w:r>
      <w:r w:rsidRPr="006E58A4">
        <w:t xml:space="preserve"> (interventi minimi / status quo), </w:t>
      </w:r>
      <w:r w:rsidRPr="00FA6855">
        <w:rPr>
          <w:i/>
          <w:iCs/>
        </w:rPr>
        <w:t>Potenziamento</w:t>
      </w:r>
      <w:r>
        <w:t xml:space="preserve"> </w:t>
      </w:r>
      <w:r w:rsidRPr="006E58A4">
        <w:rPr>
          <w:i/>
          <w:iCs/>
        </w:rPr>
        <w:t>Stradale</w:t>
      </w:r>
      <w:r w:rsidRPr="006E58A4">
        <w:t xml:space="preserve"> (potenziamento dell’</w:t>
      </w:r>
      <w:r>
        <w:t>infrastruttura stradale</w:t>
      </w:r>
      <w:r w:rsidRPr="006E58A4">
        <w:t xml:space="preserve">) e </w:t>
      </w:r>
      <w:r w:rsidRPr="00832B53">
        <w:rPr>
          <w:i/>
          <w:iCs/>
        </w:rPr>
        <w:t>Potenziamento</w:t>
      </w:r>
      <w:r>
        <w:t xml:space="preserve"> </w:t>
      </w:r>
      <w:r w:rsidRPr="006E58A4">
        <w:rPr>
          <w:i/>
          <w:iCs/>
        </w:rPr>
        <w:t>Contestuale</w:t>
      </w:r>
      <w:r w:rsidRPr="006E58A4">
        <w:t xml:space="preserve"> (rafforzamento del trasporto pubblico</w:t>
      </w:r>
      <w:r>
        <w:t>, su gomma e rotaia,</w:t>
      </w:r>
      <w:r w:rsidRPr="006E58A4">
        <w:t xml:space="preserve"> e misure per la mobilità sostenibile e l’intermodalità).</w:t>
      </w:r>
      <w:r>
        <w:t xml:space="preserve"> </w:t>
      </w:r>
    </w:p>
    <w:p w14:paraId="04A27E29" w14:textId="77777777" w:rsidR="0083448D" w:rsidRDefault="0083448D" w:rsidP="0083448D">
      <w:pPr>
        <w:pStyle w:val="Paragrafoelenco"/>
        <w:numPr>
          <w:ilvl w:val="0"/>
          <w:numId w:val="1"/>
        </w:numPr>
        <w:spacing w:line="259" w:lineRule="auto"/>
      </w:pPr>
      <w:r w:rsidRPr="006E58A4">
        <w:rPr>
          <w:i/>
          <w:iCs/>
        </w:rPr>
        <w:lastRenderedPageBreak/>
        <w:t xml:space="preserve">BAU (Business </w:t>
      </w:r>
      <w:proofErr w:type="spellStart"/>
      <w:r w:rsidRPr="006E58A4">
        <w:rPr>
          <w:i/>
          <w:iCs/>
        </w:rPr>
        <w:t>as</w:t>
      </w:r>
      <w:proofErr w:type="spellEnd"/>
      <w:r w:rsidRPr="006E58A4">
        <w:rPr>
          <w:i/>
          <w:iCs/>
        </w:rPr>
        <w:t xml:space="preserve"> </w:t>
      </w:r>
      <w:proofErr w:type="spellStart"/>
      <w:r w:rsidRPr="006E58A4">
        <w:rPr>
          <w:i/>
          <w:iCs/>
        </w:rPr>
        <w:t>Usual</w:t>
      </w:r>
      <w:proofErr w:type="spellEnd"/>
      <w:r w:rsidRPr="006E58A4">
        <w:rPr>
          <w:i/>
          <w:iCs/>
        </w:rPr>
        <w:t>)</w:t>
      </w:r>
      <w:r w:rsidRPr="006E58A4">
        <w:t>: interventi di carattere manutentivo</w:t>
      </w:r>
      <w:r>
        <w:t>, logica di mantenimento dello status quo</w:t>
      </w:r>
      <w:r w:rsidRPr="006E58A4">
        <w:t>. N</w:t>
      </w:r>
      <w:r>
        <w:t>on avviene n</w:t>
      </w:r>
      <w:r w:rsidRPr="006E58A4">
        <w:t>essuna trasformazione strutturale dell’asse</w:t>
      </w:r>
      <w:r>
        <w:t xml:space="preserve"> stradale, né di potenziamento del trasporto pubblico.</w:t>
      </w:r>
    </w:p>
    <w:p w14:paraId="68CEABB5" w14:textId="77777777" w:rsidR="0083448D" w:rsidRDefault="0083448D" w:rsidP="0083448D">
      <w:pPr>
        <w:pStyle w:val="Paragrafoelenco"/>
        <w:numPr>
          <w:ilvl w:val="0"/>
          <w:numId w:val="1"/>
        </w:numPr>
        <w:spacing w:line="259" w:lineRule="auto"/>
      </w:pPr>
      <w:r w:rsidRPr="006E58A4">
        <w:rPr>
          <w:i/>
          <w:iCs/>
        </w:rPr>
        <w:t>Potenziamento Stradale</w:t>
      </w:r>
      <w:r w:rsidRPr="006E58A4">
        <w:t xml:space="preserve">: </w:t>
      </w:r>
      <w:r>
        <w:t xml:space="preserve">lo scenario prevede la realizzazione della </w:t>
      </w:r>
      <w:r w:rsidRPr="006E58A4">
        <w:t>terza corsia lungo il tracciato</w:t>
      </w:r>
      <w:r>
        <w:t xml:space="preserve"> della FI-PI-LI</w:t>
      </w:r>
      <w:r w:rsidRPr="006E58A4">
        <w:t xml:space="preserve">, </w:t>
      </w:r>
      <w:r>
        <w:t xml:space="preserve">l’inserimento del </w:t>
      </w:r>
      <w:r w:rsidRPr="006E58A4">
        <w:t xml:space="preserve">pedaggio elettronico free-flow per mezzi pesanti, </w:t>
      </w:r>
      <w:r>
        <w:t xml:space="preserve">il </w:t>
      </w:r>
      <w:r w:rsidRPr="006E58A4">
        <w:t>potenziamento nodi e piazzole di sosta</w:t>
      </w:r>
      <w:r>
        <w:t xml:space="preserve">, con l’obiettivo ultimo di </w:t>
      </w:r>
      <w:r w:rsidRPr="006E58A4">
        <w:t xml:space="preserve">migliorare </w:t>
      </w:r>
      <w:r>
        <w:t>congestionamenti</w:t>
      </w:r>
      <w:r w:rsidRPr="006E58A4">
        <w:t xml:space="preserve"> e sicurezza</w:t>
      </w:r>
      <w:r>
        <w:t>.</w:t>
      </w:r>
      <w:r w:rsidRPr="006E58A4">
        <w:t xml:space="preserve"> </w:t>
      </w:r>
      <w:r>
        <w:t>Un simile intervento comporta tuttavia dei trade-off significativi legati</w:t>
      </w:r>
      <w:r w:rsidRPr="00B65F11">
        <w:t xml:space="preserve"> a elevati costi di realizzazione, al consumo di suolo, agli impatti ambientali e alla lunga durata dei cantieri.</w:t>
      </w:r>
    </w:p>
    <w:p w14:paraId="5B9E1D2A" w14:textId="77777777" w:rsidR="0083448D" w:rsidRDefault="0083448D" w:rsidP="0083448D">
      <w:pPr>
        <w:pStyle w:val="Paragrafoelenco"/>
        <w:numPr>
          <w:ilvl w:val="0"/>
          <w:numId w:val="1"/>
        </w:numPr>
        <w:spacing w:line="259" w:lineRule="auto"/>
      </w:pPr>
      <w:r w:rsidRPr="006E58A4">
        <w:rPr>
          <w:i/>
          <w:iCs/>
        </w:rPr>
        <w:t>Potenziamento Contestuale</w:t>
      </w:r>
      <w:r w:rsidRPr="006E58A4">
        <w:t xml:space="preserve">: </w:t>
      </w:r>
      <w:r>
        <w:t xml:space="preserve">in questo scenario si prevede un </w:t>
      </w:r>
      <w:r w:rsidRPr="006E58A4">
        <w:t xml:space="preserve">forte </w:t>
      </w:r>
      <w:r>
        <w:t>potenziamento</w:t>
      </w:r>
      <w:r w:rsidRPr="006E58A4">
        <w:t xml:space="preserve"> del</w:t>
      </w:r>
      <w:r>
        <w:t xml:space="preserve">le principali alternative di </w:t>
      </w:r>
      <w:r w:rsidRPr="006E58A4">
        <w:t xml:space="preserve">trasporto pubblico, </w:t>
      </w:r>
      <w:r>
        <w:t xml:space="preserve">la realizzazione di </w:t>
      </w:r>
      <w:r w:rsidRPr="006E58A4">
        <w:t xml:space="preserve">hub intermodali, incentivi per </w:t>
      </w:r>
      <w:r>
        <w:t>l’intermodalità (i.e. integrazione bici e treno)</w:t>
      </w:r>
      <w:r w:rsidRPr="006E58A4">
        <w:t xml:space="preserve"> e </w:t>
      </w:r>
      <w:r>
        <w:t xml:space="preserve">una </w:t>
      </w:r>
      <w:r w:rsidRPr="006E58A4">
        <w:t xml:space="preserve">piattaforma </w:t>
      </w:r>
      <w:proofErr w:type="spellStart"/>
      <w:r w:rsidRPr="006E58A4">
        <w:t>MaaS</w:t>
      </w:r>
      <w:proofErr w:type="spellEnd"/>
      <w:r>
        <w:t xml:space="preserve"> per mobilità regionale integrata e più sostenibile</w:t>
      </w:r>
      <w:r w:rsidRPr="006E58A4">
        <w:t xml:space="preserve">. </w:t>
      </w:r>
      <w:r>
        <w:t xml:space="preserve">Tuttavia, </w:t>
      </w:r>
      <w:r w:rsidRPr="00767F43">
        <w:t>affinché tale</w:t>
      </w:r>
      <w:r>
        <w:t xml:space="preserve"> evoluzione possa </w:t>
      </w:r>
      <w:r w:rsidRPr="00767F43">
        <w:t>risultare pienamente efficace,</w:t>
      </w:r>
      <w:r>
        <w:t xml:space="preserve"> è necessario un</w:t>
      </w:r>
      <w:r w:rsidRPr="00767F43">
        <w:t xml:space="preserve"> profondo ripensamento della mobilità regionale, capace di innescare cambiamenti comportamentali che potrebbero rivelarsi difficili da accettare.</w:t>
      </w:r>
    </w:p>
    <w:p w14:paraId="5BD1A900" w14:textId="77777777" w:rsidR="0083448D" w:rsidRDefault="0083448D" w:rsidP="0083448D">
      <w:r w:rsidRPr="006E58A4">
        <w:t>Sulla base degli scenari sono stati somministrat</w:t>
      </w:r>
      <w:r>
        <w:t>e</w:t>
      </w:r>
      <w:r w:rsidRPr="006E58A4">
        <w:t xml:space="preserve"> </w:t>
      </w:r>
      <w:r>
        <w:t>2 web-survey,</w:t>
      </w:r>
      <w:r w:rsidRPr="006E58A4">
        <w:t xml:space="preserve"> a cittadini e a imprese. Sul fronte cittadini sono state raccolte </w:t>
      </w:r>
      <w:r w:rsidRPr="006E58A4">
        <w:rPr>
          <w:b/>
          <w:bCs/>
        </w:rPr>
        <w:t>1995 risposte valide</w:t>
      </w:r>
      <w:r>
        <w:t>, mentre</w:t>
      </w:r>
      <w:r w:rsidRPr="006E58A4">
        <w:t xml:space="preserve"> </w:t>
      </w:r>
      <w:r>
        <w:t>lato</w:t>
      </w:r>
      <w:r w:rsidRPr="006E58A4">
        <w:t xml:space="preserve"> imprese </w:t>
      </w:r>
      <w:r>
        <w:t xml:space="preserve">sono state collezionate </w:t>
      </w:r>
      <w:r w:rsidRPr="006C31AE">
        <w:rPr>
          <w:b/>
          <w:bCs/>
        </w:rPr>
        <w:t>134</w:t>
      </w:r>
      <w:r>
        <w:t xml:space="preserve"> risposte valide</w:t>
      </w:r>
      <w:r w:rsidRPr="006E58A4">
        <w:t>. L’analisi quantitativa</w:t>
      </w:r>
      <w:r>
        <w:t xml:space="preserve"> dei dataset</w:t>
      </w:r>
      <w:r w:rsidRPr="006E58A4">
        <w:t xml:space="preserve"> ha combinato statistiche descrittive, </w:t>
      </w:r>
      <w:r w:rsidRPr="006E58A4">
        <w:rPr>
          <w:b/>
          <w:bCs/>
        </w:rPr>
        <w:t xml:space="preserve">clustering </w:t>
      </w:r>
      <w:r w:rsidRPr="006E58A4">
        <w:t xml:space="preserve">per identificare profili omogenei, </w:t>
      </w:r>
      <w:r w:rsidRPr="006E58A4">
        <w:rPr>
          <w:b/>
          <w:bCs/>
        </w:rPr>
        <w:t>regressioni multivariate</w:t>
      </w:r>
      <w:r w:rsidRPr="006E58A4">
        <w:t xml:space="preserve"> per stimare gli effetti parziali delle attitudini e delle caratteristiche socio-demografiche, e </w:t>
      </w:r>
      <w:proofErr w:type="spellStart"/>
      <w:r w:rsidRPr="006E58A4">
        <w:rPr>
          <w:b/>
          <w:bCs/>
        </w:rPr>
        <w:t>Propensity</w:t>
      </w:r>
      <w:proofErr w:type="spellEnd"/>
      <w:r w:rsidRPr="006E58A4">
        <w:rPr>
          <w:b/>
          <w:bCs/>
        </w:rPr>
        <w:t xml:space="preserve"> Score Matching (PSM)</w:t>
      </w:r>
      <w:r w:rsidRPr="006E58A4">
        <w:t xml:space="preserve"> per </w:t>
      </w:r>
      <w:r>
        <w:t xml:space="preserve">stimare l’effetto di trattamento </w:t>
      </w:r>
      <w:r w:rsidRPr="006E58A4">
        <w:t>di singole</w:t>
      </w:r>
      <w:r>
        <w:t xml:space="preserve"> variabili</w:t>
      </w:r>
      <w:r w:rsidRPr="006E58A4">
        <w:t xml:space="preserve"> attitudin</w:t>
      </w:r>
      <w:r>
        <w:t>ali</w:t>
      </w:r>
      <w:r w:rsidRPr="006E58A4">
        <w:t>/comportament</w:t>
      </w:r>
      <w:r>
        <w:t>al</w:t>
      </w:r>
      <w:r w:rsidRPr="006E58A4">
        <w:t xml:space="preserve">i sull’accettabilità degli scenari, </w:t>
      </w:r>
      <w:r>
        <w:t>al fine di isolare effetti di causazione.</w:t>
      </w:r>
    </w:p>
    <w:p w14:paraId="154D4F8D" w14:textId="77777777" w:rsidR="0083448D" w:rsidRDefault="0083448D" w:rsidP="0083448D">
      <w:r>
        <w:t>I risultati del progetto hanno portato ad identificare dei profili distinti nella popolazione che propendono verso scenari differenti (</w:t>
      </w:r>
      <w:r w:rsidRPr="00B1374A">
        <w:rPr>
          <w:i/>
          <w:iCs/>
        </w:rPr>
        <w:t>Figura 1</w:t>
      </w:r>
      <w:r>
        <w:t xml:space="preserve">). </w:t>
      </w:r>
      <w:r w:rsidRPr="00B2026A">
        <w:t xml:space="preserve">I </w:t>
      </w:r>
      <w:r w:rsidRPr="00B2026A">
        <w:rPr>
          <w:b/>
          <w:bCs/>
        </w:rPr>
        <w:t>giovani</w:t>
      </w:r>
      <w:r>
        <w:rPr>
          <w:b/>
        </w:rPr>
        <w:t xml:space="preserve"> con un grado di istruzione elevato</w:t>
      </w:r>
      <w:r w:rsidRPr="00B2026A">
        <w:t xml:space="preserve"> </w:t>
      </w:r>
      <w:r>
        <w:t xml:space="preserve">(C1 e C4) </w:t>
      </w:r>
      <w:r w:rsidRPr="00B2026A">
        <w:t xml:space="preserve">favoriscono nettamente </w:t>
      </w:r>
      <w:r>
        <w:t xml:space="preserve">lo scenario </w:t>
      </w:r>
      <w:r w:rsidRPr="007E433E">
        <w:rPr>
          <w:i/>
        </w:rPr>
        <w:t>Potenziamento Contestuale</w:t>
      </w:r>
      <w:r>
        <w:t xml:space="preserve"> ed in special maniera le sue implicazioni per la collettività (accettabilità collettiva 72% C1-69% C4; utilità individuale</w:t>
      </w:r>
      <w:r w:rsidRPr="00B2026A">
        <w:t xml:space="preserve"> </w:t>
      </w:r>
      <w:r>
        <w:t>69 C1-68% C4)</w:t>
      </w:r>
      <w:r w:rsidRPr="00B2026A">
        <w:t xml:space="preserve"> gli </w:t>
      </w:r>
      <w:r w:rsidRPr="00B2026A">
        <w:rPr>
          <w:b/>
          <w:bCs/>
        </w:rPr>
        <w:t>adulti di mezza età</w:t>
      </w:r>
      <w:r>
        <w:t xml:space="preserve"> e di grado di istruzione più basso (C3) </w:t>
      </w:r>
      <w:r w:rsidRPr="00B2026A">
        <w:t xml:space="preserve">privilegiano </w:t>
      </w:r>
      <w:r>
        <w:t>il</w:t>
      </w:r>
      <w:r w:rsidRPr="00B2026A">
        <w:t xml:space="preserve"> </w:t>
      </w:r>
      <w:r w:rsidRPr="00824D8B">
        <w:rPr>
          <w:i/>
        </w:rPr>
        <w:t xml:space="preserve">Potenziamento </w:t>
      </w:r>
      <w:r w:rsidRPr="00B2026A">
        <w:rPr>
          <w:i/>
          <w:iCs/>
        </w:rPr>
        <w:t>Stradale</w:t>
      </w:r>
      <w:r>
        <w:rPr>
          <w:i/>
          <w:iCs/>
        </w:rPr>
        <w:t xml:space="preserve">, </w:t>
      </w:r>
      <w:r w:rsidRPr="00B2026A">
        <w:t>particolarmente in termini di utilità individuale</w:t>
      </w:r>
      <w:r>
        <w:t xml:space="preserve"> (accettabilità collettiva 65%; utilità individuale 68%)</w:t>
      </w:r>
      <w:r w:rsidRPr="00B2026A">
        <w:t xml:space="preserve">; gli </w:t>
      </w:r>
      <w:r>
        <w:rPr>
          <w:b/>
          <w:bCs/>
        </w:rPr>
        <w:t>ultrasessantenni</w:t>
      </w:r>
      <w:r w:rsidRPr="00B2026A">
        <w:t xml:space="preserve"> </w:t>
      </w:r>
      <w:r w:rsidRPr="005D2E90">
        <w:t xml:space="preserve">rimangono complessivamente meno favorevoli a </w:t>
      </w:r>
      <w:r>
        <w:t>tutti gli scenari, pur mostrando differenze di accettabilità meno marcate rispetto agli altri gruppi (</w:t>
      </w:r>
      <w:r w:rsidRPr="00B1374A">
        <w:rPr>
          <w:i/>
          <w:iCs/>
        </w:rPr>
        <w:t>Figura 1</w:t>
      </w:r>
      <w:r>
        <w:t xml:space="preserve">). </w:t>
      </w:r>
    </w:p>
    <w:p w14:paraId="51F192F0" w14:textId="77777777" w:rsidR="0083448D" w:rsidRDefault="0083448D" w:rsidP="0083448D">
      <w:r>
        <w:t xml:space="preserve">Per quanto riguarda l’analisi regressiva dei predittori attitudinali e comportamentali dell’accettabilità degli scenari, nel BAU hanno effetto positivo la </w:t>
      </w:r>
      <w:r w:rsidRPr="00B2026A">
        <w:t>fiducia nelle istituzioni</w:t>
      </w:r>
      <w:r>
        <w:t xml:space="preserve"> (41%)</w:t>
      </w:r>
      <w:r w:rsidRPr="00B2026A">
        <w:t xml:space="preserve">, </w:t>
      </w:r>
      <w:r>
        <w:t>la dipendenza dall’auto (8%)</w:t>
      </w:r>
      <w:r w:rsidRPr="00B2026A">
        <w:t xml:space="preserve">, </w:t>
      </w:r>
      <w:r>
        <w:t>e l’attitudine ai trasporti pubblici (6%),</w:t>
      </w:r>
      <w:r w:rsidRPr="00B2026A">
        <w:t xml:space="preserve"> ma </w:t>
      </w:r>
      <w:r>
        <w:t xml:space="preserve">risulta </w:t>
      </w:r>
      <w:r w:rsidRPr="00B2026A">
        <w:t xml:space="preserve">fortemente </w:t>
      </w:r>
      <w:r>
        <w:t>negativo</w:t>
      </w:r>
      <w:r w:rsidRPr="00B2026A">
        <w:t xml:space="preserve"> </w:t>
      </w:r>
      <w:r>
        <w:t xml:space="preserve">l’effetto </w:t>
      </w:r>
      <w:r w:rsidRPr="00B2026A">
        <w:t>d</w:t>
      </w:r>
      <w:r>
        <w:t>e</w:t>
      </w:r>
      <w:r w:rsidRPr="00B2026A">
        <w:t xml:space="preserve">lla </w:t>
      </w:r>
      <w:r w:rsidRPr="00B2026A">
        <w:rPr>
          <w:b/>
          <w:bCs/>
        </w:rPr>
        <w:t>preoccupazione per la s</w:t>
      </w:r>
      <w:r>
        <w:rPr>
          <w:b/>
          <w:bCs/>
        </w:rPr>
        <w:t xml:space="preserve">icurezza stradale </w:t>
      </w:r>
      <w:r>
        <w:t>(-14%)</w:t>
      </w:r>
      <w:r w:rsidRPr="00B2026A">
        <w:t>, segnalando che molti percepiscono lo status quo come poco sicuro e richiedono interventi.</w:t>
      </w:r>
      <w:r>
        <w:t xml:space="preserve"> L’accettazione dello scenario </w:t>
      </w:r>
      <w:r>
        <w:rPr>
          <w:i/>
          <w:iCs/>
        </w:rPr>
        <w:t>S</w:t>
      </w:r>
      <w:r w:rsidRPr="00B2026A">
        <w:rPr>
          <w:i/>
          <w:iCs/>
        </w:rPr>
        <w:t>tradale</w:t>
      </w:r>
      <w:r>
        <w:rPr>
          <w:i/>
          <w:iCs/>
        </w:rPr>
        <w:t xml:space="preserve"> </w:t>
      </w:r>
      <w:r w:rsidRPr="00B2026A">
        <w:t xml:space="preserve">aumenta significativamente tra chi ha </w:t>
      </w:r>
      <w:r>
        <w:t xml:space="preserve">elevata </w:t>
      </w:r>
      <w:r>
        <w:rPr>
          <w:b/>
        </w:rPr>
        <w:t xml:space="preserve">dipendenza dall’utilizzo dell’auto </w:t>
      </w:r>
      <w:r>
        <w:rPr>
          <w:bCs/>
        </w:rPr>
        <w:t>(14%)</w:t>
      </w:r>
      <w:r w:rsidRPr="00B2026A">
        <w:t xml:space="preserve"> e usa abitualmente la FI-PI-LI</w:t>
      </w:r>
      <w:r>
        <w:t xml:space="preserve"> (8%), e si configura principalmente come utilità individuale percepita. L’accettabilità dello scenario </w:t>
      </w:r>
      <w:r>
        <w:rPr>
          <w:i/>
          <w:iCs/>
        </w:rPr>
        <w:t>Contestuale</w:t>
      </w:r>
      <w:r>
        <w:t xml:space="preserve"> </w:t>
      </w:r>
      <w:r w:rsidRPr="00B2026A">
        <w:t>è trainat</w:t>
      </w:r>
      <w:r>
        <w:t>a</w:t>
      </w:r>
      <w:r w:rsidRPr="00B2026A">
        <w:t xml:space="preserve"> da</w:t>
      </w:r>
      <w:r>
        <w:t xml:space="preserve">lla </w:t>
      </w:r>
      <w:r w:rsidRPr="00B2026A">
        <w:t>propensione all’uso della bici</w:t>
      </w:r>
      <w:r>
        <w:t xml:space="preserve"> (6%)</w:t>
      </w:r>
      <w:r w:rsidRPr="00B2026A">
        <w:t xml:space="preserve"> e del trasporto pubblico</w:t>
      </w:r>
      <w:r>
        <w:t xml:space="preserve"> (6%)</w:t>
      </w:r>
      <w:r w:rsidRPr="00B2026A">
        <w:t xml:space="preserve"> e apertura al cambiamento</w:t>
      </w:r>
      <w:r>
        <w:t xml:space="preserve"> (10%),</w:t>
      </w:r>
      <w:r w:rsidRPr="00B2026A">
        <w:t xml:space="preserve"> mostra</w:t>
      </w:r>
      <w:r>
        <w:t>ndo forti</w:t>
      </w:r>
      <w:r w:rsidRPr="00B2026A">
        <w:t xml:space="preserve"> effetti positivi </w:t>
      </w:r>
      <w:r>
        <w:t xml:space="preserve">anche </w:t>
      </w:r>
      <w:r w:rsidRPr="00B2026A">
        <w:t xml:space="preserve">su percezione di </w:t>
      </w:r>
      <w:r>
        <w:t xml:space="preserve">sicurezza (22%). Nel complesso, pertanto, non si evidenzia uno scenario che raccoglie consenso generalizzato: </w:t>
      </w:r>
      <w:r w:rsidRPr="00B2026A">
        <w:t xml:space="preserve">il </w:t>
      </w:r>
      <w:r w:rsidRPr="00B2026A">
        <w:rPr>
          <w:i/>
          <w:iCs/>
        </w:rPr>
        <w:t>BAU</w:t>
      </w:r>
      <w:r w:rsidRPr="00B2026A">
        <w:t xml:space="preserve"> </w:t>
      </w:r>
      <w:r>
        <w:t>è generalmente meno preferito ed</w:t>
      </w:r>
      <w:r w:rsidRPr="00B2026A">
        <w:t xml:space="preserve"> è vulnerabile alla critica sulla </w:t>
      </w:r>
      <w:r>
        <w:t xml:space="preserve">sicurezza stradale, mentre gli scenari </w:t>
      </w:r>
      <w:r w:rsidRPr="00531403">
        <w:rPr>
          <w:i/>
          <w:iCs/>
        </w:rPr>
        <w:t>Potenziamento</w:t>
      </w:r>
      <w:r>
        <w:t xml:space="preserve"> </w:t>
      </w:r>
      <w:r w:rsidRPr="00B2026A">
        <w:rPr>
          <w:i/>
          <w:iCs/>
        </w:rPr>
        <w:t>Stradale</w:t>
      </w:r>
      <w:r w:rsidRPr="00B2026A">
        <w:t xml:space="preserve"> e </w:t>
      </w:r>
      <w:r w:rsidRPr="00B2026A">
        <w:rPr>
          <w:i/>
          <w:iCs/>
        </w:rPr>
        <w:t>Contestuale</w:t>
      </w:r>
      <w:r w:rsidRPr="00B2026A">
        <w:t xml:space="preserve"> rispondono a logiche specifiche, coerenti con pratiche e attitudini individuali</w:t>
      </w:r>
      <w:r>
        <w:t xml:space="preserve"> differenti. L’impiego della tecnica di PSM, impiegata per isolare l’effetto medio singolo di ogni variabile attitudinale/comportamentale sugli </w:t>
      </w:r>
      <w:proofErr w:type="spellStart"/>
      <w:r>
        <w:t>outcome</w:t>
      </w:r>
      <w:proofErr w:type="spellEnd"/>
      <w:r>
        <w:t>, ha permesso di confermare e rafforzare le suddette evidenze, dando maggiore rilevanza statistica alle relazioni individuate.</w:t>
      </w:r>
    </w:p>
    <w:p w14:paraId="3B9EDC4D" w14:textId="77777777" w:rsidR="0083448D" w:rsidRDefault="0083448D" w:rsidP="0083448D">
      <w:r>
        <w:lastRenderedPageBreak/>
        <w:t xml:space="preserve">Lato imprese, si conferma l’assenza di una polarizzazione generalizzata, bensì si evidenziano in questo caso tendenze settoriali e dimensionali: lo scenario </w:t>
      </w:r>
      <w:r>
        <w:rPr>
          <w:i/>
          <w:iCs/>
        </w:rPr>
        <w:t xml:space="preserve">Stradale </w:t>
      </w:r>
      <w:r>
        <w:t xml:space="preserve">è preferito dal comparto industriale/manifatturiero (43,9%) e il suo gradimento aumenta all’aumentare della dimensione dell’impresa (nessun dipendente 33,33%; 250 o più 62,5%); lo scenario </w:t>
      </w:r>
      <w:r>
        <w:rPr>
          <w:i/>
          <w:iCs/>
        </w:rPr>
        <w:t xml:space="preserve">Contestuale </w:t>
      </w:r>
      <w:r w:rsidRPr="00D62B73">
        <w:t>è invece preferito nei settori del commercio</w:t>
      </w:r>
      <w:r>
        <w:t xml:space="preserve"> (46,15%)</w:t>
      </w:r>
      <w:r w:rsidRPr="00D62B73">
        <w:t>, dei servizi</w:t>
      </w:r>
      <w:r>
        <w:t xml:space="preserve"> (38%)</w:t>
      </w:r>
      <w:r w:rsidRPr="00D62B73">
        <w:t>, istruzione e sanità</w:t>
      </w:r>
      <w:r>
        <w:t xml:space="preserve"> (45,5%), riscontrando successo in particolar modo nella piccola impresa (44,4%).</w:t>
      </w:r>
    </w:p>
    <w:p w14:paraId="58764B04" w14:textId="3B45D6C6" w:rsidR="0083448D" w:rsidRPr="008C7C72" w:rsidRDefault="0083448D" w:rsidP="0083448D">
      <w:pPr>
        <w:pStyle w:val="Didascalia"/>
        <w:jc w:val="center"/>
        <w:rPr>
          <w:sz w:val="20"/>
          <w:szCs w:val="20"/>
        </w:rPr>
      </w:pPr>
      <w:bookmarkStart w:id="1" w:name="_Toc214380587"/>
      <w:r w:rsidRPr="008C7C72">
        <w:rPr>
          <w:sz w:val="20"/>
          <w:szCs w:val="20"/>
        </w:rPr>
        <w:t xml:space="preserve">Figura </w:t>
      </w:r>
      <w:r>
        <w:rPr>
          <w:sz w:val="20"/>
          <w:szCs w:val="20"/>
        </w:rPr>
        <w:fldChar w:fldCharType="begin"/>
      </w:r>
      <w:r>
        <w:rPr>
          <w:sz w:val="20"/>
          <w:szCs w:val="20"/>
        </w:rPr>
        <w:instrText xml:space="preserve"> SEQ Figura \* ARABIC </w:instrText>
      </w:r>
      <w:r>
        <w:rPr>
          <w:sz w:val="20"/>
          <w:szCs w:val="20"/>
        </w:rPr>
        <w:fldChar w:fldCharType="separate"/>
      </w:r>
      <w:r w:rsidR="007D224F">
        <w:rPr>
          <w:noProof/>
          <w:sz w:val="20"/>
          <w:szCs w:val="20"/>
        </w:rPr>
        <w:t>1</w:t>
      </w:r>
      <w:r>
        <w:rPr>
          <w:sz w:val="20"/>
          <w:szCs w:val="20"/>
        </w:rPr>
        <w:fldChar w:fldCharType="end"/>
      </w:r>
      <w:r w:rsidRPr="008C7C72">
        <w:rPr>
          <w:sz w:val="20"/>
          <w:szCs w:val="20"/>
        </w:rPr>
        <w:t xml:space="preserve">: Panoramica dei principali risultati del progetto SAMPLE. Nota: i livelli medi di accettabilità ed utilità degli scenari sono stati convertiti in percentuali per facilità di lettura da un’originale scala </w:t>
      </w:r>
      <w:proofErr w:type="spellStart"/>
      <w:r w:rsidRPr="008C7C72">
        <w:rPr>
          <w:sz w:val="20"/>
          <w:szCs w:val="20"/>
        </w:rPr>
        <w:t>Likert</w:t>
      </w:r>
      <w:proofErr w:type="spellEnd"/>
      <w:r w:rsidRPr="008C7C72">
        <w:rPr>
          <w:sz w:val="20"/>
          <w:szCs w:val="20"/>
        </w:rPr>
        <w:t xml:space="preserve"> 1-7</w:t>
      </w:r>
      <w:bookmarkEnd w:id="1"/>
    </w:p>
    <w:p w14:paraId="4D28B883" w14:textId="77777777" w:rsidR="0083448D" w:rsidRDefault="0083448D" w:rsidP="0083448D">
      <w:pPr>
        <w:keepNext/>
      </w:pPr>
      <w:r>
        <w:rPr>
          <w:noProof/>
        </w:rPr>
        <w:drawing>
          <wp:inline distT="0" distB="0" distL="0" distR="0" wp14:anchorId="6219C9AC" wp14:editId="125AAE65">
            <wp:extent cx="5714657" cy="3379812"/>
            <wp:effectExtent l="0" t="0" r="635" b="0"/>
            <wp:docPr id="7074322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32255" name="Immagine 1"/>
                    <pic:cNvPicPr>
                      <a:picLocks noChangeAspect="1" noChangeArrowheads="1"/>
                    </pic:cNvPicPr>
                  </pic:nvPicPr>
                  <pic:blipFill>
                    <a:blip r:embed="rId7">
                      <a:extLst>
                        <a:ext uri="{96DAC541-7B7A-43D3-8B79-37D633B846F1}">
                          <asvg:svgBlip xmlns:asvg="http://schemas.microsoft.com/office/drawing/2016/SVG/main" r:embed="rId8"/>
                        </a:ext>
                      </a:extLst>
                    </a:blip>
                    <a:stretch>
                      <a:fillRect/>
                    </a:stretch>
                  </pic:blipFill>
                  <pic:spPr bwMode="auto">
                    <a:xfrm>
                      <a:off x="0" y="0"/>
                      <a:ext cx="5714657" cy="3379812"/>
                    </a:xfrm>
                    <a:prstGeom prst="rect">
                      <a:avLst/>
                    </a:prstGeom>
                  </pic:spPr>
                </pic:pic>
              </a:graphicData>
            </a:graphic>
          </wp:inline>
        </w:drawing>
      </w:r>
    </w:p>
    <w:p w14:paraId="2E3B4E2F" w14:textId="77777777" w:rsidR="0083448D" w:rsidRPr="00BD316A" w:rsidRDefault="0083448D" w:rsidP="0083448D">
      <w:r w:rsidRPr="00BD316A">
        <w:t xml:space="preserve">Dall’analisi emerge chiaramente come l’attuale assetto infrastrutturale non raccolga ampi consensi, soprattutto a causa delle preoccupazioni legate alla sicurezza stradale che rendono lo scenario BAU scarsamente accettato, </w:t>
      </w:r>
      <w:r>
        <w:t xml:space="preserve">facendo </w:t>
      </w:r>
      <w:r w:rsidRPr="00BD316A">
        <w:t>diventa</w:t>
      </w:r>
      <w:r>
        <w:t>re</w:t>
      </w:r>
      <w:r w:rsidRPr="00BD316A">
        <w:t xml:space="preserve"> quindi urgente </w:t>
      </w:r>
      <w:r>
        <w:t>l’</w:t>
      </w:r>
      <w:r w:rsidRPr="00BD316A">
        <w:t>interve</w:t>
      </w:r>
      <w:r>
        <w:t>nto</w:t>
      </w:r>
      <w:r w:rsidRPr="00BD316A">
        <w:t xml:space="preserve"> con misure concrete </w:t>
      </w:r>
      <w:r>
        <w:t xml:space="preserve">e sostanziali </w:t>
      </w:r>
      <w:r w:rsidRPr="00BD316A">
        <w:t xml:space="preserve">di potenziamento. Allo stesso tempo si </w:t>
      </w:r>
      <w:r>
        <w:t>assiste</w:t>
      </w:r>
      <w:r w:rsidRPr="00BD316A">
        <w:t xml:space="preserve"> una dinamica generazionale significativa: i giovani mostrano una forte preferenza per il </w:t>
      </w:r>
      <w:r>
        <w:t>p</w:t>
      </w:r>
      <w:r w:rsidRPr="00BD316A">
        <w:t xml:space="preserve">otenziamento Contestuale, mentre l’eventuale scelta di realizzare una terza corsia nella FI-PI-LI, pur sostenuta da parte significativa della popolazione più matura, comporterebbe tempi di realizzazione tali da non garantire benefici agli </w:t>
      </w:r>
      <w:r>
        <w:t>odierni</w:t>
      </w:r>
      <w:r w:rsidRPr="00BD316A">
        <w:t xml:space="preserve"> promotori. Consider</w:t>
      </w:r>
      <w:r>
        <w:t>ando</w:t>
      </w:r>
      <w:r w:rsidRPr="00BD316A">
        <w:t xml:space="preserve"> che i giovani rappresentano gli elettori e gli utenti della mobilità di domani, risulta opportuno che le politiche pubbliche </w:t>
      </w:r>
      <w:r>
        <w:t xml:space="preserve">a lungo termine </w:t>
      </w:r>
      <w:r w:rsidRPr="00BD316A">
        <w:t>tengano conto in maniera prioritaria delle loro esigenze.</w:t>
      </w:r>
    </w:p>
    <w:p w14:paraId="34333DB0" w14:textId="77777777" w:rsidR="0083448D" w:rsidRPr="00BD316A" w:rsidRDefault="0083448D" w:rsidP="0083448D">
      <w:r w:rsidRPr="00BD316A">
        <w:t>Inoltre,</w:t>
      </w:r>
      <w:r>
        <w:t xml:space="preserve"> i risultati mostrano come</w:t>
      </w:r>
      <w:r w:rsidRPr="00BD316A">
        <w:t xml:space="preserve"> lo scenario </w:t>
      </w:r>
      <w:r>
        <w:t>di p</w:t>
      </w:r>
      <w:r w:rsidRPr="00BD316A">
        <w:t xml:space="preserve">otenziamento Stradale non </w:t>
      </w:r>
      <w:r>
        <w:t>riscontri un consenso generalizzato:</w:t>
      </w:r>
      <w:r w:rsidRPr="00BD316A">
        <w:t xml:space="preserve"> se da un lato esso garantisce una chiara utilità individuale</w:t>
      </w:r>
      <w:r>
        <w:t>,</w:t>
      </w:r>
      <w:r w:rsidRPr="00BD316A">
        <w:t xml:space="preserve"> dall’altro risulta divisivo sul piano collettivo e molto più rischioso rispetto al </w:t>
      </w:r>
      <w:r>
        <w:t>p</w:t>
      </w:r>
      <w:r w:rsidRPr="00BD316A">
        <w:t xml:space="preserve">otenziamento Contestuale, a causa degli elevati costi sommersi e dell’impossibilità di riconvertire in futuro le infrastrutture realizzate. Il Contestuale, al contrario, si caratterizza per una maggiore modularità e flessibilità, consentendo margini di manovra superiori grazie a misure incentivanti quali: sconti tariffari, promozione dell’intermodalità tra bici e treno, hub di interscambio e sperimentazioni </w:t>
      </w:r>
      <w:proofErr w:type="spellStart"/>
      <w:r w:rsidRPr="00BD316A">
        <w:t>MaaS</w:t>
      </w:r>
      <w:proofErr w:type="spellEnd"/>
      <w:r w:rsidRPr="00BD316A">
        <w:t>, che favoriscono atteggiamenti più propensi alla mobilità alternativa</w:t>
      </w:r>
      <w:r>
        <w:t xml:space="preserve"> e sostenibile</w:t>
      </w:r>
      <w:r w:rsidRPr="00BD316A">
        <w:t>.</w:t>
      </w:r>
    </w:p>
    <w:p w14:paraId="2CD24FE5" w14:textId="77777777" w:rsidR="0083448D" w:rsidRPr="00BD316A" w:rsidRDefault="0083448D" w:rsidP="0083448D">
      <w:r w:rsidRPr="00BD316A">
        <w:lastRenderedPageBreak/>
        <w:t xml:space="preserve">Infine, la scelta fra i due scenari appare strettamente intrecciata con il modello di sviluppo economico che la Regione Toscana intende perseguire. La riconversione verso un’economia della conoscenza, infatti, passa anche dalla capacità di offrire soluzioni di mobilità sostenibili: i cittadini con livelli più alti di istruzione mostrano una netta preferenza per il Contestuale e la disponibilità di un sistema di trasporti pubblici efficiente può contribuire a trattenere capitale umano qualificato, generando un circolo virtuoso di attrattività. Non a caso, </w:t>
      </w:r>
      <w:r>
        <w:t>lato imprese</w:t>
      </w:r>
      <w:r w:rsidRPr="00BD316A">
        <w:t xml:space="preserve">, i settori che sostengono lo scenario Contestuale sono quelli a maggior valore aggiunto — servizi, istruzione e sanità — mentre il comparto industriale, pur orientato allo scenario Stradale, non beneficerebbe necessariamente di un suo potenziamento, anche alla luce delle implicazioni del paradosso di </w:t>
      </w:r>
      <w:proofErr w:type="spellStart"/>
      <w:r w:rsidRPr="00BD316A">
        <w:t>Braess</w:t>
      </w:r>
      <w:proofErr w:type="spellEnd"/>
      <w:r w:rsidRPr="00BD316A">
        <w:t>. Lo stesso settore, invece, potrebbe trarre vantaggi dal Contestuale attraverso la riduzione degli spostamenti privati</w:t>
      </w:r>
      <w:r>
        <w:t>, che favorirebbero il trasporto merci su gomma,</w:t>
      </w:r>
      <w:r w:rsidRPr="00BD316A">
        <w:t xml:space="preserve"> e un migliore coordinamento tra le diverse modalità di trasporto.</w:t>
      </w:r>
    </w:p>
    <w:p w14:paraId="1B4FDE8F" w14:textId="77777777" w:rsidR="0083448D" w:rsidRDefault="0083448D" w:rsidP="0083448D">
      <w:r w:rsidRPr="007665EB">
        <w:t>Il presente studio si caratterizza per un approccio metodologico rigoroso, che combina strumenti qualitativi e quantitativi al fine di restituire un quadro articolato e robusto delle dinamiche in esame. L’integrazione di più prospettive ha permesso di cogliere tendenze significative e di fornire indicazioni utili a supporto della programmazione regionale. Al tempo stesso, è importante evidenziare alcune limitazioni che invitano a una lettura prudente dei risultati: il campione quantitativo, pur numeroso, non è stratificato né pienamente rappresentativo della popolazione toscana; l’analisi si basa su dati cross-</w:t>
      </w:r>
      <w:proofErr w:type="spellStart"/>
      <w:r w:rsidRPr="007665EB">
        <w:t>sectional</w:t>
      </w:r>
      <w:proofErr w:type="spellEnd"/>
      <w:r w:rsidRPr="007665EB">
        <w:t xml:space="preserve"> e su tecniche osservazionali che, sebbene rafforzino l’affidabilità delle inferenze, non eliminano del tutto il rischio di confondimento non osservato; inoltre, alcune evidenze settoriali devono essere considerate con cautela a causa della dimensione ridotta del campione imprese. </w:t>
      </w:r>
    </w:p>
    <w:p w14:paraId="4C15110B" w14:textId="77777777" w:rsidR="0083448D" w:rsidRDefault="0083448D"/>
    <w:sectPr w:rsidR="0083448D">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63A44" w14:textId="77777777" w:rsidR="0071222C" w:rsidRDefault="0071222C" w:rsidP="007D224F">
      <w:pPr>
        <w:spacing w:after="0" w:line="240" w:lineRule="auto"/>
      </w:pPr>
      <w:r>
        <w:separator/>
      </w:r>
    </w:p>
  </w:endnote>
  <w:endnote w:type="continuationSeparator" w:id="0">
    <w:p w14:paraId="67D3D43C" w14:textId="77777777" w:rsidR="0071222C" w:rsidRDefault="0071222C" w:rsidP="007D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E8CBD" w14:textId="77777777" w:rsidR="0071222C" w:rsidRDefault="0071222C" w:rsidP="007D224F">
      <w:pPr>
        <w:spacing w:after="0" w:line="240" w:lineRule="auto"/>
      </w:pPr>
      <w:r>
        <w:separator/>
      </w:r>
    </w:p>
  </w:footnote>
  <w:footnote w:type="continuationSeparator" w:id="0">
    <w:p w14:paraId="4811D88A" w14:textId="77777777" w:rsidR="0071222C" w:rsidRDefault="0071222C" w:rsidP="007D2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5D4F" w14:textId="722233B9" w:rsidR="007D224F" w:rsidRDefault="007D224F">
    <w:pPr>
      <w:pStyle w:val="Intestazione"/>
    </w:pPr>
    <w:r>
      <w:rPr>
        <w:noProof/>
      </w:rPr>
      <w:drawing>
        <wp:anchor distT="0" distB="0" distL="114300" distR="114300" simplePos="0" relativeHeight="251661312" behindDoc="1" locked="0" layoutInCell="1" allowOverlap="1" wp14:anchorId="25274668" wp14:editId="48DAE527">
          <wp:simplePos x="0" y="0"/>
          <wp:positionH relativeFrom="column">
            <wp:posOffset>4572000</wp:posOffset>
          </wp:positionH>
          <wp:positionV relativeFrom="paragraph">
            <wp:posOffset>-129092</wp:posOffset>
          </wp:positionV>
          <wp:extent cx="1476375" cy="590550"/>
          <wp:effectExtent l="0" t="0" r="9525" b="0"/>
          <wp:wrapThrough wrapText="bothSides">
            <wp:wrapPolygon edited="0">
              <wp:start x="0" y="0"/>
              <wp:lineTo x="0" y="20903"/>
              <wp:lineTo x="21461" y="20903"/>
              <wp:lineTo x="21461" y="0"/>
              <wp:lineTo x="0" y="0"/>
            </wp:wrapPolygon>
          </wp:wrapThrough>
          <wp:docPr id="16678710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6E18158" wp14:editId="542BDEF0">
          <wp:simplePos x="0" y="0"/>
          <wp:positionH relativeFrom="column">
            <wp:posOffset>0</wp:posOffset>
          </wp:positionH>
          <wp:positionV relativeFrom="paragraph">
            <wp:posOffset>-635</wp:posOffset>
          </wp:positionV>
          <wp:extent cx="2543175" cy="462886"/>
          <wp:effectExtent l="0" t="0" r="0" b="0"/>
          <wp:wrapNone/>
          <wp:docPr id="4184659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65987" name="Immagine 2"/>
                  <pic:cNvPicPr>
                    <a:picLocks noChangeAspect="1"/>
                  </pic:cNvPicPr>
                </pic:nvPicPr>
                <pic:blipFill>
                  <a:blip r:embed="rId2" cstate="print"/>
                  <a:srcRect/>
                  <a:stretch>
                    <a:fillRect/>
                  </a:stretch>
                </pic:blipFill>
                <pic:spPr bwMode="auto">
                  <a:xfrm>
                    <a:off x="0" y="0"/>
                    <a:ext cx="2543175" cy="4628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86396C"/>
    <w:multiLevelType w:val="hybridMultilevel"/>
    <w:tmpl w:val="6D502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44621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48D"/>
    <w:rsid w:val="0003403A"/>
    <w:rsid w:val="0071222C"/>
    <w:rsid w:val="007D224F"/>
    <w:rsid w:val="0083448D"/>
    <w:rsid w:val="009708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B58B9"/>
  <w15:chartTrackingRefBased/>
  <w15:docId w15:val="{D57EFF26-1EBC-F84A-8CCA-0AD3D13BA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3448D"/>
    <w:pPr>
      <w:spacing w:line="279" w:lineRule="auto"/>
      <w:jc w:val="both"/>
    </w:pPr>
    <w:rPr>
      <w:kern w:val="0"/>
      <w:sz w:val="22"/>
      <w:szCs w:val="22"/>
      <w14:ligatures w14:val="none"/>
    </w:rPr>
  </w:style>
  <w:style w:type="paragraph" w:styleId="Titolo1">
    <w:name w:val="heading 1"/>
    <w:basedOn w:val="Normale"/>
    <w:next w:val="Normale"/>
    <w:link w:val="Titolo1Carattere"/>
    <w:uiPriority w:val="9"/>
    <w:qFormat/>
    <w:rsid w:val="008344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344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3448D"/>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3448D"/>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3448D"/>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3448D"/>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3448D"/>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3448D"/>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3448D"/>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448D"/>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3448D"/>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3448D"/>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3448D"/>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3448D"/>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3448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3448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3448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3448D"/>
    <w:rPr>
      <w:rFonts w:eastAsiaTheme="majorEastAsia" w:cstheme="majorBidi"/>
      <w:color w:val="272727" w:themeColor="text1" w:themeTint="D8"/>
    </w:rPr>
  </w:style>
  <w:style w:type="paragraph" w:styleId="Titolo">
    <w:name w:val="Title"/>
    <w:basedOn w:val="Normale"/>
    <w:next w:val="Normale"/>
    <w:link w:val="TitoloCarattere"/>
    <w:uiPriority w:val="10"/>
    <w:qFormat/>
    <w:rsid w:val="00834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3448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3448D"/>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3448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3448D"/>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3448D"/>
    <w:rPr>
      <w:i/>
      <w:iCs/>
      <w:color w:val="404040" w:themeColor="text1" w:themeTint="BF"/>
    </w:rPr>
  </w:style>
  <w:style w:type="paragraph" w:styleId="Paragrafoelenco">
    <w:name w:val="List Paragraph"/>
    <w:basedOn w:val="Normale"/>
    <w:uiPriority w:val="34"/>
    <w:qFormat/>
    <w:rsid w:val="0083448D"/>
    <w:pPr>
      <w:ind w:left="720"/>
      <w:contextualSpacing/>
    </w:pPr>
  </w:style>
  <w:style w:type="character" w:styleId="Enfasiintensa">
    <w:name w:val="Intense Emphasis"/>
    <w:basedOn w:val="Carpredefinitoparagrafo"/>
    <w:uiPriority w:val="21"/>
    <w:qFormat/>
    <w:rsid w:val="0083448D"/>
    <w:rPr>
      <w:i/>
      <w:iCs/>
      <w:color w:val="0F4761" w:themeColor="accent1" w:themeShade="BF"/>
    </w:rPr>
  </w:style>
  <w:style w:type="paragraph" w:styleId="Citazioneintensa">
    <w:name w:val="Intense Quote"/>
    <w:basedOn w:val="Normale"/>
    <w:next w:val="Normale"/>
    <w:link w:val="CitazioneintensaCarattere"/>
    <w:uiPriority w:val="30"/>
    <w:qFormat/>
    <w:rsid w:val="008344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3448D"/>
    <w:rPr>
      <w:i/>
      <w:iCs/>
      <w:color w:val="0F4761" w:themeColor="accent1" w:themeShade="BF"/>
    </w:rPr>
  </w:style>
  <w:style w:type="character" w:styleId="Riferimentointenso">
    <w:name w:val="Intense Reference"/>
    <w:basedOn w:val="Carpredefinitoparagrafo"/>
    <w:uiPriority w:val="32"/>
    <w:qFormat/>
    <w:rsid w:val="0083448D"/>
    <w:rPr>
      <w:b/>
      <w:bCs/>
      <w:smallCaps/>
      <w:color w:val="0F4761" w:themeColor="accent1" w:themeShade="BF"/>
      <w:spacing w:val="5"/>
    </w:rPr>
  </w:style>
  <w:style w:type="paragraph" w:styleId="Didascalia">
    <w:name w:val="caption"/>
    <w:basedOn w:val="Normale"/>
    <w:next w:val="Normale"/>
    <w:uiPriority w:val="35"/>
    <w:unhideWhenUsed/>
    <w:qFormat/>
    <w:rsid w:val="0083448D"/>
    <w:pPr>
      <w:spacing w:after="200" w:line="240" w:lineRule="auto"/>
    </w:pPr>
    <w:rPr>
      <w:i/>
      <w:iCs/>
      <w:color w:val="0E2841" w:themeColor="text2"/>
      <w:sz w:val="18"/>
      <w:szCs w:val="18"/>
    </w:rPr>
  </w:style>
  <w:style w:type="paragraph" w:styleId="Intestazione">
    <w:name w:val="header"/>
    <w:basedOn w:val="Normale"/>
    <w:link w:val="IntestazioneCarattere"/>
    <w:uiPriority w:val="99"/>
    <w:unhideWhenUsed/>
    <w:rsid w:val="007D22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D224F"/>
    <w:rPr>
      <w:kern w:val="0"/>
      <w:sz w:val="22"/>
      <w:szCs w:val="22"/>
      <w14:ligatures w14:val="none"/>
    </w:rPr>
  </w:style>
  <w:style w:type="paragraph" w:styleId="Pidipagina">
    <w:name w:val="footer"/>
    <w:basedOn w:val="Normale"/>
    <w:link w:val="PidipaginaCarattere"/>
    <w:uiPriority w:val="99"/>
    <w:unhideWhenUsed/>
    <w:rsid w:val="007D22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224F"/>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1886</Words>
  <Characters>10753</Characters>
  <Application>Microsoft Office Word</Application>
  <DocSecurity>0</DocSecurity>
  <Lines>89</Lines>
  <Paragraphs>25</Paragraphs>
  <ScaleCrop>false</ScaleCrop>
  <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Gesiot</dc:creator>
  <cp:keywords/>
  <dc:description/>
  <cp:lastModifiedBy>Ottino Marcella</cp:lastModifiedBy>
  <cp:revision>2</cp:revision>
  <cp:lastPrinted>2025-12-02T09:36:00Z</cp:lastPrinted>
  <dcterms:created xsi:type="dcterms:W3CDTF">2025-12-02T08:45:00Z</dcterms:created>
  <dcterms:modified xsi:type="dcterms:W3CDTF">2025-12-02T09:37:00Z</dcterms:modified>
</cp:coreProperties>
</file>