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9C94" w14:textId="03BC31E7" w:rsidR="007911E2" w:rsidRPr="00577EA1" w:rsidRDefault="00607751" w:rsidP="007911E2">
      <w:pPr>
        <w:rPr>
          <w:rFonts w:ascii="Calibri" w:hAnsi="Calibri" w:cs="Calibri"/>
          <w:b/>
          <w:color w:val="808080"/>
          <w:sz w:val="4"/>
          <w:szCs w:val="4"/>
        </w:rPr>
      </w:pPr>
      <w:r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2246FFC" wp14:editId="0F16F2F7">
            <wp:simplePos x="0" y="0"/>
            <wp:positionH relativeFrom="column">
              <wp:posOffset>1973580</wp:posOffset>
            </wp:positionH>
            <wp:positionV relativeFrom="paragraph">
              <wp:posOffset>664845</wp:posOffset>
            </wp:positionV>
            <wp:extent cx="2152015" cy="493395"/>
            <wp:effectExtent l="0" t="0" r="0" b="1905"/>
            <wp:wrapTopAndBottom/>
            <wp:docPr id="458423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11FB89CE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694A483B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1E2"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="007911E2"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EA66276" w14:textId="7884CE5B" w:rsidR="005B2403" w:rsidRDefault="005B2403" w:rsidP="005B2403">
      <w:pPr>
        <w:spacing w:before="240" w:after="240"/>
        <w:rPr>
          <w:rFonts w:ascii="Calibri" w:eastAsia="Calibri" w:hAnsi="Calibri" w:cs="Calibri"/>
          <w:b/>
          <w:sz w:val="36"/>
          <w:szCs w:val="36"/>
        </w:rPr>
      </w:pPr>
      <w:r w:rsidRPr="005B2403">
        <w:rPr>
          <w:rFonts w:ascii="Calibri" w:eastAsia="Calibri" w:hAnsi="Calibri" w:cs="Calibri"/>
          <w:b/>
          <w:sz w:val="36"/>
          <w:szCs w:val="36"/>
        </w:rPr>
        <w:t>Turismo e</w:t>
      </w:r>
      <w:r>
        <w:rPr>
          <w:rFonts w:ascii="Calibri" w:eastAsia="Calibri" w:hAnsi="Calibri" w:cs="Calibri"/>
          <w:b/>
          <w:sz w:val="36"/>
          <w:szCs w:val="36"/>
        </w:rPr>
        <w:t>d</w:t>
      </w:r>
      <w:r w:rsidRPr="005B2403"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e</w:t>
      </w:r>
      <w:r w:rsidRPr="005B2403">
        <w:rPr>
          <w:rFonts w:ascii="Calibri" w:eastAsia="Calibri" w:hAnsi="Calibri" w:cs="Calibri"/>
          <w:b/>
          <w:sz w:val="36"/>
          <w:szCs w:val="36"/>
        </w:rPr>
        <w:t>dilizia guidano l'</w:t>
      </w:r>
      <w:r>
        <w:rPr>
          <w:rFonts w:ascii="Calibri" w:eastAsia="Calibri" w:hAnsi="Calibri" w:cs="Calibri"/>
          <w:b/>
          <w:sz w:val="36"/>
          <w:szCs w:val="36"/>
        </w:rPr>
        <w:t>o</w:t>
      </w:r>
      <w:r w:rsidRPr="005B2403">
        <w:rPr>
          <w:rFonts w:ascii="Calibri" w:eastAsia="Calibri" w:hAnsi="Calibri" w:cs="Calibri"/>
          <w:b/>
          <w:sz w:val="36"/>
          <w:szCs w:val="36"/>
        </w:rPr>
        <w:t>ccupazione a Lucca, Massa-Carrara e Pisa: previste quasi 20mila assunzioni tra ottobre e dicembre 202</w:t>
      </w:r>
      <w:r>
        <w:rPr>
          <w:rFonts w:ascii="Calibri" w:eastAsia="Calibri" w:hAnsi="Calibri" w:cs="Calibri"/>
          <w:b/>
          <w:sz w:val="36"/>
          <w:szCs w:val="36"/>
        </w:rPr>
        <w:t>5</w:t>
      </w:r>
    </w:p>
    <w:p w14:paraId="790F4DB6" w14:textId="6183F6F8" w:rsidR="005B2403" w:rsidRPr="005B2403" w:rsidRDefault="005B2403" w:rsidP="005B2403">
      <w:pPr>
        <w:spacing w:before="240" w:after="240"/>
        <w:rPr>
          <w:rFonts w:ascii="Calibri" w:hAnsi="Calibri" w:cs="Calibri"/>
          <w:bCs/>
          <w:i/>
          <w:iCs/>
          <w:noProof/>
          <w:color w:val="222222"/>
          <w:szCs w:val="24"/>
          <w:shd w:val="clear" w:color="auto" w:fill="FFFFFF"/>
        </w:rPr>
      </w:pPr>
      <w:r w:rsidRPr="005B2403">
        <w:rPr>
          <w:rFonts w:ascii="Calibri" w:hAnsi="Calibri" w:cs="Calibri"/>
          <w:bCs/>
          <w:i/>
          <w:iCs/>
          <w:noProof/>
          <w:color w:val="222222"/>
          <w:szCs w:val="24"/>
          <w:shd w:val="clear" w:color="auto" w:fill="FFFFFF"/>
        </w:rPr>
        <w:t>Tiene il comparto industriale (ad eccezione di Massa-Carrara), bene l’edilizia; aumentano le richieste di personale nel settore turistico e della ristorazione in previsione di festività migliori rispetto all’anno precedente</w:t>
      </w:r>
    </w:p>
    <w:p w14:paraId="7746AA2F" w14:textId="7D5F0CCD" w:rsidR="00154844" w:rsidRPr="00FF777C" w:rsidRDefault="00956C61" w:rsidP="00D26760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465B4">
        <w:rPr>
          <w:rFonts w:ascii="Calibri" w:hAnsi="Calibri" w:cs="Calibri"/>
          <w:b/>
          <w:i/>
          <w:noProof/>
          <w:szCs w:val="24"/>
        </w:rPr>
        <w:t>Viareggio</w:t>
      </w:r>
      <w:r w:rsidR="001D2F3C" w:rsidRPr="005465B4">
        <w:rPr>
          <w:rFonts w:ascii="Calibri" w:hAnsi="Calibri" w:cs="Calibri"/>
          <w:b/>
          <w:i/>
          <w:noProof/>
          <w:szCs w:val="24"/>
        </w:rPr>
        <w:t>,</w:t>
      </w:r>
      <w:r w:rsidR="00EF513D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966851">
        <w:rPr>
          <w:rFonts w:ascii="Calibri" w:hAnsi="Calibri" w:cs="Calibri"/>
          <w:b/>
          <w:i/>
          <w:noProof/>
          <w:szCs w:val="24"/>
        </w:rPr>
        <w:t>29</w:t>
      </w:r>
      <w:r w:rsidR="00CC5855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630D55">
        <w:rPr>
          <w:rFonts w:ascii="Calibri" w:hAnsi="Calibri" w:cs="Calibri"/>
          <w:b/>
          <w:i/>
          <w:noProof/>
          <w:szCs w:val="24"/>
        </w:rPr>
        <w:t>otto</w:t>
      </w:r>
      <w:r w:rsidR="00CC5855" w:rsidRPr="005465B4">
        <w:rPr>
          <w:rFonts w:ascii="Calibri" w:hAnsi="Calibri" w:cs="Calibri"/>
          <w:b/>
          <w:i/>
          <w:noProof/>
          <w:szCs w:val="24"/>
        </w:rPr>
        <w:t>bre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 w:rsidR="000B5707" w:rsidRPr="005465B4">
        <w:rPr>
          <w:rFonts w:ascii="Calibri" w:hAnsi="Calibri" w:cs="Calibri"/>
          <w:b/>
          <w:i/>
          <w:noProof/>
          <w:szCs w:val="24"/>
        </w:rPr>
        <w:t>5</w:t>
      </w:r>
      <w:r w:rsidRPr="00697E11">
        <w:rPr>
          <w:rFonts w:ascii="Calibri" w:hAnsi="Calibri" w:cs="Calibri"/>
          <w:b/>
          <w:i/>
          <w:noProof/>
          <w:szCs w:val="24"/>
        </w:rPr>
        <w:t>.</w:t>
      </w:r>
      <w:r w:rsidRPr="00697E11">
        <w:rPr>
          <w:rFonts w:ascii="Calibri" w:hAnsi="Calibri" w:cs="Calibri"/>
          <w:bCs/>
          <w:noProof/>
          <w:szCs w:val="24"/>
        </w:rPr>
        <w:t xml:space="preserve"> </w:t>
      </w:r>
      <w:r w:rsidR="00FF777C" w:rsidRP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Le province di Lucca, Massa-Carrara e Pisa registrano </w:t>
      </w:r>
      <w:r w:rsid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nel complesso </w:t>
      </w:r>
      <w:r w:rsidR="00FF777C" w:rsidRP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un incremento delle assunzioni tra ottobre e dicembre 2025, con 1.440 unità in più rispetto all’anno precedente, che diventano 660 se si escludono le assunzioni nel comparto agricolo, rilevato dall’indagine a partire da luglio. </w:t>
      </w:r>
      <w:r w:rsidR="005B2403" w:rsidRPr="005B2403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La domanda di lavoro cresce in tutte le province, ma a Pisa </w:t>
      </w:r>
      <w:r w:rsidR="005B2403" w:rsidRPr="005B2403">
        <w:rPr>
          <w:rFonts w:ascii="Calibri" w:hAnsi="Calibri" w:cs="Calibri"/>
          <w:noProof/>
          <w:color w:val="222222"/>
          <w:shd w:val="clear" w:color="auto" w:fill="FFFFFF"/>
        </w:rPr>
        <w:t>risulterebbe in lieve calo</w:t>
      </w:r>
      <w:r w:rsidR="005B2403" w:rsidRPr="005B2403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se si escludessero le assunzioni del comparto agricolo</w:t>
      </w:r>
      <w:r w:rsidR="00FF777C" w:rsidRPr="00FF777C">
        <w:rPr>
          <w:rFonts w:ascii="Calibri" w:hAnsi="Calibri" w:cs="Calibri"/>
          <w:bCs/>
          <w:noProof/>
          <w:color w:val="222222"/>
          <w:shd w:val="clear" w:color="auto" w:fill="FFFFFF"/>
        </w:rPr>
        <w:t>.</w:t>
      </w:r>
      <w:r w:rsid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="00FF777C" w:rsidRPr="00FF777C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Dati favorevoli si rilevano per l’edilizia, nonostante l’esaurirsi dei bonus fiscali, e valori lievemente in crescita caratterizzano il manifatturiero, ad eccezione della provincia apuana. Il settore dei servizi mostra segnali di crescita netti, in particolare il turismo</w:t>
      </w:r>
      <w:r w:rsidR="008713CA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 xml:space="preserve"> e la ristorazione</w:t>
      </w:r>
      <w:r w:rsidR="00FF777C" w:rsidRPr="00FF777C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 xml:space="preserve">, grazie alla previsione di un maggiore afflusso turistico durante le festività </w:t>
      </w:r>
      <w:r w:rsidR="00FF777C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 xml:space="preserve">natalizie </w:t>
      </w:r>
      <w:r w:rsidR="00FF777C" w:rsidRPr="00FF777C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rispetto all’anno precedente; crescono inoltre le richieste di personale nei servizi alle persone e alle imprese.</w:t>
      </w:r>
      <w:r w:rsid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="00FF777C" w:rsidRPr="00FF777C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Unica nota negativa il commercio, in calo in tutte le province della Toscana Nord-Ovest.</w:t>
      </w:r>
      <w:r w:rsidR="00FF777C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="00154844" w:rsidRPr="00630D55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 xml:space="preserve">Il quadro si completa con l’ormai strutturale difficoltà di reperimento della manodopera che ha interessato più di una assunzione ogni due, un dato superiore a quello nazionale. </w:t>
      </w:r>
      <w:r w:rsidR="00FF621D" w:rsidRPr="00630D55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Questo, in sintesi, è quanto emerge dai dati rilevati per il periodo ottobre-dicembre 202</w:t>
      </w:r>
      <w:r w:rsidR="00FF621D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5</w:t>
      </w:r>
      <w:r w:rsidR="00FF621D" w:rsidRPr="00630D55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 xml:space="preserve"> su un campione di oltre 2.</w:t>
      </w:r>
      <w:r w:rsidR="00FF621D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4</w:t>
      </w:r>
      <w:r w:rsidR="00FF621D" w:rsidRPr="00630D55">
        <w:rPr>
          <w:rFonts w:ascii="Calibri" w:hAnsi="Calibri" w:cs="Calibri"/>
          <w:bCs/>
          <w:noProof/>
          <w:color w:val="222222"/>
          <w:szCs w:val="24"/>
          <w:shd w:val="clear" w:color="auto" w:fill="FFFFFF"/>
        </w:rPr>
        <w:t>00 imprese con dipendenti delle province di Lucca, Massa-Carrara e Pisa dal Sistema informativo Excelsior, indagine realizzata da Unioncamere in collaborazione con il Ministero del Lavoro e delle Politiche Sociali ed elaborati dalla Camera di Commercio della Toscana Nord-Ovest e dall’Istituto Studi e Ricerche - ISR.</w:t>
      </w:r>
    </w:p>
    <w:p w14:paraId="1FB52AE7" w14:textId="58B20FE6" w:rsidR="00CC5855" w:rsidRPr="005465B4" w:rsidRDefault="00CC5855" w:rsidP="00D26760">
      <w:pPr>
        <w:spacing w:after="240"/>
        <w:rPr>
          <w:rFonts w:ascii="Calibri" w:hAnsi="Calibri" w:cs="Calibri"/>
          <w:bCs/>
          <w:noProof/>
          <w:szCs w:val="24"/>
        </w:rPr>
      </w:pPr>
      <w:r w:rsidRPr="005465B4">
        <w:rPr>
          <w:rFonts w:ascii="Calibri" w:hAnsi="Calibri" w:cs="Calibri"/>
          <w:bCs/>
          <w:noProof/>
          <w:szCs w:val="24"/>
        </w:rPr>
        <w:t>“</w:t>
      </w:r>
      <w:r w:rsidR="006B2122" w:rsidRPr="006B2122">
        <w:rPr>
          <w:rFonts w:ascii="Calibri" w:hAnsi="Calibri" w:cs="Calibri"/>
          <w:bCs/>
          <w:i/>
          <w:iCs/>
          <w:noProof/>
          <w:szCs w:val="24"/>
        </w:rPr>
        <w:t xml:space="preserve">I dati di fine anno confermano una domanda di lavoro robusta con quasi 20mila assunzioni programmate, trainate dal dinamismo del turismo e dell'edilizia. Purtroppo, a fronte di questo segnale positivo, si registra la difficoltà di un settore chiave come il </w:t>
      </w:r>
      <w:r w:rsidR="006B2122">
        <w:rPr>
          <w:rFonts w:ascii="Calibri" w:hAnsi="Calibri" w:cs="Calibri"/>
          <w:bCs/>
          <w:i/>
          <w:iCs/>
          <w:noProof/>
          <w:szCs w:val="24"/>
        </w:rPr>
        <w:t>c</w:t>
      </w:r>
      <w:r w:rsidR="006B2122" w:rsidRPr="006B2122">
        <w:rPr>
          <w:rFonts w:ascii="Calibri" w:hAnsi="Calibri" w:cs="Calibri"/>
          <w:bCs/>
          <w:i/>
          <w:iCs/>
          <w:noProof/>
          <w:szCs w:val="24"/>
        </w:rPr>
        <w:t>ommercio, in calo in tutte le nostre province, e si consolida l'emergenza del mismatch</w:t>
      </w:r>
      <w:r w:rsidR="004C5FEA" w:rsidRPr="005465B4">
        <w:rPr>
          <w:rFonts w:ascii="Calibri" w:hAnsi="Calibri" w:cs="Calibri"/>
          <w:bCs/>
          <w:noProof/>
          <w:szCs w:val="24"/>
        </w:rPr>
        <w:t xml:space="preserve"> -</w:t>
      </w:r>
      <w:r w:rsidRPr="005465B4">
        <w:rPr>
          <w:rFonts w:ascii="Calibri" w:hAnsi="Calibri" w:cs="Calibri"/>
          <w:bCs/>
          <w:noProof/>
          <w:szCs w:val="24"/>
        </w:rPr>
        <w:t xml:space="preserve"> afferma </w:t>
      </w:r>
      <w:r w:rsidRPr="006B2122">
        <w:rPr>
          <w:rFonts w:ascii="Calibri" w:hAnsi="Calibri" w:cs="Calibri"/>
          <w:bCs/>
          <w:noProof/>
          <w:szCs w:val="24"/>
        </w:rPr>
        <w:t>Valter Tamburini,</w:t>
      </w:r>
      <w:r w:rsidRPr="005465B4">
        <w:rPr>
          <w:rFonts w:ascii="Calibri" w:hAnsi="Calibri" w:cs="Calibri"/>
          <w:bCs/>
          <w:noProof/>
          <w:szCs w:val="24"/>
        </w:rPr>
        <w:t xml:space="preserve"> Presidente della Camera di Commercio della Toscana Nord-Ovest. “</w:t>
      </w:r>
      <w:r w:rsidR="006B2122" w:rsidRPr="006B2122">
        <w:rPr>
          <w:rFonts w:ascii="Calibri" w:hAnsi="Calibri" w:cs="Calibri"/>
          <w:bCs/>
          <w:i/>
          <w:iCs/>
          <w:noProof/>
          <w:szCs w:val="24"/>
        </w:rPr>
        <w:t xml:space="preserve">Oggi, oltre una assunzione su due è di difficile copertura, un dato che frena la crescita. Le imprese cercano figure specializzate, con qualifica professionale o diploma, e mostrano un interesse crescente verso i diplomati degli ITS Academy. La Camera di Commercio </w:t>
      </w:r>
      <w:r w:rsidR="006B2122">
        <w:rPr>
          <w:rFonts w:ascii="Calibri" w:hAnsi="Calibri" w:cs="Calibri"/>
          <w:bCs/>
          <w:i/>
          <w:iCs/>
          <w:noProof/>
          <w:szCs w:val="24"/>
        </w:rPr>
        <w:t>sta rafforzando</w:t>
      </w:r>
      <w:r w:rsidR="006B2122" w:rsidRPr="006B2122">
        <w:rPr>
          <w:rFonts w:ascii="Calibri" w:hAnsi="Calibri" w:cs="Calibri"/>
          <w:bCs/>
          <w:i/>
          <w:iCs/>
          <w:noProof/>
          <w:szCs w:val="24"/>
        </w:rPr>
        <w:t xml:space="preserve"> l'impegno sull'orientamento e la formazione, l'unica via per allineare le competenze dei nostri giovani ai fabbisogni del mercato e superare questa criticità strutturale</w:t>
      </w:r>
      <w:r w:rsidRPr="005465B4">
        <w:rPr>
          <w:rFonts w:ascii="Calibri" w:hAnsi="Calibri" w:cs="Calibri"/>
          <w:bCs/>
          <w:noProof/>
          <w:szCs w:val="24"/>
        </w:rPr>
        <w:t>”</w:t>
      </w:r>
    </w:p>
    <w:p w14:paraId="4C497C00" w14:textId="4218D9D3" w:rsidR="0092040A" w:rsidRPr="006B2122" w:rsidRDefault="0092040A" w:rsidP="006B2122">
      <w:pPr>
        <w:spacing w:before="240"/>
        <w:rPr>
          <w:rFonts w:ascii="Calibri" w:hAnsi="Calibri" w:cs="Calibri"/>
          <w:iCs/>
        </w:rPr>
      </w:pPr>
      <w:r w:rsidRPr="0092040A">
        <w:rPr>
          <w:rFonts w:ascii="Calibri" w:hAnsi="Calibri" w:cs="Calibri"/>
          <w:iCs/>
        </w:rPr>
        <w:lastRenderedPageBreak/>
        <w:t>Nel trimestre ottobre-dicembre 2025 le imprese lucchesi con dipendenti prevedono 7.820 assunzioni, includendo per la prima volta anche il settore primario rilevato da luglio. Si registra un aumento del 12% (810 unità) rispetto allo stesso periodo del 2024</w:t>
      </w:r>
      <w:r w:rsidR="008713CA">
        <w:rPr>
          <w:rFonts w:ascii="Calibri" w:hAnsi="Calibri" w:cs="Calibri"/>
          <w:iCs/>
        </w:rPr>
        <w:t xml:space="preserve">, </w:t>
      </w:r>
      <w:r w:rsidR="008713CA" w:rsidRPr="001A12D5">
        <w:rPr>
          <w:rFonts w:ascii="Calibri" w:hAnsi="Calibri" w:cs="Calibri"/>
          <w:iCs/>
        </w:rPr>
        <w:t xml:space="preserve">che risulterebbe </w:t>
      </w:r>
      <w:r w:rsidR="008713CA">
        <w:rPr>
          <w:rFonts w:ascii="Calibri" w:hAnsi="Calibri" w:cs="Calibri"/>
          <w:iCs/>
        </w:rPr>
        <w:t xml:space="preserve">leggermente inferiore (+9%) </w:t>
      </w:r>
      <w:r w:rsidR="008713CA" w:rsidRPr="001A12D5">
        <w:rPr>
          <w:rFonts w:ascii="Calibri" w:hAnsi="Calibri" w:cs="Calibri"/>
          <w:iCs/>
        </w:rPr>
        <w:t>se si escludessero dal computo le assunzioni relative al comparto agricolo</w:t>
      </w:r>
      <w:r w:rsidRPr="0092040A">
        <w:rPr>
          <w:rFonts w:ascii="Calibri" w:hAnsi="Calibri" w:cs="Calibri"/>
          <w:iCs/>
        </w:rPr>
        <w:t xml:space="preserve">. Rimane elevato il mismatch tra domanda e offerta di lavoro: il 48% delle assunzioni è di difficile reperimento, valore identico all’anno precedente. La domanda occupazionale risulta diversificata: il 28% delle posizioni è destinato a diplomati, il 38% a persone con qualifica professionale o diploma di formazione, il 9% a laureati e il 23% a candidati con la sola scuola dell’obbligo; il 2% richiede un titolo ITS Academy. </w:t>
      </w:r>
      <w:r w:rsidR="00EA4C8D">
        <w:rPr>
          <w:rFonts w:ascii="Calibri" w:hAnsi="Calibri" w:cs="Calibri"/>
          <w:iCs/>
        </w:rPr>
        <w:t>Da ottobre a dicembre 2025 l</w:t>
      </w:r>
      <w:r w:rsidRPr="0092040A">
        <w:rPr>
          <w:rFonts w:ascii="Calibri" w:hAnsi="Calibri" w:cs="Calibri"/>
          <w:iCs/>
        </w:rPr>
        <w:t>e cinque figure più richieste in provincia di Lucca sono camerieri di sala (590 unità), addetti ai servizi di pulizia (470), commessi di negozio (410), aiuto cuoco (240) e banconieri di bar (220).</w:t>
      </w:r>
    </w:p>
    <w:p w14:paraId="7B7FD318" w14:textId="3C7B2838" w:rsidR="0044645E" w:rsidRPr="0092040A" w:rsidRDefault="0092040A" w:rsidP="006B2122">
      <w:pPr>
        <w:spacing w:before="240" w:after="240"/>
        <w:rPr>
          <w:rFonts w:ascii="Calibri" w:hAnsi="Calibri" w:cs="Calibri"/>
        </w:rPr>
      </w:pPr>
      <w:r w:rsidRPr="0092040A">
        <w:rPr>
          <w:rFonts w:ascii="Calibri" w:hAnsi="Calibri" w:cs="Calibri"/>
        </w:rPr>
        <w:t>Le imprese apuane con dipendenti prevedono oltre 3.000 assunzioni nel trimestre ottobre-dicembre 2025, con un aumento di 210 unità rispetto allo stesso periodo del 2024 (+7%)</w:t>
      </w:r>
      <w:r w:rsidR="008713CA">
        <w:rPr>
          <w:rFonts w:ascii="Calibri" w:hAnsi="Calibri" w:cs="Calibri"/>
        </w:rPr>
        <w:t xml:space="preserve">, </w:t>
      </w:r>
      <w:r w:rsidR="008713CA" w:rsidRPr="001A12D5">
        <w:rPr>
          <w:rFonts w:ascii="Calibri" w:hAnsi="Calibri" w:cs="Calibri"/>
          <w:iCs/>
        </w:rPr>
        <w:t xml:space="preserve">ma che risulterebbe </w:t>
      </w:r>
      <w:r w:rsidR="008713CA">
        <w:rPr>
          <w:rFonts w:ascii="Calibri" w:hAnsi="Calibri" w:cs="Calibri"/>
          <w:iCs/>
        </w:rPr>
        <w:t xml:space="preserve">leggermente inferiore (+6%) </w:t>
      </w:r>
      <w:r w:rsidR="008713CA" w:rsidRPr="001A12D5">
        <w:rPr>
          <w:rFonts w:ascii="Calibri" w:hAnsi="Calibri" w:cs="Calibri"/>
          <w:iCs/>
        </w:rPr>
        <w:t>se si escludessero dal computo le assunzioni relative al comparto agricolo</w:t>
      </w:r>
      <w:r w:rsidR="008713CA">
        <w:rPr>
          <w:rFonts w:ascii="Calibri" w:hAnsi="Calibri" w:cs="Calibri"/>
          <w:iCs/>
        </w:rPr>
        <w:t>,</w:t>
      </w:r>
      <w:r w:rsidR="008713CA" w:rsidRPr="00A825E8">
        <w:rPr>
          <w:rFonts w:ascii="Calibri" w:hAnsi="Calibri" w:cs="Calibri"/>
          <w:bCs/>
          <w:iCs/>
        </w:rPr>
        <w:t xml:space="preserve"> rilevato dall’indagine</w:t>
      </w:r>
      <w:r w:rsidR="008713CA">
        <w:rPr>
          <w:rFonts w:ascii="Calibri" w:hAnsi="Calibri" w:cs="Calibri"/>
          <w:bCs/>
          <w:iCs/>
        </w:rPr>
        <w:t xml:space="preserve"> da luglio</w:t>
      </w:r>
      <w:r w:rsidR="008713CA" w:rsidRPr="001A12D5">
        <w:rPr>
          <w:rFonts w:ascii="Calibri" w:hAnsi="Calibri" w:cs="Calibri"/>
          <w:iCs/>
        </w:rPr>
        <w:t>.</w:t>
      </w:r>
      <w:r w:rsidR="008713CA">
        <w:rPr>
          <w:rFonts w:ascii="Calibri" w:hAnsi="Calibri" w:cs="Calibri"/>
        </w:rPr>
        <w:t xml:space="preserve"> </w:t>
      </w:r>
      <w:r w:rsidRPr="0092040A">
        <w:rPr>
          <w:rFonts w:ascii="Calibri" w:hAnsi="Calibri" w:cs="Calibri"/>
        </w:rPr>
        <w:t>Si conferma elevato il mismatch tra domanda e offerta di lavoro: il 59% delle assunzioni risulta di difficile reperimento, in linea con l’anno precedente. La domanda di personale riguarda per l’8% laureati, per il 32% diplomati e per il 38% lavoratori con qualifica o formazione professionale; il 21% delle posizioni è destinato a chi ha la sola scuola dell’obbligo, mentre il 2% richiede un titolo ITS Academy. Le figure più ricercate</w:t>
      </w:r>
      <w:r w:rsidR="00EA4C8D">
        <w:rPr>
          <w:rFonts w:ascii="Calibri" w:hAnsi="Calibri" w:cs="Calibri"/>
        </w:rPr>
        <w:t xml:space="preserve"> negli ultimi tre mesi dell’anno</w:t>
      </w:r>
      <w:r w:rsidRPr="0092040A">
        <w:rPr>
          <w:rFonts w:ascii="Calibri" w:hAnsi="Calibri" w:cs="Calibri"/>
        </w:rPr>
        <w:t xml:space="preserve"> sono camerieri di sala (330 unità), addetti ai servizi di pulizia (150), elettricisti (90), magazzinieri addetti alla movimentazione e operatori socio-sanitari (80 ciascuno).</w:t>
      </w:r>
    </w:p>
    <w:p w14:paraId="48BFD19B" w14:textId="2FE64A62" w:rsidR="00630D55" w:rsidRDefault="0092040A" w:rsidP="003F7A56">
      <w:pPr>
        <w:spacing w:after="240"/>
        <w:rPr>
          <w:rFonts w:ascii="Calibri" w:hAnsi="Calibri" w:cs="Calibri"/>
          <w:iCs/>
          <w:noProof/>
        </w:rPr>
      </w:pPr>
      <w:r w:rsidRPr="0092040A">
        <w:rPr>
          <w:rFonts w:ascii="Calibri" w:hAnsi="Calibri" w:cs="Calibri"/>
          <w:iCs/>
          <w:noProof/>
        </w:rPr>
        <w:t>Nel trimestre ottobre-dicembre 2025 le imprese pisane con dipendenti prevedono 8.390 assunzioni, con un aumento di 420 unità rispetto allo stesso periodo del 2024 (+5%)</w:t>
      </w:r>
      <w:r w:rsidR="008713CA">
        <w:rPr>
          <w:rFonts w:ascii="Calibri" w:hAnsi="Calibri" w:cs="Calibri"/>
          <w:iCs/>
          <w:noProof/>
        </w:rPr>
        <w:t xml:space="preserve">, </w:t>
      </w:r>
      <w:r w:rsidR="008713CA" w:rsidRPr="007F0C3F">
        <w:rPr>
          <w:rFonts w:ascii="Calibri" w:hAnsi="Calibri" w:cs="Calibri"/>
          <w:iCs/>
        </w:rPr>
        <w:t>ma che risulterebbe leggermente negativo (-2%; -130 unità) se si escludessero dal computo le assunzioni nel comparto agricolo, che nel trimestre ammontano a 550 unità</w:t>
      </w:r>
      <w:r w:rsidR="008713CA">
        <w:rPr>
          <w:rFonts w:ascii="Calibri" w:hAnsi="Calibri" w:cs="Calibri"/>
          <w:iCs/>
        </w:rPr>
        <w:t>.</w:t>
      </w:r>
      <w:r w:rsidR="008713CA">
        <w:rPr>
          <w:rFonts w:ascii="Calibri" w:hAnsi="Calibri" w:cs="Calibri"/>
          <w:iCs/>
          <w:noProof/>
        </w:rPr>
        <w:t xml:space="preserve"> </w:t>
      </w:r>
      <w:r w:rsidRPr="0092040A">
        <w:rPr>
          <w:rFonts w:ascii="Calibri" w:hAnsi="Calibri" w:cs="Calibri"/>
          <w:iCs/>
          <w:noProof/>
        </w:rPr>
        <w:t xml:space="preserve">Resta elevato il mismatch tra domanda e offerta di lavoro: il 49% delle assunzioni risulta di difficile reperimento, </w:t>
      </w:r>
      <w:r w:rsidR="00EA4C8D">
        <w:rPr>
          <w:rFonts w:ascii="Calibri" w:hAnsi="Calibri" w:cs="Calibri"/>
          <w:iCs/>
          <w:noProof/>
        </w:rPr>
        <w:t xml:space="preserve">ma </w:t>
      </w:r>
      <w:r w:rsidRPr="0092040A">
        <w:rPr>
          <w:rFonts w:ascii="Calibri" w:hAnsi="Calibri" w:cs="Calibri"/>
          <w:iCs/>
          <w:noProof/>
        </w:rPr>
        <w:t>in calo di quattro punti rispetto all’anno precedente. Il livello formativo più richiesto è la qualifica o il diploma professionale (35%), seguito dal diploma di scuola secondaria (27%) e dalla scuola dell’obbligo (24%); i laureati rappresentano il 12% e i possessori di titolo ITS Academy il 2%. Le cinque figure più richieste in provincia di Pisa</w:t>
      </w:r>
      <w:r w:rsidR="00EA4C8D">
        <w:rPr>
          <w:rFonts w:ascii="Calibri" w:hAnsi="Calibri" w:cs="Calibri"/>
          <w:iCs/>
          <w:noProof/>
        </w:rPr>
        <w:t xml:space="preserve"> nel trimestre</w:t>
      </w:r>
      <w:r w:rsidRPr="0092040A">
        <w:rPr>
          <w:rFonts w:ascii="Calibri" w:hAnsi="Calibri" w:cs="Calibri"/>
          <w:iCs/>
          <w:noProof/>
        </w:rPr>
        <w:t xml:space="preserve"> sono addetti ai servizi di pulizia (460 unità), camerieri di sala (440), addetti alle consegne (290), muratori (250) e addetti alle vendite nella grande distribuzione (210).</w:t>
      </w:r>
    </w:p>
    <w:p w14:paraId="3615AF81" w14:textId="04A96219" w:rsidR="005B7373" w:rsidRPr="00FE3350" w:rsidRDefault="00B767FB" w:rsidP="003F7A56">
      <w:pPr>
        <w:spacing w:after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>
        <w:rPr>
          <w:rFonts w:ascii="Calibri" w:hAnsi="Calibri" w:cs="Calibri"/>
          <w:color w:val="222222"/>
          <w:szCs w:val="24"/>
          <w:shd w:val="clear" w:color="auto" w:fill="FFFFFF"/>
        </w:rPr>
        <w:t>La nota completa di grafici e tabelle per ciascuna delle tre province è allegata a questo comunicato stampa ovvero</w:t>
      </w:r>
      <w:r w:rsidR="00FE3350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scaricabile dal sito </w:t>
      </w:r>
      <w:hyperlink r:id="rId11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E28F7A9" w14:textId="77777777" w:rsidR="00B767FB" w:rsidRPr="005B2403" w:rsidRDefault="00B767FB" w:rsidP="004B10E2">
      <w:pPr>
        <w:spacing w:before="600"/>
        <w:rPr>
          <w:rFonts w:ascii="Calibri" w:eastAsia="Verdana" w:hAnsi="Calibri" w:cs="Calibri"/>
          <w:b/>
          <w:color w:val="000000"/>
          <w:sz w:val="20"/>
        </w:rPr>
      </w:pPr>
      <w:r w:rsidRPr="005B2403"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14B1DC53" w14:textId="77777777" w:rsidR="00B767FB" w:rsidRPr="005B2403" w:rsidRDefault="00B767FB" w:rsidP="00B767FB">
      <w:pPr>
        <w:rPr>
          <w:rFonts w:ascii="Calibri" w:eastAsia="Verdana" w:hAnsi="Calibri" w:cs="Calibri"/>
          <w:color w:val="000000"/>
          <w:sz w:val="20"/>
        </w:rPr>
      </w:pPr>
      <w:r w:rsidRPr="005B2403">
        <w:rPr>
          <w:rFonts w:ascii="Calibri" w:hAnsi="Calibri" w:cs="Calibri"/>
          <w:sz w:val="20"/>
        </w:rPr>
        <w:t xml:space="preserve">Comunicazione: </w:t>
      </w:r>
      <w:r w:rsidRPr="005B2403">
        <w:rPr>
          <w:rFonts w:ascii="Calibri" w:eastAsia="Verdana" w:hAnsi="Calibri" w:cs="Calibri"/>
          <w:color w:val="000000"/>
          <w:sz w:val="20"/>
        </w:rPr>
        <w:t>Francesca Sargenti: 0583 976.686 -</w:t>
      </w:r>
      <w:r w:rsidRPr="005B2403">
        <w:rPr>
          <w:rFonts w:ascii="Calibri" w:hAnsi="Calibri" w:cs="Calibri"/>
          <w:sz w:val="20"/>
        </w:rPr>
        <w:t xml:space="preserve"> </w:t>
      </w:r>
      <w:r w:rsidRPr="005B2403"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065E0C09" w14:textId="77777777" w:rsidR="00B767FB" w:rsidRPr="005B2403" w:rsidRDefault="00B767FB" w:rsidP="00B767FB">
      <w:pPr>
        <w:rPr>
          <w:rFonts w:ascii="Calibri" w:eastAsia="Verdana" w:hAnsi="Calibri" w:cs="Calibri"/>
          <w:color w:val="000000"/>
          <w:sz w:val="20"/>
        </w:rPr>
      </w:pPr>
      <w:r w:rsidRPr="005B2403"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471B43B8" w:rsidR="00CB1821" w:rsidRPr="00F9203B" w:rsidRDefault="00B767FB" w:rsidP="00F9203B">
      <w:pPr>
        <w:pStyle w:val="Pidipagina"/>
        <w:rPr>
          <w:sz w:val="20"/>
        </w:rPr>
      </w:pPr>
      <w:r w:rsidRPr="005B2403">
        <w:rPr>
          <w:rFonts w:ascii="Calibri" w:eastAsia="Verdana" w:hAnsi="Calibri" w:cs="Calibri"/>
          <w:color w:val="000000"/>
          <w:sz w:val="20"/>
        </w:rPr>
        <w:t>tno.camcom.it</w:t>
      </w:r>
    </w:p>
    <w:sectPr w:rsidR="00CB1821" w:rsidRPr="00F9203B" w:rsidSect="006746D1">
      <w:headerReference w:type="default" r:id="rId12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8DD2" w14:textId="77777777" w:rsidR="002F1F2B" w:rsidRDefault="002F1F2B">
      <w:r>
        <w:separator/>
      </w:r>
    </w:p>
  </w:endnote>
  <w:endnote w:type="continuationSeparator" w:id="0">
    <w:p w14:paraId="73C31B8C" w14:textId="77777777" w:rsidR="002F1F2B" w:rsidRDefault="002F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A8A5" w14:textId="77777777" w:rsidR="002F1F2B" w:rsidRDefault="002F1F2B">
      <w:r>
        <w:separator/>
      </w:r>
    </w:p>
  </w:footnote>
  <w:footnote w:type="continuationSeparator" w:id="0">
    <w:p w14:paraId="623FAA74" w14:textId="77777777" w:rsidR="002F1F2B" w:rsidRDefault="002F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3D9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465B4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30050"/>
    <w:rsid w:val="00730292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6C3"/>
    <w:rsid w:val="007D7D6B"/>
    <w:rsid w:val="007E0950"/>
    <w:rsid w:val="007E1CB9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DDA"/>
    <w:rsid w:val="00817496"/>
    <w:rsid w:val="008177EC"/>
    <w:rsid w:val="00817EA1"/>
    <w:rsid w:val="00820652"/>
    <w:rsid w:val="00823440"/>
    <w:rsid w:val="008238F5"/>
    <w:rsid w:val="00824EA5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78C"/>
    <w:rsid w:val="00B40EBB"/>
    <w:rsid w:val="00B41D0E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529D"/>
    <w:rsid w:val="00C15805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183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D0052A"/>
    <w:rsid w:val="00D02E94"/>
    <w:rsid w:val="00D0371F"/>
    <w:rsid w:val="00D03B66"/>
    <w:rsid w:val="00D0433A"/>
    <w:rsid w:val="00D043E6"/>
    <w:rsid w:val="00D06DDF"/>
    <w:rsid w:val="00D10A4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2BA"/>
    <w:rsid w:val="00F61DA0"/>
    <w:rsid w:val="00F63FB1"/>
    <w:rsid w:val="00F64E65"/>
    <w:rsid w:val="00F64E76"/>
    <w:rsid w:val="00F64F67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r-ms.it/lavoro-e-formazion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925</Words>
  <Characters>5378</Characters>
  <Application>Microsoft Office Word</Application>
  <DocSecurity>0</DocSecurity>
  <Lines>413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6191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18</cp:revision>
  <cp:lastPrinted>2025-08-06T14:07:00Z</cp:lastPrinted>
  <dcterms:created xsi:type="dcterms:W3CDTF">2025-09-09T10:27:00Z</dcterms:created>
  <dcterms:modified xsi:type="dcterms:W3CDTF">2025-10-29T10:41:00Z</dcterms:modified>
</cp:coreProperties>
</file>