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9DD52" w14:textId="03ABE22E" w:rsidR="007911E2" w:rsidRPr="002C3180" w:rsidRDefault="00DE5614" w:rsidP="007911E2">
      <w:pPr>
        <w:rPr>
          <w:rFonts w:ascii="Calibri" w:hAnsi="Calibri" w:cs="Calibri"/>
          <w:b/>
          <w:color w:val="808080"/>
          <w:sz w:val="44"/>
          <w:szCs w:val="44"/>
        </w:rPr>
      </w:pPr>
      <w:r>
        <w:rPr>
          <w:rFonts w:ascii="Fedra Sans Std Demi" w:hAnsi="Fedra Sans Std Demi" w:cs="Calibri"/>
          <w:noProof/>
          <w:color w:val="071D49"/>
        </w:rPr>
        <w:drawing>
          <wp:anchor distT="0" distB="0" distL="114300" distR="114300" simplePos="0" relativeHeight="251657216" behindDoc="0" locked="0" layoutInCell="1" allowOverlap="1" wp14:anchorId="07395659" wp14:editId="7410B69B">
            <wp:simplePos x="0" y="0"/>
            <wp:positionH relativeFrom="column">
              <wp:posOffset>-308610</wp:posOffset>
            </wp:positionH>
            <wp:positionV relativeFrom="paragraph">
              <wp:posOffset>-167640</wp:posOffset>
            </wp:positionV>
            <wp:extent cx="2880995" cy="524510"/>
            <wp:effectExtent l="0" t="0" r="0" b="0"/>
            <wp:wrapSquare wrapText="bothSides"/>
            <wp:docPr id="2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95" cy="524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edra Sans Std Demi" w:hAnsi="Fedra Sans Std Demi" w:cs="Calibri"/>
          <w:noProof/>
          <w:color w:val="071D49"/>
        </w:rPr>
        <w:drawing>
          <wp:anchor distT="0" distB="0" distL="114300" distR="114300" simplePos="0" relativeHeight="251658240" behindDoc="0" locked="0" layoutInCell="1" allowOverlap="1" wp14:anchorId="3DB250E0" wp14:editId="621AF00C">
            <wp:simplePos x="0" y="0"/>
            <wp:positionH relativeFrom="column">
              <wp:posOffset>2733040</wp:posOffset>
            </wp:positionH>
            <wp:positionV relativeFrom="paragraph">
              <wp:posOffset>-139065</wp:posOffset>
            </wp:positionV>
            <wp:extent cx="2961640" cy="457200"/>
            <wp:effectExtent l="0" t="0" r="0" b="0"/>
            <wp:wrapSquare wrapText="bothSides"/>
            <wp:docPr id="2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1640" cy="457200"/>
                    </a:xfrm>
                    <a:prstGeom prst="rect">
                      <a:avLst/>
                    </a:prstGeom>
                    <a:noFill/>
                  </pic:spPr>
                </pic:pic>
              </a:graphicData>
            </a:graphic>
            <wp14:sizeRelH relativeFrom="page">
              <wp14:pctWidth>0</wp14:pctWidth>
            </wp14:sizeRelH>
            <wp14:sizeRelV relativeFrom="page">
              <wp14:pctHeight>0</wp14:pctHeight>
            </wp14:sizeRelV>
          </wp:anchor>
        </w:drawing>
      </w:r>
      <w:r w:rsidR="00F70736">
        <w:rPr>
          <w:rFonts w:ascii="Calibri" w:hAnsi="Calibri" w:cs="Calibri"/>
          <w:b/>
          <w:color w:val="808080"/>
          <w:sz w:val="44"/>
          <w:szCs w:val="44"/>
        </w:rPr>
        <w:t xml:space="preserve"> </w:t>
      </w:r>
    </w:p>
    <w:p w14:paraId="663C5087" w14:textId="77777777" w:rsidR="007911E2" w:rsidRPr="00FC1836" w:rsidRDefault="007911E2" w:rsidP="00FC1836">
      <w:pPr>
        <w:pBdr>
          <w:bottom w:val="single" w:sz="4" w:space="1" w:color="auto"/>
        </w:pBdr>
        <w:rPr>
          <w:rFonts w:ascii="Calibri" w:hAnsi="Calibri" w:cs="Calibri"/>
          <w:b/>
          <w:noProof/>
          <w:sz w:val="2"/>
          <w:szCs w:val="2"/>
        </w:rPr>
      </w:pPr>
    </w:p>
    <w:p w14:paraId="32EA3EA9" w14:textId="77777777" w:rsidR="007911E2" w:rsidRPr="002C7D2F" w:rsidRDefault="007911E2" w:rsidP="007911E2">
      <w:pPr>
        <w:rPr>
          <w:rFonts w:ascii="Calibri" w:hAnsi="Calibri" w:cs="Calibri"/>
          <w:b/>
          <w:noProof/>
          <w:sz w:val="16"/>
          <w:szCs w:val="16"/>
        </w:rPr>
      </w:pPr>
    </w:p>
    <w:p w14:paraId="5F729749" w14:textId="77777777" w:rsidR="00DF30BC" w:rsidRDefault="00DF30BC" w:rsidP="00DF30BC">
      <w:pPr>
        <w:rPr>
          <w:rFonts w:ascii="Calibri" w:hAnsi="Calibri" w:cs="Calibri"/>
          <w:b/>
          <w:bCs/>
          <w:iCs/>
          <w:noProof/>
          <w:color w:val="000000"/>
          <w:sz w:val="18"/>
          <w:szCs w:val="18"/>
        </w:rPr>
      </w:pPr>
    </w:p>
    <w:p w14:paraId="4A22A6B5" w14:textId="77777777" w:rsidR="00DF30BC" w:rsidRDefault="00DF30BC" w:rsidP="00DF30BC">
      <w:pPr>
        <w:rPr>
          <w:rFonts w:ascii="Calibri" w:hAnsi="Calibri" w:cs="Calibri"/>
          <w:b/>
          <w:i/>
          <w:noProof/>
          <w:sz w:val="16"/>
          <w:szCs w:val="16"/>
        </w:rPr>
      </w:pPr>
    </w:p>
    <w:p w14:paraId="2E6249C4" w14:textId="77777777" w:rsidR="002F426C" w:rsidRPr="00424EB4" w:rsidRDefault="002F426C" w:rsidP="0044468A">
      <w:pPr>
        <w:spacing w:after="240"/>
        <w:rPr>
          <w:rFonts w:ascii="Calibri" w:hAnsi="Calibri" w:cs="Calibri"/>
          <w:b/>
          <w:bCs/>
          <w:sz w:val="36"/>
          <w:szCs w:val="36"/>
        </w:rPr>
      </w:pPr>
      <w:r>
        <w:rPr>
          <w:rFonts w:ascii="Calibri" w:hAnsi="Calibri" w:cs="Calibri"/>
          <w:b/>
          <w:bCs/>
          <w:sz w:val="36"/>
          <w:szCs w:val="36"/>
        </w:rPr>
        <w:t>COMMERCIO ESTERO – PRIMO SEMESTRE</w:t>
      </w:r>
      <w:r w:rsidRPr="0087221A">
        <w:rPr>
          <w:rFonts w:ascii="Calibri" w:hAnsi="Calibri" w:cs="Calibri"/>
          <w:b/>
          <w:bCs/>
          <w:sz w:val="36"/>
          <w:szCs w:val="36"/>
        </w:rPr>
        <w:t xml:space="preserve"> 202</w:t>
      </w:r>
      <w:r w:rsidR="00C51D57">
        <w:rPr>
          <w:rFonts w:ascii="Calibri" w:hAnsi="Calibri" w:cs="Calibri"/>
          <w:b/>
          <w:bCs/>
          <w:sz w:val="36"/>
          <w:szCs w:val="36"/>
        </w:rPr>
        <w:t>5</w:t>
      </w:r>
    </w:p>
    <w:p w14:paraId="0BB4C025" w14:textId="77777777" w:rsidR="00EC0BDB" w:rsidRPr="005432D1" w:rsidRDefault="00EC0BDB" w:rsidP="00EC0BDB">
      <w:pPr>
        <w:pBdr>
          <w:top w:val="nil"/>
          <w:left w:val="nil"/>
          <w:bottom w:val="nil"/>
          <w:right w:val="nil"/>
          <w:between w:val="nil"/>
        </w:pBdr>
        <w:rPr>
          <w:rFonts w:ascii="Calibri" w:hAnsi="Calibri"/>
          <w:b/>
        </w:rPr>
      </w:pPr>
      <w:r w:rsidRPr="005432D1">
        <w:rPr>
          <w:rFonts w:ascii="Calibri" w:hAnsi="Calibri"/>
          <w:b/>
        </w:rPr>
        <w:t>L’andamento generale</w:t>
      </w:r>
    </w:p>
    <w:p w14:paraId="303BFA0C" w14:textId="77777777" w:rsidR="0085547D" w:rsidRPr="005432D1" w:rsidRDefault="0085547D" w:rsidP="005432D1">
      <w:pPr>
        <w:jc w:val="both"/>
        <w:rPr>
          <w:rFonts w:ascii="Calibri" w:hAnsi="Calibri" w:cs="Calibri Light"/>
        </w:rPr>
      </w:pPr>
      <w:r w:rsidRPr="005432D1">
        <w:rPr>
          <w:rFonts w:ascii="Calibri" w:hAnsi="Calibri" w:cs="Calibri Light"/>
        </w:rPr>
        <w:t xml:space="preserve">L’andamento del commercio mondiale nei primi sei mesi del 2025 ha mostrato una dinamica differenziata. Secondo le stime del CPB Netherlands Bureau for </w:t>
      </w:r>
      <w:proofErr w:type="spellStart"/>
      <w:r w:rsidRPr="005432D1">
        <w:rPr>
          <w:rFonts w:ascii="Calibri" w:hAnsi="Calibri" w:cs="Calibri Light"/>
        </w:rPr>
        <w:t>Economic</w:t>
      </w:r>
      <w:proofErr w:type="spellEnd"/>
      <w:r w:rsidRPr="005432D1">
        <w:rPr>
          <w:rFonts w:ascii="Calibri" w:hAnsi="Calibri" w:cs="Calibri Light"/>
        </w:rPr>
        <w:t xml:space="preserve"> Policy Analysis, si è registrata una crescita nominale globale </w:t>
      </w:r>
      <w:r w:rsidR="004A0EA9">
        <w:rPr>
          <w:rFonts w:ascii="Calibri" w:hAnsi="Calibri" w:cs="Calibri Light"/>
        </w:rPr>
        <w:t>vicina al</w:t>
      </w:r>
      <w:r w:rsidRPr="005432D1">
        <w:rPr>
          <w:rFonts w:ascii="Calibri" w:hAnsi="Calibri" w:cs="Calibri Light"/>
        </w:rPr>
        <w:t xml:space="preserve"> 6%, trainata quasi esclusivamente dalla forte avanzata degli Stati Uniti, le cui importazioni hanno beneficiato di un picco eccezionale nel primo trimestre spiegabile in larga misura con la decisione da parte degli importatori di anticipare gli acquisti per evitare l’entrata in vigore dei dazi imposti sulle merci europee e asiatiche. Tale effetto sembra non replicabile e rischia di generare un rallentamento nei prossimi mesi. A fare da contraltare al boom statunitense è stata la performance della Cina, che ha registrato una flessione di circa il 3%, penalizzata dal rallentamento della domanda globale e dalle crescenti tensioni commerciali.</w:t>
      </w:r>
    </w:p>
    <w:p w14:paraId="07F47774" w14:textId="77777777" w:rsidR="0085547D" w:rsidRPr="0085547D" w:rsidRDefault="0085547D" w:rsidP="005432D1">
      <w:pPr>
        <w:spacing w:after="240"/>
        <w:jc w:val="both"/>
        <w:rPr>
          <w:rFonts w:ascii="Calibri" w:hAnsi="Calibri" w:cs="Calibri Light"/>
        </w:rPr>
      </w:pPr>
      <w:r w:rsidRPr="005432D1">
        <w:rPr>
          <w:rFonts w:ascii="Calibri" w:hAnsi="Calibri" w:cs="Calibri Light"/>
        </w:rPr>
        <w:t>In questo scenario, secondo Istat, l’export italiano ha tenuto (+2,1% nel primo semestre del 2025). All'interno del quadro nazionale, la Toscana si è distinta con un'eccezionale performance, registrando un aumento dell'11,8%, tra i più marcati a livello nazionale. A guidare la crescita sono stati soprattutto i settori a elevato valore aggiunto, in primis la farmaceutica, che ha rappresentato il principale motore dell'espansione assieme ai metalli non ferrosi, con un'impennata dovuta in gran parte alle esportazioni di oro aretino.</w:t>
      </w:r>
    </w:p>
    <w:p w14:paraId="48974F7E" w14:textId="77777777" w:rsidR="002F426C" w:rsidRDefault="002F426C" w:rsidP="0044468A">
      <w:pPr>
        <w:tabs>
          <w:tab w:val="left" w:pos="1845"/>
        </w:tabs>
        <w:spacing w:after="240"/>
        <w:rPr>
          <w:rFonts w:ascii="Calibri" w:hAnsi="Calibri" w:cs="Calibri"/>
          <w:b/>
          <w:bCs/>
          <w:sz w:val="28"/>
          <w:szCs w:val="28"/>
        </w:rPr>
      </w:pPr>
      <w:r>
        <w:rPr>
          <w:rFonts w:ascii="Calibri" w:hAnsi="Calibri" w:cs="Calibri"/>
          <w:b/>
          <w:bCs/>
          <w:sz w:val="28"/>
          <w:szCs w:val="28"/>
        </w:rPr>
        <w:t>L’ANDAMENTO DELL’EXPORT DELLA PROVINCIA DI LUCCA</w:t>
      </w:r>
    </w:p>
    <w:p w14:paraId="6FD17102" w14:textId="77777777" w:rsidR="0027717A" w:rsidRPr="0027717A" w:rsidRDefault="0027717A" w:rsidP="0027717A">
      <w:pPr>
        <w:jc w:val="both"/>
        <w:rPr>
          <w:rFonts w:ascii="Calibri" w:hAnsi="Calibri" w:cs="Calibri Light"/>
        </w:rPr>
      </w:pPr>
      <w:r w:rsidRPr="0027717A">
        <w:rPr>
          <w:rFonts w:ascii="Calibri" w:hAnsi="Calibri" w:cs="Calibri Light"/>
        </w:rPr>
        <w:t xml:space="preserve">Nei primi sei mesi del 2025 l’export dalla provincia di Lucca ha sfiorato i 2,8 miliardi di euro, segnando </w:t>
      </w:r>
      <w:r w:rsidR="00531074">
        <w:rPr>
          <w:rFonts w:ascii="Calibri" w:hAnsi="Calibri" w:cs="Calibri Light"/>
        </w:rPr>
        <w:t xml:space="preserve">tuttavia </w:t>
      </w:r>
      <w:r w:rsidRPr="0027717A">
        <w:rPr>
          <w:rFonts w:ascii="Calibri" w:hAnsi="Calibri" w:cs="Calibri Light"/>
        </w:rPr>
        <w:t xml:space="preserve">una leggera flessione </w:t>
      </w:r>
      <w:r w:rsidR="00E10022">
        <w:rPr>
          <w:rFonts w:ascii="Calibri" w:hAnsi="Calibri" w:cs="Calibri Light"/>
        </w:rPr>
        <w:t xml:space="preserve">(-1,7%) </w:t>
      </w:r>
      <w:r w:rsidRPr="0027717A">
        <w:rPr>
          <w:rFonts w:ascii="Calibri" w:hAnsi="Calibri" w:cs="Calibri Light"/>
        </w:rPr>
        <w:t>rispetto al 2024</w:t>
      </w:r>
      <w:r>
        <w:rPr>
          <w:rFonts w:ascii="Calibri" w:hAnsi="Calibri" w:cs="Calibri Light"/>
        </w:rPr>
        <w:t xml:space="preserve"> che era risultato un anno record con il miglior risultato di sempre</w:t>
      </w:r>
      <w:r w:rsidRPr="0027717A">
        <w:rPr>
          <w:rFonts w:ascii="Calibri" w:hAnsi="Calibri" w:cs="Calibri Light"/>
        </w:rPr>
        <w:t xml:space="preserve">. Il </w:t>
      </w:r>
      <w:r w:rsidR="00AA1F2B">
        <w:rPr>
          <w:rFonts w:ascii="Calibri" w:hAnsi="Calibri" w:cs="Calibri Light"/>
        </w:rPr>
        <w:t>dato</w:t>
      </w:r>
      <w:r w:rsidRPr="0027717A">
        <w:rPr>
          <w:rFonts w:ascii="Calibri" w:hAnsi="Calibri" w:cs="Calibri Light"/>
        </w:rPr>
        <w:t xml:space="preserve"> riflette andamenti contrastanti tra i principali settori economici del territorio. Tra i comparti in crescita spiccano ancora una volta la </w:t>
      </w:r>
      <w:r w:rsidRPr="003A767A">
        <w:rPr>
          <w:rFonts w:ascii="Calibri" w:hAnsi="Calibri" w:cs="Calibri Light"/>
          <w:b/>
          <w:bCs/>
          <w:i/>
          <w:iCs/>
        </w:rPr>
        <w:t>cantieristica navale</w:t>
      </w:r>
      <w:r w:rsidRPr="0027717A">
        <w:rPr>
          <w:rFonts w:ascii="Calibri" w:hAnsi="Calibri" w:cs="Calibri Light"/>
        </w:rPr>
        <w:t xml:space="preserve">, che si </w:t>
      </w:r>
      <w:r w:rsidR="00531074">
        <w:rPr>
          <w:rFonts w:ascii="Calibri" w:hAnsi="Calibri" w:cs="Calibri Light"/>
        </w:rPr>
        <w:t xml:space="preserve">è </w:t>
      </w:r>
      <w:r w:rsidRPr="0027717A">
        <w:rPr>
          <w:rFonts w:ascii="Calibri" w:hAnsi="Calibri" w:cs="Calibri Light"/>
        </w:rPr>
        <w:t>conferma</w:t>
      </w:r>
      <w:r w:rsidR="00531074">
        <w:rPr>
          <w:rFonts w:ascii="Calibri" w:hAnsi="Calibri" w:cs="Calibri Light"/>
        </w:rPr>
        <w:t>ta</w:t>
      </w:r>
      <w:r w:rsidRPr="0027717A">
        <w:rPr>
          <w:rFonts w:ascii="Calibri" w:hAnsi="Calibri" w:cs="Calibri Light"/>
        </w:rPr>
        <w:t xml:space="preserve"> il primo settore per valore esportato, e il cartario, che nel complesso</w:t>
      </w:r>
      <w:r w:rsidR="007D2149">
        <w:rPr>
          <w:rFonts w:ascii="Calibri" w:hAnsi="Calibri" w:cs="Calibri Light"/>
        </w:rPr>
        <w:t xml:space="preserve"> ha</w:t>
      </w:r>
      <w:r w:rsidRPr="0027717A">
        <w:rPr>
          <w:rFonts w:ascii="Calibri" w:hAnsi="Calibri" w:cs="Calibri Light"/>
        </w:rPr>
        <w:t xml:space="preserve"> mostra</w:t>
      </w:r>
      <w:r w:rsidR="007D2149">
        <w:rPr>
          <w:rFonts w:ascii="Calibri" w:hAnsi="Calibri" w:cs="Calibri Light"/>
        </w:rPr>
        <w:t>to</w:t>
      </w:r>
      <w:r w:rsidRPr="0027717A">
        <w:rPr>
          <w:rFonts w:ascii="Calibri" w:hAnsi="Calibri" w:cs="Calibri Light"/>
        </w:rPr>
        <w:t xml:space="preserve"> segnali di consolidamento. Buone performance anche per alcun</w:t>
      </w:r>
      <w:r w:rsidR="00E10022">
        <w:rPr>
          <w:rFonts w:ascii="Calibri" w:hAnsi="Calibri" w:cs="Calibri Light"/>
        </w:rPr>
        <w:t xml:space="preserve">i comparti </w:t>
      </w:r>
      <w:r w:rsidRPr="0027717A">
        <w:rPr>
          <w:rFonts w:ascii="Calibri" w:hAnsi="Calibri" w:cs="Calibri Light"/>
        </w:rPr>
        <w:t xml:space="preserve">della </w:t>
      </w:r>
      <w:r w:rsidRPr="003A767A">
        <w:rPr>
          <w:rFonts w:ascii="Calibri" w:hAnsi="Calibri" w:cs="Calibri Light"/>
          <w:b/>
          <w:bCs/>
          <w:i/>
          <w:iCs/>
        </w:rPr>
        <w:t>meccanica</w:t>
      </w:r>
      <w:r w:rsidRPr="0027717A">
        <w:rPr>
          <w:rFonts w:ascii="Calibri" w:hAnsi="Calibri" w:cs="Calibri Light"/>
        </w:rPr>
        <w:t>.</w:t>
      </w:r>
    </w:p>
    <w:p w14:paraId="50E94A91" w14:textId="77777777" w:rsidR="00F13B83" w:rsidRDefault="0027717A" w:rsidP="00DB7D83">
      <w:pPr>
        <w:jc w:val="both"/>
        <w:rPr>
          <w:rFonts w:ascii="Calibri" w:hAnsi="Calibri" w:cs="Calibri Light"/>
        </w:rPr>
      </w:pPr>
      <w:r w:rsidRPr="0027717A">
        <w:rPr>
          <w:rFonts w:ascii="Calibri" w:hAnsi="Calibri" w:cs="Calibri Light"/>
        </w:rPr>
        <w:t>A trascinare in negativo il dato complessivo hanno contribuito invece l</w:t>
      </w:r>
      <w:r w:rsidR="00E10022">
        <w:rPr>
          <w:rFonts w:ascii="Calibri" w:hAnsi="Calibri" w:cs="Calibri Light"/>
        </w:rPr>
        <w:t xml:space="preserve">a </w:t>
      </w:r>
      <w:r w:rsidR="00E10022" w:rsidRPr="003A767A">
        <w:rPr>
          <w:rFonts w:ascii="Calibri" w:hAnsi="Calibri" w:cs="Calibri Light"/>
          <w:b/>
          <w:bCs/>
          <w:i/>
          <w:iCs/>
        </w:rPr>
        <w:t>meccanica</w:t>
      </w:r>
      <w:r w:rsidRPr="003A767A">
        <w:rPr>
          <w:rFonts w:ascii="Calibri" w:hAnsi="Calibri" w:cs="Calibri Light"/>
          <w:b/>
          <w:bCs/>
          <w:i/>
          <w:iCs/>
        </w:rPr>
        <w:t xml:space="preserve"> per impieghi speciali</w:t>
      </w:r>
      <w:r w:rsidRPr="0027717A">
        <w:rPr>
          <w:rFonts w:ascii="Calibri" w:hAnsi="Calibri" w:cs="Calibri Light"/>
        </w:rPr>
        <w:t>, l’</w:t>
      </w:r>
      <w:r w:rsidRPr="003A767A">
        <w:rPr>
          <w:rFonts w:ascii="Calibri" w:hAnsi="Calibri" w:cs="Calibri Light"/>
          <w:b/>
          <w:bCs/>
          <w:i/>
          <w:iCs/>
        </w:rPr>
        <w:t>olio</w:t>
      </w:r>
      <w:r w:rsidRPr="0027717A">
        <w:rPr>
          <w:rFonts w:ascii="Calibri" w:hAnsi="Calibri" w:cs="Calibri Light"/>
        </w:rPr>
        <w:t xml:space="preserve"> e altri settori come il </w:t>
      </w:r>
      <w:r w:rsidRPr="003A767A">
        <w:rPr>
          <w:rFonts w:ascii="Calibri" w:hAnsi="Calibri" w:cs="Calibri Light"/>
          <w:b/>
          <w:bCs/>
          <w:i/>
          <w:iCs/>
        </w:rPr>
        <w:t>farmaceutico</w:t>
      </w:r>
      <w:r w:rsidRPr="0027717A">
        <w:rPr>
          <w:rFonts w:ascii="Calibri" w:hAnsi="Calibri" w:cs="Calibri Light"/>
        </w:rPr>
        <w:t xml:space="preserve"> e il </w:t>
      </w:r>
      <w:r w:rsidRPr="003A767A">
        <w:rPr>
          <w:rFonts w:ascii="Calibri" w:hAnsi="Calibri" w:cs="Calibri Light"/>
          <w:b/>
          <w:bCs/>
          <w:i/>
          <w:iCs/>
        </w:rPr>
        <w:t>calzaturiero</w:t>
      </w:r>
      <w:r w:rsidRPr="0027717A">
        <w:rPr>
          <w:rFonts w:ascii="Calibri" w:hAnsi="Calibri" w:cs="Calibri Light"/>
        </w:rPr>
        <w:t>, che hanno registrato cali significativi rispetto allo stesso periodo dell’anno precedente.</w:t>
      </w:r>
    </w:p>
    <w:p w14:paraId="20DE8BCC" w14:textId="77777777" w:rsidR="001D2972" w:rsidRPr="00F13B83" w:rsidRDefault="00F13B83" w:rsidP="0044468A">
      <w:pPr>
        <w:spacing w:after="240"/>
        <w:jc w:val="both"/>
        <w:rPr>
          <w:rFonts w:ascii="Calibri" w:hAnsi="Calibri" w:cs="Calibri Light"/>
        </w:rPr>
      </w:pPr>
      <w:r>
        <w:rPr>
          <w:rFonts w:ascii="Calibri" w:hAnsi="Calibri" w:cs="Calibri Light"/>
        </w:rPr>
        <w:t xml:space="preserve">Anche </w:t>
      </w:r>
      <w:r w:rsidRPr="00F13B83">
        <w:rPr>
          <w:rFonts w:ascii="Calibri" w:hAnsi="Calibri" w:cs="Calibri Light"/>
        </w:rPr>
        <w:t>l</w:t>
      </w:r>
      <w:r w:rsidR="000A5B2F" w:rsidRPr="00F13B83">
        <w:rPr>
          <w:rFonts w:ascii="Calibri" w:hAnsi="Calibri" w:cs="Calibri Light"/>
        </w:rPr>
        <w:t>e</w:t>
      </w:r>
      <w:r w:rsidR="00DF30BC" w:rsidRPr="00F13B83">
        <w:rPr>
          <w:rFonts w:ascii="Calibri" w:hAnsi="Calibri" w:cs="Calibri Light"/>
        </w:rPr>
        <w:t xml:space="preserve"> importazioni della provincia di Lucca</w:t>
      </w:r>
      <w:r w:rsidR="001D2972" w:rsidRPr="00F13B83">
        <w:rPr>
          <w:rFonts w:ascii="Calibri" w:hAnsi="Calibri" w:cs="Calibri Light"/>
        </w:rPr>
        <w:t>,</w:t>
      </w:r>
      <w:r w:rsidR="000A5B2F" w:rsidRPr="00F13B83">
        <w:rPr>
          <w:rFonts w:ascii="Calibri" w:hAnsi="Calibri" w:cs="Calibri Light"/>
        </w:rPr>
        <w:t xml:space="preserve"> nello stesso periodo</w:t>
      </w:r>
      <w:r w:rsidRPr="00F13B83">
        <w:rPr>
          <w:rFonts w:ascii="Calibri" w:hAnsi="Calibri" w:cs="Calibri Light"/>
        </w:rPr>
        <w:t>,</w:t>
      </w:r>
      <w:r w:rsidR="000A5B2F" w:rsidRPr="00F13B83">
        <w:rPr>
          <w:rFonts w:ascii="Calibri" w:hAnsi="Calibri" w:cs="Calibri Light"/>
        </w:rPr>
        <w:t xml:space="preserve"> </w:t>
      </w:r>
      <w:r w:rsidR="00E10022">
        <w:rPr>
          <w:rFonts w:ascii="Calibri" w:hAnsi="Calibri" w:cs="Calibri Light"/>
        </w:rPr>
        <w:t xml:space="preserve">hanno </w:t>
      </w:r>
      <w:r w:rsidR="000A5B2F" w:rsidRPr="00F13B83">
        <w:rPr>
          <w:rFonts w:ascii="Calibri" w:hAnsi="Calibri" w:cs="Calibri Light"/>
        </w:rPr>
        <w:t>registra</w:t>
      </w:r>
      <w:r w:rsidR="00E10022">
        <w:rPr>
          <w:rFonts w:ascii="Calibri" w:hAnsi="Calibri" w:cs="Calibri Light"/>
        </w:rPr>
        <w:t>t</w:t>
      </w:r>
      <w:r w:rsidR="000A5B2F" w:rsidRPr="00F13B83">
        <w:rPr>
          <w:rFonts w:ascii="Calibri" w:hAnsi="Calibri" w:cs="Calibri Light"/>
        </w:rPr>
        <w:t>o</w:t>
      </w:r>
      <w:r w:rsidR="00DF30BC" w:rsidRPr="00F13B83">
        <w:rPr>
          <w:rFonts w:ascii="Calibri" w:hAnsi="Calibri" w:cs="Calibri Light"/>
        </w:rPr>
        <w:t xml:space="preserve"> una contrazione (-</w:t>
      </w:r>
      <w:r w:rsidRPr="00F13B83">
        <w:rPr>
          <w:rFonts w:ascii="Calibri" w:hAnsi="Calibri" w:cs="Calibri Light"/>
        </w:rPr>
        <w:t>8</w:t>
      </w:r>
      <w:r w:rsidR="00DF30BC" w:rsidRPr="00F13B83">
        <w:rPr>
          <w:rFonts w:ascii="Calibri" w:hAnsi="Calibri" w:cs="Calibri Light"/>
        </w:rPr>
        <w:t>,</w:t>
      </w:r>
      <w:r w:rsidRPr="00F13B83">
        <w:rPr>
          <w:rFonts w:ascii="Calibri" w:hAnsi="Calibri" w:cs="Calibri Light"/>
        </w:rPr>
        <w:t>5</w:t>
      </w:r>
      <w:r w:rsidR="00DF30BC" w:rsidRPr="00F13B83">
        <w:rPr>
          <w:rFonts w:ascii="Calibri" w:hAnsi="Calibri" w:cs="Calibri Light"/>
        </w:rPr>
        <w:t xml:space="preserve">%) con un valore complessivo di circa un miliardo e </w:t>
      </w:r>
      <w:r w:rsidRPr="00F13B83">
        <w:rPr>
          <w:rFonts w:ascii="Calibri" w:hAnsi="Calibri" w:cs="Calibri Light"/>
        </w:rPr>
        <w:t>190</w:t>
      </w:r>
      <w:r w:rsidR="00DF30BC" w:rsidRPr="00F13B83">
        <w:rPr>
          <w:rFonts w:ascii="Calibri" w:hAnsi="Calibri" w:cs="Calibri Light"/>
        </w:rPr>
        <w:t xml:space="preserve"> milioni</w:t>
      </w:r>
      <w:r w:rsidR="002F426C" w:rsidRPr="00F13B83">
        <w:rPr>
          <w:rFonts w:ascii="Calibri" w:hAnsi="Calibri" w:cs="Calibri Light"/>
        </w:rPr>
        <w:t xml:space="preserve"> di euro</w:t>
      </w:r>
      <w:r w:rsidR="00DF30BC" w:rsidRPr="00F13B83">
        <w:rPr>
          <w:rFonts w:ascii="Calibri" w:hAnsi="Calibri" w:cs="Calibri Light"/>
        </w:rPr>
        <w:t>.</w:t>
      </w:r>
    </w:p>
    <w:p w14:paraId="14A5D2E6" w14:textId="77777777" w:rsidR="002F426C" w:rsidRPr="00AA1F2B" w:rsidRDefault="002F426C" w:rsidP="002F426C">
      <w:pPr>
        <w:rPr>
          <w:rFonts w:ascii="Calibri" w:hAnsi="Calibri"/>
          <w:b/>
        </w:rPr>
      </w:pPr>
      <w:r w:rsidRPr="00AA1F2B">
        <w:rPr>
          <w:rFonts w:ascii="Calibri" w:hAnsi="Calibri"/>
          <w:b/>
        </w:rPr>
        <w:t>Gli andamenti settoriali</w:t>
      </w:r>
    </w:p>
    <w:p w14:paraId="38988777" w14:textId="77777777" w:rsidR="00DF30BC" w:rsidRDefault="00531074" w:rsidP="0082261E">
      <w:pPr>
        <w:jc w:val="both"/>
        <w:rPr>
          <w:rFonts w:ascii="Calibri" w:hAnsi="Calibri" w:cs="Calibri"/>
        </w:rPr>
      </w:pPr>
      <w:r w:rsidRPr="00EF4707">
        <w:rPr>
          <w:rFonts w:ascii="Calibri" w:hAnsi="Calibri" w:cs="Calibri"/>
        </w:rPr>
        <w:t xml:space="preserve">Nei primi sei mesi del 2025 la </w:t>
      </w:r>
      <w:r w:rsidRPr="00EF4707">
        <w:rPr>
          <w:rFonts w:ascii="Calibri" w:hAnsi="Calibri" w:cs="Calibri"/>
          <w:b/>
          <w:bCs/>
          <w:i/>
          <w:iCs/>
        </w:rPr>
        <w:t>cantieristica navale</w:t>
      </w:r>
      <w:r w:rsidRPr="00EF4707">
        <w:rPr>
          <w:rFonts w:ascii="Calibri" w:hAnsi="Calibri" w:cs="Calibri"/>
        </w:rPr>
        <w:t xml:space="preserve"> ha confermato il suo andamento positivo registrando un valore delle esportazioni di navi e imbarcazioni </w:t>
      </w:r>
      <w:r w:rsidR="00FA0F58">
        <w:rPr>
          <w:rFonts w:ascii="Calibri" w:hAnsi="Calibri" w:cs="Calibri"/>
        </w:rPr>
        <w:t>di 686</w:t>
      </w:r>
      <w:r w:rsidRPr="00EF4707">
        <w:rPr>
          <w:rFonts w:ascii="Calibri" w:hAnsi="Calibri" w:cs="Calibri"/>
        </w:rPr>
        <w:t xml:space="preserve"> milioni di euro. Questa cifra rappresenta circa un quarto dell’export provinciale e supera il record raggiunto lo scorso anno. L’aumento delle vendite del 6,8% rispetto allo stesso periodo del 2024 ha contribuito per 1,5 punti percentuali alla crescita complessiva dell’export della provincia</w:t>
      </w:r>
      <w:r w:rsidR="00DF30BC" w:rsidRPr="00AA1F2B">
        <w:rPr>
          <w:rFonts w:ascii="Calibri" w:hAnsi="Calibri" w:cs="Calibri"/>
        </w:rPr>
        <w:t>.</w:t>
      </w:r>
      <w:r>
        <w:rPr>
          <w:rFonts w:ascii="Calibri" w:hAnsi="Calibri" w:cs="Calibri"/>
        </w:rPr>
        <w:t xml:space="preserve"> I</w:t>
      </w:r>
      <w:r w:rsidR="0055433F" w:rsidRPr="001E19A4">
        <w:rPr>
          <w:rFonts w:ascii="Calibri" w:hAnsi="Calibri" w:cs="Calibri"/>
        </w:rPr>
        <w:t>l Regno Unito</w:t>
      </w:r>
      <w:r w:rsidR="0055433F">
        <w:rPr>
          <w:rFonts w:ascii="Calibri" w:hAnsi="Calibri" w:cs="Calibri"/>
        </w:rPr>
        <w:t xml:space="preserve"> </w:t>
      </w:r>
      <w:r>
        <w:rPr>
          <w:rFonts w:ascii="Calibri" w:hAnsi="Calibri" w:cs="Calibri"/>
        </w:rPr>
        <w:t xml:space="preserve">conquista il primato tra i </w:t>
      </w:r>
      <w:r w:rsidR="0055433F">
        <w:rPr>
          <w:rFonts w:ascii="Calibri" w:hAnsi="Calibri" w:cs="Calibri"/>
        </w:rPr>
        <w:t>mercat</w:t>
      </w:r>
      <w:r>
        <w:rPr>
          <w:rFonts w:ascii="Calibri" w:hAnsi="Calibri" w:cs="Calibri"/>
        </w:rPr>
        <w:t>i</w:t>
      </w:r>
      <w:r w:rsidR="0055433F">
        <w:rPr>
          <w:rFonts w:ascii="Calibri" w:hAnsi="Calibri" w:cs="Calibri"/>
        </w:rPr>
        <w:t xml:space="preserve"> di </w:t>
      </w:r>
      <w:r w:rsidR="0055433F" w:rsidRPr="001E19A4">
        <w:rPr>
          <w:rFonts w:ascii="Calibri" w:hAnsi="Calibri" w:cs="Calibri"/>
        </w:rPr>
        <w:t>destinazione registra</w:t>
      </w:r>
      <w:r w:rsidR="0021014E">
        <w:rPr>
          <w:rFonts w:ascii="Calibri" w:hAnsi="Calibri" w:cs="Calibri"/>
        </w:rPr>
        <w:t>ndo</w:t>
      </w:r>
      <w:r w:rsidR="0055433F" w:rsidRPr="001E19A4">
        <w:rPr>
          <w:rFonts w:ascii="Calibri" w:hAnsi="Calibri" w:cs="Calibri"/>
        </w:rPr>
        <w:t xml:space="preserve"> un incremento del 55,7% </w:t>
      </w:r>
      <w:r w:rsidR="0021014E">
        <w:rPr>
          <w:rFonts w:ascii="Calibri" w:hAnsi="Calibri" w:cs="Calibri"/>
        </w:rPr>
        <w:t xml:space="preserve">e </w:t>
      </w:r>
      <w:r w:rsidR="0055433F" w:rsidRPr="001E19A4">
        <w:rPr>
          <w:rFonts w:ascii="Calibri" w:hAnsi="Calibri" w:cs="Calibri"/>
        </w:rPr>
        <w:t>supera</w:t>
      </w:r>
      <w:r w:rsidR="0055433F">
        <w:rPr>
          <w:rFonts w:ascii="Calibri" w:hAnsi="Calibri" w:cs="Calibri"/>
        </w:rPr>
        <w:t>ndo</w:t>
      </w:r>
      <w:r w:rsidR="0055433F" w:rsidRPr="001E19A4">
        <w:rPr>
          <w:rFonts w:ascii="Calibri" w:hAnsi="Calibri" w:cs="Calibri"/>
        </w:rPr>
        <w:t xml:space="preserve"> i 132 milioni di euro.</w:t>
      </w:r>
      <w:r w:rsidR="0055433F">
        <w:rPr>
          <w:rFonts w:ascii="Calibri" w:hAnsi="Calibri" w:cs="Calibri"/>
        </w:rPr>
        <w:t xml:space="preserve"> </w:t>
      </w:r>
      <w:r w:rsidR="0055433F" w:rsidRPr="001E19A4">
        <w:rPr>
          <w:rFonts w:ascii="Calibri" w:hAnsi="Calibri" w:cs="Calibri"/>
        </w:rPr>
        <w:t>In forte calo, invece, le esportazioni verso le Isole Cayman</w:t>
      </w:r>
      <w:r>
        <w:rPr>
          <w:rFonts w:ascii="Calibri" w:hAnsi="Calibri" w:cs="Calibri"/>
        </w:rPr>
        <w:t xml:space="preserve">, scese al secondo posto e </w:t>
      </w:r>
      <w:r w:rsidR="0055433F" w:rsidRPr="001E19A4">
        <w:rPr>
          <w:rFonts w:ascii="Calibri" w:hAnsi="Calibri" w:cs="Calibri"/>
        </w:rPr>
        <w:t xml:space="preserve">che </w:t>
      </w:r>
      <w:r>
        <w:rPr>
          <w:rFonts w:ascii="Calibri" w:hAnsi="Calibri" w:cs="Calibri"/>
        </w:rPr>
        <w:t>hanno perso</w:t>
      </w:r>
      <w:r w:rsidR="0055433F" w:rsidRPr="001E19A4">
        <w:rPr>
          <w:rFonts w:ascii="Calibri" w:hAnsi="Calibri" w:cs="Calibri"/>
        </w:rPr>
        <w:t xml:space="preserve"> il 61% rispetto al 2024 pur </w:t>
      </w:r>
      <w:r w:rsidR="0055433F" w:rsidRPr="001E19A4">
        <w:rPr>
          <w:rFonts w:ascii="Calibri" w:hAnsi="Calibri" w:cs="Calibri"/>
        </w:rPr>
        <w:lastRenderedPageBreak/>
        <w:t xml:space="preserve">mantenendo un </w:t>
      </w:r>
      <w:r w:rsidR="0055433F">
        <w:rPr>
          <w:rFonts w:ascii="Calibri" w:hAnsi="Calibri" w:cs="Calibri"/>
        </w:rPr>
        <w:t>valore</w:t>
      </w:r>
      <w:r w:rsidR="0055433F" w:rsidRPr="001E19A4">
        <w:rPr>
          <w:rFonts w:ascii="Calibri" w:hAnsi="Calibri" w:cs="Calibri"/>
        </w:rPr>
        <w:t xml:space="preserve"> rilevante di oltre 119 milioni di euro.</w:t>
      </w:r>
      <w:r w:rsidR="00FA0F58">
        <w:rPr>
          <w:rFonts w:ascii="Calibri" w:hAnsi="Calibri" w:cs="Calibri"/>
        </w:rPr>
        <w:t xml:space="preserve"> </w:t>
      </w:r>
      <w:r w:rsidR="0055433F" w:rsidRPr="001E19A4">
        <w:rPr>
          <w:rFonts w:ascii="Calibri" w:hAnsi="Calibri" w:cs="Calibri"/>
        </w:rPr>
        <w:t xml:space="preserve">Al </w:t>
      </w:r>
      <w:r w:rsidR="0055433F">
        <w:rPr>
          <w:rFonts w:ascii="Calibri" w:hAnsi="Calibri" w:cs="Calibri"/>
        </w:rPr>
        <w:t>terzo</w:t>
      </w:r>
      <w:r w:rsidR="0055433F" w:rsidRPr="001E19A4">
        <w:rPr>
          <w:rFonts w:ascii="Calibri" w:hAnsi="Calibri" w:cs="Calibri"/>
        </w:rPr>
        <w:t xml:space="preserve"> posto </w:t>
      </w:r>
      <w:r w:rsidR="0055433F">
        <w:rPr>
          <w:rFonts w:ascii="Calibri" w:hAnsi="Calibri" w:cs="Calibri"/>
        </w:rPr>
        <w:t xml:space="preserve">le </w:t>
      </w:r>
      <w:r w:rsidR="001E19A4" w:rsidRPr="001E19A4">
        <w:rPr>
          <w:rFonts w:ascii="Calibri" w:hAnsi="Calibri" w:cs="Calibri"/>
        </w:rPr>
        <w:t>Isole Marshall</w:t>
      </w:r>
      <w:r w:rsidR="0055433F">
        <w:rPr>
          <w:rFonts w:ascii="Calibri" w:hAnsi="Calibri" w:cs="Calibri"/>
        </w:rPr>
        <w:t xml:space="preserve">, </w:t>
      </w:r>
      <w:r w:rsidR="001E19A4" w:rsidRPr="001E19A4">
        <w:rPr>
          <w:rFonts w:ascii="Calibri" w:hAnsi="Calibri" w:cs="Calibri"/>
        </w:rPr>
        <w:t xml:space="preserve">con un valore di quasi 100 milioni di euro e una crescita del 167% rispetto all’anno precedente. </w:t>
      </w:r>
      <w:r w:rsidR="0055433F">
        <w:rPr>
          <w:rFonts w:ascii="Calibri" w:hAnsi="Calibri" w:cs="Calibri"/>
        </w:rPr>
        <w:t xml:space="preserve">Segue </w:t>
      </w:r>
      <w:r w:rsidR="001E19A4" w:rsidRPr="001E19A4">
        <w:rPr>
          <w:rFonts w:ascii="Calibri" w:hAnsi="Calibri" w:cs="Calibri"/>
        </w:rPr>
        <w:t>Malta</w:t>
      </w:r>
      <w:r w:rsidR="00FA0F58">
        <w:rPr>
          <w:rFonts w:ascii="Calibri" w:hAnsi="Calibri" w:cs="Calibri"/>
        </w:rPr>
        <w:t xml:space="preserve">, </w:t>
      </w:r>
      <w:r w:rsidR="001E19A4" w:rsidRPr="001E19A4">
        <w:rPr>
          <w:rFonts w:ascii="Calibri" w:hAnsi="Calibri" w:cs="Calibri"/>
        </w:rPr>
        <w:t xml:space="preserve">con un valore esportato di oltre 54 milioni di euro e un </w:t>
      </w:r>
      <w:r w:rsidR="0055433F">
        <w:rPr>
          <w:rFonts w:ascii="Calibri" w:hAnsi="Calibri" w:cs="Calibri"/>
        </w:rPr>
        <w:t>incremento</w:t>
      </w:r>
      <w:r w:rsidR="001E19A4" w:rsidRPr="001E19A4">
        <w:rPr>
          <w:rFonts w:ascii="Calibri" w:hAnsi="Calibri" w:cs="Calibri"/>
        </w:rPr>
        <w:t xml:space="preserve"> del 669,2%. </w:t>
      </w:r>
      <w:r w:rsidR="001E19A4">
        <w:rPr>
          <w:rFonts w:ascii="Calibri" w:hAnsi="Calibri" w:cs="Calibri"/>
        </w:rPr>
        <w:t xml:space="preserve">Il dato in aumento è </w:t>
      </w:r>
      <w:r>
        <w:rPr>
          <w:rFonts w:ascii="Calibri" w:hAnsi="Calibri" w:cs="Calibri"/>
        </w:rPr>
        <w:t xml:space="preserve">risultato </w:t>
      </w:r>
      <w:r w:rsidR="001E19A4">
        <w:rPr>
          <w:rFonts w:ascii="Calibri" w:hAnsi="Calibri" w:cs="Calibri"/>
        </w:rPr>
        <w:t>significativo anche</w:t>
      </w:r>
      <w:r w:rsidR="00B20620">
        <w:rPr>
          <w:rFonts w:ascii="Calibri" w:hAnsi="Calibri" w:cs="Calibri"/>
        </w:rPr>
        <w:t xml:space="preserve"> per gli Stati Uniti (+40,6%</w:t>
      </w:r>
      <w:r w:rsidR="00FA0F58">
        <w:rPr>
          <w:rFonts w:ascii="Calibri" w:hAnsi="Calibri" w:cs="Calibri"/>
        </w:rPr>
        <w:t xml:space="preserve">, </w:t>
      </w:r>
      <w:r w:rsidR="00B20620">
        <w:rPr>
          <w:rFonts w:ascii="Calibri" w:hAnsi="Calibri" w:cs="Calibri"/>
        </w:rPr>
        <w:t>oltre 53 milioni di euro) e p</w:t>
      </w:r>
      <w:r w:rsidR="001E19A4">
        <w:rPr>
          <w:rFonts w:ascii="Calibri" w:hAnsi="Calibri" w:cs="Calibri"/>
        </w:rPr>
        <w:t>er la Francia (+625%</w:t>
      </w:r>
      <w:r w:rsidR="00B20620">
        <w:rPr>
          <w:rFonts w:ascii="Calibri" w:hAnsi="Calibri" w:cs="Calibri"/>
        </w:rPr>
        <w:t>,</w:t>
      </w:r>
      <w:r w:rsidR="001E19A4">
        <w:rPr>
          <w:rFonts w:ascii="Calibri" w:hAnsi="Calibri" w:cs="Calibri"/>
        </w:rPr>
        <w:t xml:space="preserve"> </w:t>
      </w:r>
      <w:r w:rsidR="00FA0F58">
        <w:rPr>
          <w:rFonts w:ascii="Calibri" w:hAnsi="Calibri" w:cs="Calibri"/>
        </w:rPr>
        <w:t>quasi 37 milioni</w:t>
      </w:r>
      <w:r w:rsidR="001E19A4">
        <w:rPr>
          <w:rFonts w:ascii="Calibri" w:hAnsi="Calibri" w:cs="Calibri"/>
        </w:rPr>
        <w:t xml:space="preserve"> </w:t>
      </w:r>
      <w:r w:rsidR="00FA0F58">
        <w:rPr>
          <w:rFonts w:ascii="Calibri" w:hAnsi="Calibri" w:cs="Calibri"/>
        </w:rPr>
        <w:t xml:space="preserve">in </w:t>
      </w:r>
      <w:r w:rsidR="001E19A4">
        <w:rPr>
          <w:rFonts w:ascii="Calibri" w:hAnsi="Calibri" w:cs="Calibri"/>
        </w:rPr>
        <w:t>valore esportat</w:t>
      </w:r>
      <w:r w:rsidR="00FA0F58">
        <w:rPr>
          <w:rFonts w:ascii="Calibri" w:hAnsi="Calibri" w:cs="Calibri"/>
        </w:rPr>
        <w:t>o).</w:t>
      </w:r>
      <w:r w:rsidR="001E19A4">
        <w:rPr>
          <w:rFonts w:ascii="Calibri" w:hAnsi="Calibri" w:cs="Calibri"/>
        </w:rPr>
        <w:t xml:space="preserve"> </w:t>
      </w:r>
      <w:r w:rsidR="00B20620">
        <w:rPr>
          <w:rFonts w:ascii="Calibri" w:hAnsi="Calibri" w:cs="Calibri"/>
        </w:rPr>
        <w:t>L</w:t>
      </w:r>
      <w:r w:rsidR="001E19A4" w:rsidRPr="001E19A4">
        <w:rPr>
          <w:rFonts w:ascii="Calibri" w:hAnsi="Calibri" w:cs="Calibri"/>
        </w:rPr>
        <w:t>e vendite verso Regno Unito</w:t>
      </w:r>
      <w:r w:rsidR="00907A62">
        <w:rPr>
          <w:rFonts w:ascii="Calibri" w:hAnsi="Calibri" w:cs="Calibri"/>
        </w:rPr>
        <w:t xml:space="preserve">, Isole Cayman e Isole </w:t>
      </w:r>
      <w:r w:rsidR="00907A62" w:rsidRPr="001E19A4">
        <w:rPr>
          <w:rFonts w:ascii="Calibri" w:hAnsi="Calibri" w:cs="Calibri"/>
        </w:rPr>
        <w:t xml:space="preserve">Marshall </w:t>
      </w:r>
      <w:r w:rsidR="00907A62">
        <w:rPr>
          <w:rFonts w:ascii="Calibri" w:hAnsi="Calibri" w:cs="Calibri"/>
        </w:rPr>
        <w:t xml:space="preserve">hanno </w:t>
      </w:r>
      <w:r w:rsidR="001E19A4" w:rsidRPr="001E19A4">
        <w:rPr>
          <w:rFonts w:ascii="Calibri" w:hAnsi="Calibri" w:cs="Calibri"/>
        </w:rPr>
        <w:t>rappresenta</w:t>
      </w:r>
      <w:r w:rsidR="00907A62">
        <w:rPr>
          <w:rFonts w:ascii="Calibri" w:hAnsi="Calibri" w:cs="Calibri"/>
        </w:rPr>
        <w:t>t</w:t>
      </w:r>
      <w:r w:rsidR="001E19A4" w:rsidRPr="001E19A4">
        <w:rPr>
          <w:rFonts w:ascii="Calibri" w:hAnsi="Calibri" w:cs="Calibri"/>
        </w:rPr>
        <w:t xml:space="preserve">o oltre </w:t>
      </w:r>
      <w:r w:rsidR="00B20620">
        <w:rPr>
          <w:rFonts w:ascii="Calibri" w:hAnsi="Calibri" w:cs="Calibri"/>
        </w:rPr>
        <w:t xml:space="preserve">la metà </w:t>
      </w:r>
      <w:r w:rsidR="001E19A4" w:rsidRPr="001E19A4">
        <w:rPr>
          <w:rFonts w:ascii="Calibri" w:hAnsi="Calibri" w:cs="Calibri"/>
        </w:rPr>
        <w:t>delle esportazioni provinciali del settore.</w:t>
      </w:r>
    </w:p>
    <w:p w14:paraId="4E91A5C3" w14:textId="77777777" w:rsidR="002A3587" w:rsidRDefault="002A3587" w:rsidP="002A3587">
      <w:pPr>
        <w:jc w:val="both"/>
        <w:rPr>
          <w:rFonts w:ascii="Calibri" w:hAnsi="Calibri" w:cs="Calibri"/>
          <w:u w:val="single"/>
        </w:rPr>
      </w:pPr>
      <w:r w:rsidRPr="00C566B4">
        <w:rPr>
          <w:rFonts w:ascii="Calibri" w:hAnsi="Calibri" w:cs="Calibri"/>
        </w:rPr>
        <w:t>Si confermano note favorevoli per l’export del comparto della</w:t>
      </w:r>
      <w:r w:rsidRPr="00256B3A">
        <w:rPr>
          <w:rFonts w:ascii="Calibri" w:hAnsi="Calibri" w:cs="Calibri"/>
          <w:b/>
          <w:bCs/>
        </w:rPr>
        <w:t xml:space="preserve"> </w:t>
      </w:r>
      <w:r w:rsidRPr="00C566B4">
        <w:rPr>
          <w:rFonts w:ascii="Calibri" w:hAnsi="Calibri" w:cs="Calibri"/>
          <w:b/>
          <w:bCs/>
          <w:i/>
          <w:iCs/>
        </w:rPr>
        <w:t>carta e cartotecnica</w:t>
      </w:r>
      <w:r w:rsidRPr="00C566B4">
        <w:rPr>
          <w:rFonts w:ascii="Calibri" w:hAnsi="Calibri" w:cs="Calibri"/>
          <w:b/>
          <w:bCs/>
        </w:rPr>
        <w:t>,</w:t>
      </w:r>
      <w:r w:rsidRPr="00C566B4">
        <w:rPr>
          <w:rFonts w:ascii="Calibri" w:hAnsi="Calibri" w:cs="Calibri"/>
        </w:rPr>
        <w:t xml:space="preserve"> salito a quota 642 milioni di euro (+3,6%) nei primi sei mesi del 2025</w:t>
      </w:r>
      <w:r w:rsidRPr="00C566B4">
        <w:rPr>
          <w:rFonts w:ascii="Calibri" w:hAnsi="Calibri" w:cs="Calibri"/>
          <w:u w:val="single"/>
        </w:rPr>
        <w:t>.</w:t>
      </w:r>
      <w:r>
        <w:rPr>
          <w:rFonts w:ascii="Calibri" w:hAnsi="Calibri" w:cs="Calibri"/>
          <w:u w:val="single"/>
        </w:rPr>
        <w:t xml:space="preserve"> </w:t>
      </w:r>
    </w:p>
    <w:p w14:paraId="44911942" w14:textId="77777777" w:rsidR="002A3587" w:rsidRDefault="002A3587" w:rsidP="002A3587">
      <w:pPr>
        <w:jc w:val="both"/>
        <w:rPr>
          <w:rFonts w:ascii="Calibri" w:hAnsi="Calibri" w:cs="Calibri"/>
        </w:rPr>
      </w:pPr>
      <w:r w:rsidRPr="00C566B4">
        <w:rPr>
          <w:rFonts w:ascii="Calibri" w:hAnsi="Calibri" w:cs="Calibri"/>
        </w:rPr>
        <w:t xml:space="preserve">Nel dettaglio, si </w:t>
      </w:r>
      <w:r>
        <w:rPr>
          <w:rFonts w:ascii="Calibri" w:hAnsi="Calibri" w:cs="Calibri"/>
        </w:rPr>
        <w:t xml:space="preserve">è </w:t>
      </w:r>
      <w:r w:rsidRPr="00C566B4">
        <w:rPr>
          <w:rFonts w:ascii="Calibri" w:hAnsi="Calibri" w:cs="Calibri"/>
        </w:rPr>
        <w:t>registra</w:t>
      </w:r>
      <w:r>
        <w:rPr>
          <w:rFonts w:ascii="Calibri" w:hAnsi="Calibri" w:cs="Calibri"/>
        </w:rPr>
        <w:t>to</w:t>
      </w:r>
      <w:r w:rsidRPr="00C566B4">
        <w:rPr>
          <w:rFonts w:ascii="Calibri" w:hAnsi="Calibri" w:cs="Calibri"/>
        </w:rPr>
        <w:t xml:space="preserve"> un aumento del 3,6% per gli </w:t>
      </w:r>
      <w:r w:rsidRPr="0046087C">
        <w:rPr>
          <w:rFonts w:ascii="Calibri" w:hAnsi="Calibri" w:cs="Calibri"/>
          <w:b/>
          <w:bCs/>
          <w:i/>
          <w:iCs/>
        </w:rPr>
        <w:t>articoli di carta e di cartone</w:t>
      </w:r>
      <w:r w:rsidRPr="00C566B4">
        <w:rPr>
          <w:rFonts w:ascii="Calibri" w:hAnsi="Calibri" w:cs="Calibri"/>
        </w:rPr>
        <w:t xml:space="preserve">, con un controvalore che </w:t>
      </w:r>
      <w:r>
        <w:rPr>
          <w:rFonts w:ascii="Calibri" w:hAnsi="Calibri" w:cs="Calibri"/>
        </w:rPr>
        <w:t xml:space="preserve">ha </w:t>
      </w:r>
      <w:r w:rsidRPr="00C566B4">
        <w:rPr>
          <w:rFonts w:ascii="Calibri" w:hAnsi="Calibri" w:cs="Calibri"/>
        </w:rPr>
        <w:t>supera</w:t>
      </w:r>
      <w:r>
        <w:rPr>
          <w:rFonts w:ascii="Calibri" w:hAnsi="Calibri" w:cs="Calibri"/>
        </w:rPr>
        <w:t>to</w:t>
      </w:r>
      <w:r w:rsidRPr="00C566B4">
        <w:rPr>
          <w:rFonts w:ascii="Calibri" w:hAnsi="Calibri" w:cs="Calibri"/>
        </w:rPr>
        <w:t xml:space="preserve"> i 390 milioni di euro. La Francia </w:t>
      </w:r>
      <w:r>
        <w:rPr>
          <w:rFonts w:ascii="Calibri" w:hAnsi="Calibri" w:cs="Calibri"/>
        </w:rPr>
        <w:t>ha confermato il primato tra i m</w:t>
      </w:r>
      <w:r w:rsidRPr="00C566B4">
        <w:rPr>
          <w:rFonts w:ascii="Calibri" w:hAnsi="Calibri" w:cs="Calibri"/>
        </w:rPr>
        <w:t>ercat</w:t>
      </w:r>
      <w:r>
        <w:rPr>
          <w:rFonts w:ascii="Calibri" w:hAnsi="Calibri" w:cs="Calibri"/>
        </w:rPr>
        <w:t>i</w:t>
      </w:r>
      <w:r w:rsidRPr="00C566B4">
        <w:rPr>
          <w:rFonts w:ascii="Calibri" w:hAnsi="Calibri" w:cs="Calibri"/>
        </w:rPr>
        <w:t xml:space="preserve"> di destinazione con oltre 118 milioni di euro, nonostante un calo del 3,4%</w:t>
      </w:r>
      <w:r>
        <w:rPr>
          <w:rFonts w:ascii="Calibri" w:hAnsi="Calibri" w:cs="Calibri"/>
        </w:rPr>
        <w:t xml:space="preserve"> nel semestre</w:t>
      </w:r>
      <w:r w:rsidRPr="00C566B4">
        <w:rPr>
          <w:rFonts w:ascii="Calibri" w:hAnsi="Calibri" w:cs="Calibri"/>
        </w:rPr>
        <w:t>. In crescita invece Germania (+4,3%</w:t>
      </w:r>
      <w:r>
        <w:rPr>
          <w:rFonts w:ascii="Calibri" w:hAnsi="Calibri" w:cs="Calibri"/>
        </w:rPr>
        <w:t>, 57 milioni</w:t>
      </w:r>
      <w:r w:rsidRPr="00C566B4">
        <w:rPr>
          <w:rFonts w:ascii="Calibri" w:hAnsi="Calibri" w:cs="Calibri"/>
        </w:rPr>
        <w:t>), Spagna (+9,9%</w:t>
      </w:r>
      <w:r>
        <w:rPr>
          <w:rFonts w:ascii="Calibri" w:hAnsi="Calibri" w:cs="Calibri"/>
        </w:rPr>
        <w:t>, 23 milioni</w:t>
      </w:r>
      <w:r w:rsidRPr="00C566B4">
        <w:rPr>
          <w:rFonts w:ascii="Calibri" w:hAnsi="Calibri" w:cs="Calibri"/>
        </w:rPr>
        <w:t>) e Austria (+13,2%</w:t>
      </w:r>
      <w:r>
        <w:rPr>
          <w:rFonts w:ascii="Calibri" w:hAnsi="Calibri" w:cs="Calibri"/>
        </w:rPr>
        <w:t>, 18 milioni</w:t>
      </w:r>
      <w:r w:rsidRPr="00C566B4">
        <w:rPr>
          <w:rFonts w:ascii="Calibri" w:hAnsi="Calibri" w:cs="Calibri"/>
        </w:rPr>
        <w:t xml:space="preserve">), mentre la Svizzera </w:t>
      </w:r>
      <w:r>
        <w:rPr>
          <w:rFonts w:ascii="Calibri" w:hAnsi="Calibri" w:cs="Calibri"/>
        </w:rPr>
        <w:t xml:space="preserve">ha </w:t>
      </w:r>
      <w:r w:rsidRPr="00C566B4">
        <w:rPr>
          <w:rFonts w:ascii="Calibri" w:hAnsi="Calibri" w:cs="Calibri"/>
        </w:rPr>
        <w:t>evidenzia</w:t>
      </w:r>
      <w:r>
        <w:rPr>
          <w:rFonts w:ascii="Calibri" w:hAnsi="Calibri" w:cs="Calibri"/>
        </w:rPr>
        <w:t>to</w:t>
      </w:r>
      <w:r w:rsidRPr="00C566B4">
        <w:rPr>
          <w:rFonts w:ascii="Calibri" w:hAnsi="Calibri" w:cs="Calibri"/>
        </w:rPr>
        <w:t xml:space="preserve"> una contrazione del 9,4%</w:t>
      </w:r>
      <w:r>
        <w:rPr>
          <w:rFonts w:ascii="Calibri" w:hAnsi="Calibri" w:cs="Calibri"/>
        </w:rPr>
        <w:t xml:space="preserve"> scendendo a 23 milioni</w:t>
      </w:r>
      <w:r w:rsidRPr="00C566B4">
        <w:rPr>
          <w:rFonts w:ascii="Calibri" w:hAnsi="Calibri" w:cs="Calibri"/>
        </w:rPr>
        <w:t xml:space="preserve">. Da segnalare anche la forte crescita </w:t>
      </w:r>
      <w:r>
        <w:rPr>
          <w:rFonts w:ascii="Calibri" w:hAnsi="Calibri" w:cs="Calibri"/>
        </w:rPr>
        <w:t xml:space="preserve">delle vendite </w:t>
      </w:r>
      <w:r w:rsidRPr="00C566B4">
        <w:rPr>
          <w:rFonts w:ascii="Calibri" w:hAnsi="Calibri" w:cs="Calibri"/>
        </w:rPr>
        <w:t>nei Paesi Bassi (+27,6%</w:t>
      </w:r>
      <w:r>
        <w:rPr>
          <w:rFonts w:ascii="Calibri" w:hAnsi="Calibri" w:cs="Calibri"/>
        </w:rPr>
        <w:t>)</w:t>
      </w:r>
      <w:r w:rsidRPr="00C566B4">
        <w:rPr>
          <w:rFonts w:ascii="Calibri" w:hAnsi="Calibri" w:cs="Calibri"/>
        </w:rPr>
        <w:t xml:space="preserve">, </w:t>
      </w:r>
      <w:r>
        <w:rPr>
          <w:rFonts w:ascii="Calibri" w:hAnsi="Calibri" w:cs="Calibri"/>
        </w:rPr>
        <w:t>in</w:t>
      </w:r>
      <w:r w:rsidRPr="00C566B4">
        <w:rPr>
          <w:rFonts w:ascii="Calibri" w:hAnsi="Calibri" w:cs="Calibri"/>
        </w:rPr>
        <w:t xml:space="preserve"> Marocco (+132%) e </w:t>
      </w:r>
      <w:r>
        <w:rPr>
          <w:rFonts w:ascii="Calibri" w:hAnsi="Calibri" w:cs="Calibri"/>
        </w:rPr>
        <w:t>n</w:t>
      </w:r>
      <w:r w:rsidRPr="00C566B4">
        <w:rPr>
          <w:rFonts w:ascii="Calibri" w:hAnsi="Calibri" w:cs="Calibri"/>
        </w:rPr>
        <w:t xml:space="preserve">egli Stati Uniti </w:t>
      </w:r>
      <w:r>
        <w:rPr>
          <w:rFonts w:ascii="Calibri" w:hAnsi="Calibri" w:cs="Calibri"/>
        </w:rPr>
        <w:t xml:space="preserve">dove hanno superato i </w:t>
      </w:r>
      <w:r w:rsidRPr="00C566B4">
        <w:rPr>
          <w:rFonts w:ascii="Calibri" w:hAnsi="Calibri" w:cs="Calibri"/>
        </w:rPr>
        <w:t>3 milioni</w:t>
      </w:r>
      <w:r>
        <w:rPr>
          <w:rFonts w:ascii="Calibri" w:hAnsi="Calibri" w:cs="Calibri"/>
        </w:rPr>
        <w:t xml:space="preserve"> (+260%)</w:t>
      </w:r>
      <w:r w:rsidRPr="00C566B4">
        <w:rPr>
          <w:rFonts w:ascii="Calibri" w:hAnsi="Calibri" w:cs="Calibri"/>
        </w:rPr>
        <w:t>.</w:t>
      </w:r>
    </w:p>
    <w:p w14:paraId="0D82D6A4" w14:textId="77777777" w:rsidR="002A3587" w:rsidRDefault="002A3587" w:rsidP="002A3587">
      <w:pPr>
        <w:jc w:val="both"/>
        <w:rPr>
          <w:rFonts w:ascii="Calibri" w:hAnsi="Calibri" w:cs="Calibri"/>
          <w:bCs/>
        </w:rPr>
      </w:pPr>
      <w:r w:rsidRPr="00C566B4">
        <w:rPr>
          <w:rFonts w:ascii="Calibri" w:hAnsi="Calibri" w:cs="Calibri"/>
        </w:rPr>
        <w:t>Invertendo la tendenza del primo semestre dello scorso anno</w:t>
      </w:r>
      <w:r>
        <w:rPr>
          <w:rFonts w:ascii="Calibri" w:hAnsi="Calibri" w:cs="Calibri"/>
        </w:rPr>
        <w:t>,</w:t>
      </w:r>
      <w:r w:rsidRPr="00C566B4">
        <w:rPr>
          <w:rFonts w:ascii="Calibri" w:hAnsi="Calibri" w:cs="Calibri"/>
        </w:rPr>
        <w:t xml:space="preserve"> le esportazioni di </w:t>
      </w:r>
      <w:r w:rsidRPr="00C566B4">
        <w:rPr>
          <w:rFonts w:ascii="Calibri" w:hAnsi="Calibri" w:cs="Calibri"/>
          <w:b/>
          <w:bCs/>
          <w:i/>
        </w:rPr>
        <w:t>pasta da carta, carta e cartone</w:t>
      </w:r>
      <w:r w:rsidRPr="00C566B4">
        <w:rPr>
          <w:rFonts w:ascii="Calibri" w:hAnsi="Calibri" w:cs="Calibri"/>
          <w:bCs/>
        </w:rPr>
        <w:t xml:space="preserve"> ha</w:t>
      </w:r>
      <w:r>
        <w:rPr>
          <w:rFonts w:ascii="Calibri" w:hAnsi="Calibri" w:cs="Calibri"/>
          <w:bCs/>
        </w:rPr>
        <w:t>nno</w:t>
      </w:r>
      <w:r w:rsidRPr="00C566B4">
        <w:rPr>
          <w:rFonts w:ascii="Calibri" w:hAnsi="Calibri" w:cs="Calibri"/>
          <w:bCs/>
        </w:rPr>
        <w:t xml:space="preserve"> </w:t>
      </w:r>
      <w:r>
        <w:rPr>
          <w:rFonts w:ascii="Calibri" w:hAnsi="Calibri" w:cs="Calibri"/>
          <w:bCs/>
        </w:rPr>
        <w:t xml:space="preserve">superato i </w:t>
      </w:r>
      <w:r w:rsidRPr="00C566B4">
        <w:rPr>
          <w:rFonts w:ascii="Calibri" w:hAnsi="Calibri" w:cs="Calibri"/>
          <w:bCs/>
        </w:rPr>
        <w:t>25</w:t>
      </w:r>
      <w:r>
        <w:rPr>
          <w:rFonts w:ascii="Calibri" w:hAnsi="Calibri" w:cs="Calibri"/>
          <w:bCs/>
        </w:rPr>
        <w:t>1</w:t>
      </w:r>
      <w:r w:rsidRPr="00C566B4">
        <w:rPr>
          <w:rFonts w:ascii="Calibri" w:hAnsi="Calibri" w:cs="Calibri"/>
          <w:bCs/>
        </w:rPr>
        <w:t xml:space="preserve"> milioni di euro</w:t>
      </w:r>
      <w:r w:rsidRPr="00C16C90">
        <w:rPr>
          <w:rFonts w:ascii="Calibri" w:hAnsi="Calibri" w:cs="Calibri"/>
          <w:bCs/>
        </w:rPr>
        <w:t xml:space="preserve"> </w:t>
      </w:r>
      <w:r>
        <w:rPr>
          <w:rFonts w:ascii="Calibri" w:hAnsi="Calibri" w:cs="Calibri"/>
          <w:bCs/>
        </w:rPr>
        <w:t>nella prima metà del 2025</w:t>
      </w:r>
      <w:r w:rsidRPr="00C566B4">
        <w:rPr>
          <w:rFonts w:ascii="Calibri" w:hAnsi="Calibri" w:cs="Calibri"/>
          <w:bCs/>
        </w:rPr>
        <w:t xml:space="preserve">, </w:t>
      </w:r>
      <w:r>
        <w:rPr>
          <w:rFonts w:ascii="Calibri" w:hAnsi="Calibri" w:cs="Calibri"/>
          <w:bCs/>
        </w:rPr>
        <w:t>un valore i</w:t>
      </w:r>
      <w:r w:rsidRPr="00C566B4">
        <w:rPr>
          <w:rFonts w:ascii="Calibri" w:hAnsi="Calibri" w:cs="Calibri"/>
          <w:bCs/>
        </w:rPr>
        <w:t>n aumento del +3,7% (+9 milioni)</w:t>
      </w:r>
      <w:r>
        <w:rPr>
          <w:rFonts w:ascii="Calibri" w:hAnsi="Calibri" w:cs="Calibri"/>
          <w:bCs/>
        </w:rPr>
        <w:t xml:space="preserve"> rispetto al 2024. </w:t>
      </w:r>
      <w:r w:rsidRPr="00C566B4">
        <w:rPr>
          <w:rFonts w:ascii="Calibri" w:hAnsi="Calibri" w:cs="Calibri"/>
          <w:bCs/>
        </w:rPr>
        <w:t>Tra i principali mercati di destinazione si segnala la Germania, primo partner con oltre 38,4 milioni di euro (+8,3%), seguita da</w:t>
      </w:r>
      <w:r>
        <w:rPr>
          <w:rFonts w:ascii="Calibri" w:hAnsi="Calibri" w:cs="Calibri"/>
          <w:bCs/>
        </w:rPr>
        <w:t xml:space="preserve"> una </w:t>
      </w:r>
      <w:r w:rsidRPr="00C566B4">
        <w:rPr>
          <w:rFonts w:ascii="Calibri" w:hAnsi="Calibri" w:cs="Calibri"/>
          <w:bCs/>
        </w:rPr>
        <w:t>Polonia</w:t>
      </w:r>
      <w:r>
        <w:rPr>
          <w:rFonts w:ascii="Calibri" w:hAnsi="Calibri" w:cs="Calibri"/>
          <w:bCs/>
        </w:rPr>
        <w:t xml:space="preserve"> in forte crescita </w:t>
      </w:r>
      <w:r w:rsidRPr="00C566B4">
        <w:rPr>
          <w:rFonts w:ascii="Calibri" w:hAnsi="Calibri" w:cs="Calibri"/>
          <w:bCs/>
        </w:rPr>
        <w:t>(+62,6%</w:t>
      </w:r>
      <w:r>
        <w:rPr>
          <w:rFonts w:ascii="Calibri" w:hAnsi="Calibri" w:cs="Calibri"/>
          <w:bCs/>
        </w:rPr>
        <w:t xml:space="preserve">, </w:t>
      </w:r>
      <w:r w:rsidRPr="00C566B4">
        <w:rPr>
          <w:rFonts w:ascii="Calibri" w:hAnsi="Calibri" w:cs="Calibri"/>
          <w:bCs/>
        </w:rPr>
        <w:t xml:space="preserve">37 milioni di euro) </w:t>
      </w:r>
      <w:r>
        <w:rPr>
          <w:rFonts w:ascii="Calibri" w:hAnsi="Calibri" w:cs="Calibri"/>
          <w:bCs/>
        </w:rPr>
        <w:t xml:space="preserve">che ha superato la </w:t>
      </w:r>
      <w:r w:rsidRPr="00C566B4">
        <w:rPr>
          <w:rFonts w:ascii="Calibri" w:hAnsi="Calibri" w:cs="Calibri"/>
          <w:bCs/>
        </w:rPr>
        <w:t>Francia</w:t>
      </w:r>
      <w:r>
        <w:rPr>
          <w:rFonts w:ascii="Calibri" w:hAnsi="Calibri" w:cs="Calibri"/>
          <w:bCs/>
        </w:rPr>
        <w:t xml:space="preserve"> in flessione </w:t>
      </w:r>
      <w:r w:rsidRPr="00C566B4">
        <w:rPr>
          <w:rFonts w:ascii="Calibri" w:hAnsi="Calibri" w:cs="Calibri"/>
          <w:bCs/>
        </w:rPr>
        <w:t>(-8,6%</w:t>
      </w:r>
      <w:r>
        <w:rPr>
          <w:rFonts w:ascii="Calibri" w:hAnsi="Calibri" w:cs="Calibri"/>
          <w:bCs/>
        </w:rPr>
        <w:t xml:space="preserve">, </w:t>
      </w:r>
      <w:r w:rsidRPr="00C566B4">
        <w:rPr>
          <w:rFonts w:ascii="Calibri" w:hAnsi="Calibri" w:cs="Calibri"/>
          <w:bCs/>
        </w:rPr>
        <w:t>34,8 milioni).</w:t>
      </w:r>
      <w:r>
        <w:rPr>
          <w:rFonts w:ascii="Calibri" w:hAnsi="Calibri" w:cs="Calibri"/>
          <w:bCs/>
        </w:rPr>
        <w:t xml:space="preserve"> Tra i partner storici, sono risultati in crescita gli S</w:t>
      </w:r>
      <w:r w:rsidRPr="00C566B4">
        <w:rPr>
          <w:rFonts w:ascii="Calibri" w:hAnsi="Calibri" w:cs="Calibri"/>
          <w:bCs/>
        </w:rPr>
        <w:t>tati Uniti</w:t>
      </w:r>
      <w:r>
        <w:rPr>
          <w:rFonts w:ascii="Calibri" w:hAnsi="Calibri" w:cs="Calibri"/>
          <w:bCs/>
        </w:rPr>
        <w:t xml:space="preserve"> (</w:t>
      </w:r>
      <w:r w:rsidRPr="00C566B4">
        <w:rPr>
          <w:rFonts w:ascii="Calibri" w:hAnsi="Calibri" w:cs="Calibri"/>
          <w:bCs/>
        </w:rPr>
        <w:t>+24,1%</w:t>
      </w:r>
      <w:r>
        <w:rPr>
          <w:rFonts w:ascii="Calibri" w:hAnsi="Calibri" w:cs="Calibri"/>
          <w:bCs/>
        </w:rPr>
        <w:t xml:space="preserve">) e la Grecia (+44,9%), mentre hanno segnato un calo marcato il </w:t>
      </w:r>
      <w:r w:rsidRPr="00C566B4">
        <w:rPr>
          <w:rFonts w:ascii="Calibri" w:hAnsi="Calibri" w:cs="Calibri"/>
          <w:bCs/>
        </w:rPr>
        <w:t>Regno Unito (-13,7%)</w:t>
      </w:r>
      <w:r>
        <w:rPr>
          <w:rFonts w:ascii="Calibri" w:hAnsi="Calibri" w:cs="Calibri"/>
          <w:bCs/>
        </w:rPr>
        <w:t xml:space="preserve"> e Spagna (-6%). </w:t>
      </w:r>
    </w:p>
    <w:p w14:paraId="6F710700" w14:textId="77777777" w:rsidR="00C811DD" w:rsidRDefault="005A1663" w:rsidP="00511F8D">
      <w:pPr>
        <w:jc w:val="both"/>
        <w:rPr>
          <w:rFonts w:ascii="Calibri" w:hAnsi="Calibri" w:cs="Calibri"/>
        </w:rPr>
      </w:pPr>
      <w:r w:rsidRPr="005A1663">
        <w:rPr>
          <w:rFonts w:ascii="Calibri" w:hAnsi="Calibri" w:cs="Calibri"/>
        </w:rPr>
        <w:t>Dopo la forte crescita dell'anno precedente</w:t>
      </w:r>
      <w:r w:rsidRPr="0046087C">
        <w:rPr>
          <w:rFonts w:ascii="Calibri" w:hAnsi="Calibri" w:cs="Calibri"/>
          <w:i/>
          <w:iCs/>
        </w:rPr>
        <w:t xml:space="preserve">, </w:t>
      </w:r>
      <w:r w:rsidR="00F86A28" w:rsidRPr="005A1663">
        <w:rPr>
          <w:rFonts w:ascii="Calibri" w:hAnsi="Calibri" w:cs="Calibri"/>
        </w:rPr>
        <w:t>ne</w:t>
      </w:r>
      <w:r w:rsidR="00F86A28">
        <w:rPr>
          <w:rFonts w:ascii="Calibri" w:hAnsi="Calibri" w:cs="Calibri"/>
        </w:rPr>
        <w:t xml:space="preserve">lla prima metà del </w:t>
      </w:r>
      <w:r w:rsidR="00F86A28" w:rsidRPr="005A1663">
        <w:rPr>
          <w:rFonts w:ascii="Calibri" w:hAnsi="Calibri" w:cs="Calibri"/>
        </w:rPr>
        <w:t>2025</w:t>
      </w:r>
      <w:r w:rsidR="00F86A28">
        <w:rPr>
          <w:rFonts w:ascii="Calibri" w:hAnsi="Calibri" w:cs="Calibri"/>
        </w:rPr>
        <w:t xml:space="preserve"> </w:t>
      </w:r>
      <w:r w:rsidR="00531074" w:rsidRPr="00531074">
        <w:rPr>
          <w:rFonts w:ascii="Calibri" w:hAnsi="Calibri" w:cs="Calibri"/>
        </w:rPr>
        <w:t>l’export dell</w:t>
      </w:r>
      <w:r w:rsidRPr="00531074">
        <w:rPr>
          <w:rFonts w:ascii="Calibri" w:hAnsi="Calibri" w:cs="Calibri"/>
        </w:rPr>
        <w:t>’</w:t>
      </w:r>
      <w:r w:rsidRPr="0046087C">
        <w:rPr>
          <w:rFonts w:ascii="Calibri" w:hAnsi="Calibri" w:cs="Calibri"/>
          <w:b/>
          <w:bCs/>
          <w:i/>
          <w:iCs/>
        </w:rPr>
        <w:t>industria meccanica</w:t>
      </w:r>
      <w:r w:rsidR="00F86A28" w:rsidRPr="00F86A28">
        <w:rPr>
          <w:rFonts w:ascii="Calibri" w:hAnsi="Calibri" w:cs="Calibri"/>
        </w:rPr>
        <w:t xml:space="preserve"> </w:t>
      </w:r>
      <w:r w:rsidR="00F86A28">
        <w:rPr>
          <w:rFonts w:ascii="Calibri" w:hAnsi="Calibri" w:cs="Calibri"/>
        </w:rPr>
        <w:t xml:space="preserve">nel </w:t>
      </w:r>
      <w:r w:rsidR="00F86A28" w:rsidRPr="00F86A28">
        <w:rPr>
          <w:rFonts w:ascii="Calibri" w:hAnsi="Calibri" w:cs="Calibri"/>
        </w:rPr>
        <w:t>complesso</w:t>
      </w:r>
      <w:r w:rsidRPr="005A1663">
        <w:rPr>
          <w:rFonts w:ascii="Calibri" w:hAnsi="Calibri" w:cs="Calibri"/>
        </w:rPr>
        <w:t xml:space="preserve"> </w:t>
      </w:r>
      <w:r w:rsidR="00531074">
        <w:rPr>
          <w:rFonts w:ascii="Calibri" w:hAnsi="Calibri" w:cs="Calibri"/>
        </w:rPr>
        <w:t xml:space="preserve">ha </w:t>
      </w:r>
      <w:r w:rsidRPr="005A1663">
        <w:rPr>
          <w:rFonts w:ascii="Calibri" w:hAnsi="Calibri" w:cs="Calibri"/>
        </w:rPr>
        <w:t>registra</w:t>
      </w:r>
      <w:r w:rsidR="00531074">
        <w:rPr>
          <w:rFonts w:ascii="Calibri" w:hAnsi="Calibri" w:cs="Calibri"/>
        </w:rPr>
        <w:t>to</w:t>
      </w:r>
      <w:r w:rsidRPr="005A1663">
        <w:rPr>
          <w:rFonts w:ascii="Calibri" w:hAnsi="Calibri" w:cs="Calibri"/>
        </w:rPr>
        <w:t xml:space="preserve"> una flessione </w:t>
      </w:r>
      <w:r w:rsidR="00531074">
        <w:rPr>
          <w:rFonts w:ascii="Calibri" w:hAnsi="Calibri" w:cs="Calibri"/>
        </w:rPr>
        <w:t>dell’8,9%</w:t>
      </w:r>
      <w:r w:rsidRPr="005A1663">
        <w:rPr>
          <w:rFonts w:ascii="Calibri" w:hAnsi="Calibri" w:cs="Calibri"/>
        </w:rPr>
        <w:t xml:space="preserve">, scendendo a </w:t>
      </w:r>
      <w:r w:rsidR="00F86A28">
        <w:rPr>
          <w:rFonts w:ascii="Calibri" w:hAnsi="Calibri" w:cs="Calibri"/>
        </w:rPr>
        <w:t xml:space="preserve">quasi </w:t>
      </w:r>
      <w:r w:rsidRPr="005A1663">
        <w:rPr>
          <w:rFonts w:ascii="Calibri" w:hAnsi="Calibri" w:cs="Calibri"/>
        </w:rPr>
        <w:t>42</w:t>
      </w:r>
      <w:r w:rsidR="00F86A28">
        <w:rPr>
          <w:rFonts w:ascii="Calibri" w:hAnsi="Calibri" w:cs="Calibri"/>
        </w:rPr>
        <w:t>2</w:t>
      </w:r>
      <w:r w:rsidRPr="005A1663">
        <w:rPr>
          <w:rFonts w:ascii="Calibri" w:hAnsi="Calibri" w:cs="Calibri"/>
        </w:rPr>
        <w:t xml:space="preserve"> milioni di euro</w:t>
      </w:r>
      <w:r w:rsidR="00531074">
        <w:rPr>
          <w:rFonts w:ascii="Calibri" w:hAnsi="Calibri" w:cs="Calibri"/>
        </w:rPr>
        <w:t>.</w:t>
      </w:r>
      <w:r w:rsidRPr="005A1663">
        <w:rPr>
          <w:rFonts w:ascii="Calibri" w:hAnsi="Calibri" w:cs="Calibri"/>
        </w:rPr>
        <w:t xml:space="preserve"> </w:t>
      </w:r>
      <w:r w:rsidR="00531074">
        <w:rPr>
          <w:rFonts w:ascii="Calibri" w:hAnsi="Calibri" w:cs="Calibri"/>
        </w:rPr>
        <w:t>Ciononostante</w:t>
      </w:r>
      <w:r w:rsidRPr="005A1663">
        <w:rPr>
          <w:rFonts w:ascii="Calibri" w:hAnsi="Calibri" w:cs="Calibri"/>
        </w:rPr>
        <w:t xml:space="preserve">, il settore </w:t>
      </w:r>
      <w:r w:rsidR="00EE57A2">
        <w:rPr>
          <w:rFonts w:ascii="Calibri" w:hAnsi="Calibri" w:cs="Calibri"/>
        </w:rPr>
        <w:t>ha conservato il terzo posto</w:t>
      </w:r>
      <w:r w:rsidRPr="005A1663">
        <w:rPr>
          <w:rFonts w:ascii="Calibri" w:hAnsi="Calibri" w:cs="Calibri"/>
        </w:rPr>
        <w:t xml:space="preserve"> per valore delle esportazioni provinciali.</w:t>
      </w:r>
      <w:r w:rsidR="00F86A28">
        <w:rPr>
          <w:rFonts w:ascii="Calibri" w:hAnsi="Calibri" w:cs="Calibri"/>
        </w:rPr>
        <w:t xml:space="preserve"> </w:t>
      </w:r>
      <w:r w:rsidR="00511F8D" w:rsidRPr="00511F8D">
        <w:rPr>
          <w:rFonts w:ascii="Calibri" w:hAnsi="Calibri" w:cs="Calibri"/>
        </w:rPr>
        <w:t>Nel dettaglio</w:t>
      </w:r>
      <w:r w:rsidR="00C811DD">
        <w:rPr>
          <w:rFonts w:ascii="Calibri" w:hAnsi="Calibri" w:cs="Calibri"/>
        </w:rPr>
        <w:t xml:space="preserve"> settoriale</w:t>
      </w:r>
      <w:r w:rsidR="00511F8D" w:rsidRPr="00511F8D">
        <w:rPr>
          <w:rFonts w:ascii="Calibri" w:hAnsi="Calibri" w:cs="Calibri"/>
        </w:rPr>
        <w:t xml:space="preserve">, </w:t>
      </w:r>
      <w:r w:rsidR="00C811DD">
        <w:rPr>
          <w:rFonts w:ascii="Calibri" w:hAnsi="Calibri" w:cs="Calibri"/>
        </w:rPr>
        <w:t>d</w:t>
      </w:r>
      <w:r w:rsidR="00C811DD" w:rsidRPr="00C811DD">
        <w:rPr>
          <w:rFonts w:ascii="Calibri" w:hAnsi="Calibri" w:cs="Calibri"/>
        </w:rPr>
        <w:t>opo una forte crescita nel 2024, le vendite estere d</w:t>
      </w:r>
      <w:r w:rsidR="00C811DD">
        <w:rPr>
          <w:rFonts w:ascii="Calibri" w:hAnsi="Calibri" w:cs="Calibri"/>
        </w:rPr>
        <w:t xml:space="preserve">i </w:t>
      </w:r>
      <w:r w:rsidR="00C811DD" w:rsidRPr="00C811DD">
        <w:rPr>
          <w:rFonts w:ascii="Calibri" w:hAnsi="Calibri" w:cs="Calibri"/>
          <w:b/>
          <w:bCs/>
          <w:i/>
          <w:iCs/>
        </w:rPr>
        <w:t>macchine per impieghi speciali</w:t>
      </w:r>
      <w:r w:rsidR="00C811DD" w:rsidRPr="00C811DD">
        <w:rPr>
          <w:rFonts w:ascii="Calibri" w:hAnsi="Calibri" w:cs="Calibri"/>
        </w:rPr>
        <w:t xml:space="preserve">, </w:t>
      </w:r>
      <w:r w:rsidR="00C811DD">
        <w:rPr>
          <w:rFonts w:ascii="Calibri" w:hAnsi="Calibri" w:cs="Calibri"/>
        </w:rPr>
        <w:t xml:space="preserve">settore </w:t>
      </w:r>
      <w:r w:rsidR="00C811DD" w:rsidRPr="00C811DD">
        <w:rPr>
          <w:rFonts w:ascii="Calibri" w:hAnsi="Calibri" w:cs="Calibri"/>
        </w:rPr>
        <w:t>che include in gran parte macchinari per l'industria cartaria, hanno subito un calo del 17,3% nel primo semestre 2025. Questa flessione ha comportato una perdita di quasi 56 milioni di euro, con un valore totale di esportazione che si è assestato a 267 milioni di euro.</w:t>
      </w:r>
      <w:r w:rsidR="00C811DD">
        <w:rPr>
          <w:rFonts w:ascii="Calibri" w:hAnsi="Calibri" w:cs="Calibri"/>
        </w:rPr>
        <w:t xml:space="preserve"> </w:t>
      </w:r>
    </w:p>
    <w:p w14:paraId="5E267865" w14:textId="77777777" w:rsidR="00511F8D" w:rsidRPr="00511F8D" w:rsidRDefault="00511F8D" w:rsidP="00511F8D">
      <w:pPr>
        <w:jc w:val="both"/>
        <w:rPr>
          <w:rFonts w:ascii="Calibri" w:hAnsi="Calibri" w:cs="Calibri"/>
        </w:rPr>
      </w:pPr>
      <w:r w:rsidRPr="00511F8D">
        <w:rPr>
          <w:rFonts w:ascii="Calibri" w:hAnsi="Calibri" w:cs="Calibri"/>
        </w:rPr>
        <w:t>Tra i principali mercati di riferimento, gli Stati Uniti</w:t>
      </w:r>
      <w:r>
        <w:rPr>
          <w:rFonts w:ascii="Calibri" w:hAnsi="Calibri" w:cs="Calibri"/>
        </w:rPr>
        <w:t xml:space="preserve">, </w:t>
      </w:r>
      <w:r w:rsidRPr="00511F8D">
        <w:rPr>
          <w:rFonts w:ascii="Calibri" w:hAnsi="Calibri" w:cs="Calibri"/>
        </w:rPr>
        <w:t>che nel</w:t>
      </w:r>
      <w:r w:rsidR="00CF0ABB">
        <w:rPr>
          <w:rFonts w:ascii="Calibri" w:hAnsi="Calibri" w:cs="Calibri"/>
        </w:rPr>
        <w:t>la prima metà del</w:t>
      </w:r>
      <w:r w:rsidRPr="00511F8D">
        <w:rPr>
          <w:rFonts w:ascii="Calibri" w:hAnsi="Calibri" w:cs="Calibri"/>
        </w:rPr>
        <w:t xml:space="preserve"> 2024 avevano rappresentato il </w:t>
      </w:r>
      <w:r w:rsidR="00E35939">
        <w:rPr>
          <w:rFonts w:ascii="Calibri" w:hAnsi="Calibri" w:cs="Calibri"/>
        </w:rPr>
        <w:t>secondo</w:t>
      </w:r>
      <w:r w:rsidRPr="00511F8D">
        <w:rPr>
          <w:rFonts w:ascii="Calibri" w:hAnsi="Calibri" w:cs="Calibri"/>
        </w:rPr>
        <w:t xml:space="preserve"> </w:t>
      </w:r>
      <w:r w:rsidR="00CF0ABB">
        <w:rPr>
          <w:rFonts w:ascii="Calibri" w:hAnsi="Calibri" w:cs="Calibri"/>
        </w:rPr>
        <w:t xml:space="preserve">mercato </w:t>
      </w:r>
      <w:r w:rsidRPr="00511F8D">
        <w:rPr>
          <w:rFonts w:ascii="Calibri" w:hAnsi="Calibri" w:cs="Calibri"/>
        </w:rPr>
        <w:t>di destinazione con oltre 45 milioni di euro</w:t>
      </w:r>
      <w:r>
        <w:rPr>
          <w:rFonts w:ascii="Calibri" w:hAnsi="Calibri" w:cs="Calibri"/>
        </w:rPr>
        <w:t xml:space="preserve">, </w:t>
      </w:r>
      <w:r w:rsidRPr="00511F8D">
        <w:rPr>
          <w:rFonts w:ascii="Calibri" w:hAnsi="Calibri" w:cs="Calibri"/>
        </w:rPr>
        <w:t>hanno ridimensiona</w:t>
      </w:r>
      <w:r w:rsidR="00C811DD">
        <w:rPr>
          <w:rFonts w:ascii="Calibri" w:hAnsi="Calibri" w:cs="Calibri"/>
        </w:rPr>
        <w:t xml:space="preserve">to </w:t>
      </w:r>
      <w:r w:rsidR="00CF0ABB">
        <w:rPr>
          <w:rFonts w:ascii="Calibri" w:hAnsi="Calibri" w:cs="Calibri"/>
        </w:rPr>
        <w:t xml:space="preserve">gli acquisti </w:t>
      </w:r>
      <w:r w:rsidRPr="00511F8D">
        <w:rPr>
          <w:rFonts w:ascii="Calibri" w:hAnsi="Calibri" w:cs="Calibri"/>
        </w:rPr>
        <w:t>a circa 36,5 milioni (-19,1%)</w:t>
      </w:r>
      <w:r>
        <w:rPr>
          <w:rFonts w:ascii="Calibri" w:hAnsi="Calibri" w:cs="Calibri"/>
        </w:rPr>
        <w:t>.</w:t>
      </w:r>
      <w:r w:rsidRPr="00511F8D">
        <w:rPr>
          <w:rFonts w:ascii="Calibri" w:hAnsi="Calibri" w:cs="Calibri"/>
        </w:rPr>
        <w:t xml:space="preserve"> </w:t>
      </w:r>
      <w:r w:rsidR="00CF0ABB" w:rsidRPr="00511F8D">
        <w:rPr>
          <w:rFonts w:ascii="Calibri" w:hAnsi="Calibri" w:cs="Calibri"/>
        </w:rPr>
        <w:t>In netta controtendenza</w:t>
      </w:r>
      <w:r w:rsidR="00CF0ABB">
        <w:rPr>
          <w:rFonts w:ascii="Calibri" w:hAnsi="Calibri" w:cs="Calibri"/>
        </w:rPr>
        <w:t xml:space="preserve"> il </w:t>
      </w:r>
      <w:r w:rsidR="00CF0ABB" w:rsidRPr="00511F8D">
        <w:rPr>
          <w:rFonts w:ascii="Calibri" w:hAnsi="Calibri" w:cs="Calibri"/>
        </w:rPr>
        <w:t>Regno Unito</w:t>
      </w:r>
      <w:r w:rsidR="00EE57A2">
        <w:rPr>
          <w:rFonts w:ascii="Calibri" w:hAnsi="Calibri" w:cs="Calibri"/>
        </w:rPr>
        <w:t xml:space="preserve"> che</w:t>
      </w:r>
      <w:r w:rsidR="00F9139E">
        <w:rPr>
          <w:rFonts w:ascii="Calibri" w:hAnsi="Calibri" w:cs="Calibri"/>
        </w:rPr>
        <w:t>,</w:t>
      </w:r>
      <w:r w:rsidR="00CF0ABB" w:rsidRPr="00511F8D">
        <w:rPr>
          <w:rFonts w:ascii="Calibri" w:hAnsi="Calibri" w:cs="Calibri"/>
        </w:rPr>
        <w:t xml:space="preserve"> </w:t>
      </w:r>
      <w:r w:rsidR="00EE57A2">
        <w:rPr>
          <w:rFonts w:ascii="Calibri" w:hAnsi="Calibri" w:cs="Calibri"/>
        </w:rPr>
        <w:t xml:space="preserve">con </w:t>
      </w:r>
      <w:r w:rsidR="00C811DD">
        <w:rPr>
          <w:rFonts w:ascii="Calibri" w:hAnsi="Calibri" w:cs="Calibri"/>
        </w:rPr>
        <w:t xml:space="preserve">un </w:t>
      </w:r>
      <w:r w:rsidR="00EE57A2">
        <w:rPr>
          <w:rFonts w:ascii="Calibri" w:hAnsi="Calibri" w:cs="Calibri"/>
        </w:rPr>
        <w:t xml:space="preserve">export </w:t>
      </w:r>
      <w:r w:rsidR="00CF0ABB" w:rsidRPr="00511F8D">
        <w:rPr>
          <w:rFonts w:ascii="Calibri" w:hAnsi="Calibri" w:cs="Calibri"/>
        </w:rPr>
        <w:t>passa</w:t>
      </w:r>
      <w:r w:rsidR="00EE57A2">
        <w:rPr>
          <w:rFonts w:ascii="Calibri" w:hAnsi="Calibri" w:cs="Calibri"/>
        </w:rPr>
        <w:t xml:space="preserve">to </w:t>
      </w:r>
      <w:r w:rsidR="00CF0ABB" w:rsidRPr="00511F8D">
        <w:rPr>
          <w:rFonts w:ascii="Calibri" w:hAnsi="Calibri" w:cs="Calibri"/>
        </w:rPr>
        <w:t>da 7,3 milioni a oltre 31,5 milioni di euro</w:t>
      </w:r>
      <w:r w:rsidR="00F9139E">
        <w:rPr>
          <w:rFonts w:ascii="Calibri" w:hAnsi="Calibri" w:cs="Calibri"/>
        </w:rPr>
        <w:t>,</w:t>
      </w:r>
      <w:r w:rsidR="00EE57A2">
        <w:rPr>
          <w:rFonts w:ascii="Calibri" w:hAnsi="Calibri" w:cs="Calibri"/>
        </w:rPr>
        <w:t xml:space="preserve"> è diventato</w:t>
      </w:r>
      <w:r w:rsidR="00CF0ABB" w:rsidRPr="00511F8D">
        <w:rPr>
          <w:rFonts w:ascii="Calibri" w:hAnsi="Calibri" w:cs="Calibri"/>
        </w:rPr>
        <w:t xml:space="preserve"> il </w:t>
      </w:r>
      <w:r w:rsidR="00CF0ABB">
        <w:rPr>
          <w:rFonts w:ascii="Calibri" w:hAnsi="Calibri" w:cs="Calibri"/>
        </w:rPr>
        <w:t>secondo</w:t>
      </w:r>
      <w:r w:rsidR="00CF0ABB" w:rsidRPr="00511F8D">
        <w:rPr>
          <w:rFonts w:ascii="Calibri" w:hAnsi="Calibri" w:cs="Calibri"/>
        </w:rPr>
        <w:t xml:space="preserve"> mercato di sbocco per il comparto</w:t>
      </w:r>
      <w:r w:rsidR="00CF0ABB">
        <w:rPr>
          <w:rFonts w:ascii="Calibri" w:hAnsi="Calibri" w:cs="Calibri"/>
        </w:rPr>
        <w:t xml:space="preserve"> </w:t>
      </w:r>
      <w:r w:rsidR="00CF0ABB" w:rsidRPr="00511F8D">
        <w:rPr>
          <w:rFonts w:ascii="Calibri" w:hAnsi="Calibri" w:cs="Calibri"/>
        </w:rPr>
        <w:t>contribu</w:t>
      </w:r>
      <w:r w:rsidR="00CF0ABB">
        <w:rPr>
          <w:rFonts w:ascii="Calibri" w:hAnsi="Calibri" w:cs="Calibri"/>
        </w:rPr>
        <w:t xml:space="preserve">endo </w:t>
      </w:r>
      <w:r w:rsidR="00CF0ABB" w:rsidRPr="00511F8D">
        <w:rPr>
          <w:rFonts w:ascii="Calibri" w:hAnsi="Calibri" w:cs="Calibri"/>
        </w:rPr>
        <w:t>alla</w:t>
      </w:r>
      <w:r w:rsidR="00CF0ABB">
        <w:rPr>
          <w:rFonts w:ascii="Calibri" w:hAnsi="Calibri" w:cs="Calibri"/>
        </w:rPr>
        <w:t xml:space="preserve"> </w:t>
      </w:r>
      <w:r w:rsidR="00CF0ABB" w:rsidRPr="00511F8D">
        <w:rPr>
          <w:rFonts w:ascii="Calibri" w:hAnsi="Calibri" w:cs="Calibri"/>
        </w:rPr>
        <w:t>crescita dell’export</w:t>
      </w:r>
      <w:r w:rsidR="00CF0ABB">
        <w:rPr>
          <w:rFonts w:ascii="Calibri" w:hAnsi="Calibri" w:cs="Calibri"/>
        </w:rPr>
        <w:t xml:space="preserve"> settoriale per </w:t>
      </w:r>
      <w:r w:rsidR="00CF0ABB" w:rsidRPr="00511F8D">
        <w:rPr>
          <w:rFonts w:ascii="Calibri" w:hAnsi="Calibri" w:cs="Calibri"/>
        </w:rPr>
        <w:t>7,5 punti percentuali.</w:t>
      </w:r>
      <w:r w:rsidR="00CF0ABB">
        <w:rPr>
          <w:rFonts w:ascii="Calibri" w:hAnsi="Calibri" w:cs="Calibri"/>
        </w:rPr>
        <w:t xml:space="preserve"> </w:t>
      </w:r>
      <w:r w:rsidR="00F9139E">
        <w:rPr>
          <w:rFonts w:ascii="Calibri" w:hAnsi="Calibri" w:cs="Calibri"/>
        </w:rPr>
        <w:t>A seguire</w:t>
      </w:r>
      <w:r w:rsidR="00CF0ABB">
        <w:rPr>
          <w:rFonts w:ascii="Calibri" w:hAnsi="Calibri" w:cs="Calibri"/>
        </w:rPr>
        <w:t xml:space="preserve"> la Francia che </w:t>
      </w:r>
      <w:r w:rsidR="00CF0ABB" w:rsidRPr="00511F8D">
        <w:rPr>
          <w:rFonts w:ascii="Calibri" w:hAnsi="Calibri" w:cs="Calibri"/>
        </w:rPr>
        <w:t>ha</w:t>
      </w:r>
      <w:r w:rsidR="00C811DD">
        <w:rPr>
          <w:rFonts w:ascii="Calibri" w:hAnsi="Calibri" w:cs="Calibri"/>
        </w:rPr>
        <w:t xml:space="preserve"> invece</w:t>
      </w:r>
      <w:r w:rsidR="00CF0ABB" w:rsidRPr="00511F8D">
        <w:rPr>
          <w:rFonts w:ascii="Calibri" w:hAnsi="Calibri" w:cs="Calibri"/>
        </w:rPr>
        <w:t xml:space="preserve"> dimezzato la propria domanda nel</w:t>
      </w:r>
      <w:r w:rsidR="00CF0ABB">
        <w:rPr>
          <w:rFonts w:ascii="Calibri" w:hAnsi="Calibri" w:cs="Calibri"/>
        </w:rPr>
        <w:t>la prima metà del</w:t>
      </w:r>
      <w:r w:rsidR="00CF0ABB" w:rsidRPr="00511F8D">
        <w:rPr>
          <w:rFonts w:ascii="Calibri" w:hAnsi="Calibri" w:cs="Calibri"/>
        </w:rPr>
        <w:t xml:space="preserve"> 2025 fermandosi a 26,3 milioni (-44,0%)</w:t>
      </w:r>
      <w:r w:rsidR="00CF0ABB">
        <w:rPr>
          <w:rFonts w:ascii="Calibri" w:hAnsi="Calibri" w:cs="Calibri"/>
        </w:rPr>
        <w:t xml:space="preserve">, dopo che </w:t>
      </w:r>
      <w:r w:rsidRPr="00511F8D">
        <w:rPr>
          <w:rFonts w:ascii="Calibri" w:hAnsi="Calibri" w:cs="Calibri"/>
        </w:rPr>
        <w:t>ne</w:t>
      </w:r>
      <w:r>
        <w:rPr>
          <w:rFonts w:ascii="Calibri" w:hAnsi="Calibri" w:cs="Calibri"/>
        </w:rPr>
        <w:t>i primi sei mesi del</w:t>
      </w:r>
      <w:r w:rsidRPr="00511F8D">
        <w:rPr>
          <w:rFonts w:ascii="Calibri" w:hAnsi="Calibri" w:cs="Calibri"/>
        </w:rPr>
        <w:t xml:space="preserve"> 2024 aveva decuplicato gli acquisti</w:t>
      </w:r>
      <w:r w:rsidR="002508FE">
        <w:rPr>
          <w:rFonts w:ascii="Calibri" w:hAnsi="Calibri" w:cs="Calibri"/>
        </w:rPr>
        <w:t xml:space="preserve"> rispetto all’anno precedente</w:t>
      </w:r>
      <w:r w:rsidRPr="00511F8D">
        <w:rPr>
          <w:rFonts w:ascii="Calibri" w:hAnsi="Calibri" w:cs="Calibri"/>
        </w:rPr>
        <w:t xml:space="preserve"> </w:t>
      </w:r>
      <w:r w:rsidR="002508FE">
        <w:rPr>
          <w:rFonts w:ascii="Calibri" w:hAnsi="Calibri" w:cs="Calibri"/>
        </w:rPr>
        <w:t xml:space="preserve">sfiorando </w:t>
      </w:r>
      <w:r w:rsidRPr="00511F8D">
        <w:rPr>
          <w:rFonts w:ascii="Calibri" w:hAnsi="Calibri" w:cs="Calibri"/>
        </w:rPr>
        <w:t>i 47 milioni di euro</w:t>
      </w:r>
      <w:r w:rsidR="00CF0ABB">
        <w:rPr>
          <w:rFonts w:ascii="Calibri" w:hAnsi="Calibri" w:cs="Calibri"/>
        </w:rPr>
        <w:t>.</w:t>
      </w:r>
      <w:r w:rsidRPr="00511F8D">
        <w:rPr>
          <w:rFonts w:ascii="Calibri" w:hAnsi="Calibri" w:cs="Calibri"/>
        </w:rPr>
        <w:t xml:space="preserve"> </w:t>
      </w:r>
      <w:r w:rsidR="00C83F93">
        <w:rPr>
          <w:rFonts w:ascii="Calibri" w:hAnsi="Calibri" w:cs="Calibri"/>
        </w:rPr>
        <w:t>T</w:t>
      </w:r>
      <w:r w:rsidRPr="00511F8D">
        <w:rPr>
          <w:rFonts w:ascii="Calibri" w:hAnsi="Calibri" w:cs="Calibri"/>
        </w:rPr>
        <w:t xml:space="preserve">endenza </w:t>
      </w:r>
      <w:r w:rsidR="00C83F93">
        <w:rPr>
          <w:rFonts w:ascii="Calibri" w:hAnsi="Calibri" w:cs="Calibri"/>
        </w:rPr>
        <w:t>simile</w:t>
      </w:r>
      <w:r w:rsidR="00C83F93" w:rsidRPr="00511F8D">
        <w:rPr>
          <w:rFonts w:ascii="Calibri" w:hAnsi="Calibri" w:cs="Calibri"/>
        </w:rPr>
        <w:t xml:space="preserve"> </w:t>
      </w:r>
      <w:r w:rsidRPr="00511F8D">
        <w:rPr>
          <w:rFonts w:ascii="Calibri" w:hAnsi="Calibri" w:cs="Calibri"/>
        </w:rPr>
        <w:t>per il Messico</w:t>
      </w:r>
      <w:r w:rsidR="00C83F93">
        <w:rPr>
          <w:rFonts w:ascii="Calibri" w:hAnsi="Calibri" w:cs="Calibri"/>
        </w:rPr>
        <w:t>,</w:t>
      </w:r>
      <w:r w:rsidRPr="00511F8D">
        <w:rPr>
          <w:rFonts w:ascii="Calibri" w:hAnsi="Calibri" w:cs="Calibri"/>
        </w:rPr>
        <w:t xml:space="preserve"> che dopo il </w:t>
      </w:r>
      <w:r w:rsidR="00CF0ABB">
        <w:rPr>
          <w:rFonts w:ascii="Calibri" w:hAnsi="Calibri" w:cs="Calibri"/>
        </w:rPr>
        <w:t xml:space="preserve">picco </w:t>
      </w:r>
      <w:r w:rsidRPr="00511F8D">
        <w:rPr>
          <w:rFonts w:ascii="Calibri" w:hAnsi="Calibri" w:cs="Calibri"/>
        </w:rPr>
        <w:t>del 2024 (oltre 41 milioni) si</w:t>
      </w:r>
      <w:r w:rsidR="00CF0ABB">
        <w:rPr>
          <w:rFonts w:ascii="Calibri" w:hAnsi="Calibri" w:cs="Calibri"/>
        </w:rPr>
        <w:t xml:space="preserve"> è</w:t>
      </w:r>
      <w:r w:rsidRPr="00511F8D">
        <w:rPr>
          <w:rFonts w:ascii="Calibri" w:hAnsi="Calibri" w:cs="Calibri"/>
        </w:rPr>
        <w:t xml:space="preserve"> </w:t>
      </w:r>
      <w:r w:rsidR="00CF0ABB">
        <w:rPr>
          <w:rFonts w:ascii="Calibri" w:hAnsi="Calibri" w:cs="Calibri"/>
        </w:rPr>
        <w:t xml:space="preserve">fermato a </w:t>
      </w:r>
      <w:r w:rsidRPr="00511F8D">
        <w:rPr>
          <w:rFonts w:ascii="Calibri" w:hAnsi="Calibri" w:cs="Calibri"/>
        </w:rPr>
        <w:t>20,2 milioni (-51,6%).</w:t>
      </w:r>
      <w:r w:rsidR="00CF0ABB">
        <w:rPr>
          <w:rFonts w:ascii="Calibri" w:hAnsi="Calibri" w:cs="Calibri"/>
        </w:rPr>
        <w:t xml:space="preserve"> In lieve calo la Germania (-2,9%). </w:t>
      </w:r>
      <w:r w:rsidRPr="00511F8D">
        <w:rPr>
          <w:rFonts w:ascii="Calibri" w:hAnsi="Calibri" w:cs="Calibri"/>
        </w:rPr>
        <w:t>Ottima</w:t>
      </w:r>
      <w:r w:rsidR="00CF0ABB">
        <w:rPr>
          <w:rFonts w:ascii="Calibri" w:hAnsi="Calibri" w:cs="Calibri"/>
        </w:rPr>
        <w:t xml:space="preserve">, invece, </w:t>
      </w:r>
      <w:r w:rsidRPr="00511F8D">
        <w:rPr>
          <w:rFonts w:ascii="Calibri" w:hAnsi="Calibri" w:cs="Calibri"/>
        </w:rPr>
        <w:t>la performance</w:t>
      </w:r>
      <w:r w:rsidR="00CF0ABB">
        <w:rPr>
          <w:rFonts w:ascii="Calibri" w:hAnsi="Calibri" w:cs="Calibri"/>
        </w:rPr>
        <w:t xml:space="preserve"> del settore</w:t>
      </w:r>
      <w:r w:rsidRPr="00511F8D">
        <w:rPr>
          <w:rFonts w:ascii="Calibri" w:hAnsi="Calibri" w:cs="Calibri"/>
        </w:rPr>
        <w:t xml:space="preserve"> </w:t>
      </w:r>
      <w:r w:rsidR="00CF0ABB">
        <w:rPr>
          <w:rFonts w:ascii="Calibri" w:hAnsi="Calibri" w:cs="Calibri"/>
        </w:rPr>
        <w:t xml:space="preserve">in </w:t>
      </w:r>
      <w:r w:rsidRPr="00511F8D">
        <w:rPr>
          <w:rFonts w:ascii="Calibri" w:hAnsi="Calibri" w:cs="Calibri"/>
        </w:rPr>
        <w:t xml:space="preserve">Svezia, dove le vendite sono cresciute di oltre 19 milioni di euro, e in Spagna che </w:t>
      </w:r>
      <w:r w:rsidR="00F9139E">
        <w:rPr>
          <w:rFonts w:ascii="Calibri" w:hAnsi="Calibri" w:cs="Calibri"/>
        </w:rPr>
        <w:t xml:space="preserve">è </w:t>
      </w:r>
      <w:r w:rsidRPr="00511F8D">
        <w:rPr>
          <w:rFonts w:ascii="Calibri" w:hAnsi="Calibri" w:cs="Calibri"/>
        </w:rPr>
        <w:t>torna</w:t>
      </w:r>
      <w:r w:rsidR="00F9139E">
        <w:rPr>
          <w:rFonts w:ascii="Calibri" w:hAnsi="Calibri" w:cs="Calibri"/>
        </w:rPr>
        <w:t>ta</w:t>
      </w:r>
      <w:r w:rsidRPr="00511F8D">
        <w:rPr>
          <w:rFonts w:ascii="Calibri" w:hAnsi="Calibri" w:cs="Calibri"/>
        </w:rPr>
        <w:t xml:space="preserve"> a essere un mercato rilevante con oltre 14 milioni di euro.</w:t>
      </w:r>
    </w:p>
    <w:p w14:paraId="04E59C07" w14:textId="77777777" w:rsidR="00824539" w:rsidRDefault="00824539" w:rsidP="00824539">
      <w:pPr>
        <w:jc w:val="both"/>
        <w:rPr>
          <w:rFonts w:ascii="Calibri" w:hAnsi="Calibri" w:cs="Calibri"/>
        </w:rPr>
      </w:pPr>
      <w:r w:rsidRPr="00824539">
        <w:rPr>
          <w:rFonts w:ascii="Calibri" w:hAnsi="Calibri" w:cs="Calibri"/>
        </w:rPr>
        <w:t xml:space="preserve">Le </w:t>
      </w:r>
      <w:r w:rsidRPr="0046087C">
        <w:rPr>
          <w:rFonts w:ascii="Calibri" w:hAnsi="Calibri" w:cs="Calibri"/>
          <w:b/>
          <w:bCs/>
          <w:i/>
          <w:iCs/>
        </w:rPr>
        <w:t>macchine di impiego generale</w:t>
      </w:r>
      <w:r w:rsidRPr="00824539">
        <w:rPr>
          <w:rFonts w:ascii="Calibri" w:hAnsi="Calibri" w:cs="Calibri"/>
        </w:rPr>
        <w:t xml:space="preserve"> (motori, pompe, valvole, compressori e simili) hanno fatto registrare esportazioni per oltre 81,5 milioni di euro</w:t>
      </w:r>
      <w:r w:rsidR="004B1497" w:rsidRPr="004B1497">
        <w:rPr>
          <w:rFonts w:ascii="Calibri" w:hAnsi="Calibri" w:cs="Calibri"/>
        </w:rPr>
        <w:t xml:space="preserve"> </w:t>
      </w:r>
      <w:r w:rsidR="004B1497" w:rsidRPr="00824539">
        <w:rPr>
          <w:rFonts w:ascii="Calibri" w:hAnsi="Calibri" w:cs="Calibri"/>
        </w:rPr>
        <w:t>nel primo semestre 2025</w:t>
      </w:r>
      <w:r w:rsidRPr="00824539">
        <w:rPr>
          <w:rFonts w:ascii="Calibri" w:hAnsi="Calibri" w:cs="Calibri"/>
        </w:rPr>
        <w:t xml:space="preserve">, </w:t>
      </w:r>
      <w:r w:rsidR="00D07ECE">
        <w:rPr>
          <w:rFonts w:ascii="Calibri" w:hAnsi="Calibri" w:cs="Calibri"/>
        </w:rPr>
        <w:t>segnando u</w:t>
      </w:r>
      <w:r w:rsidRPr="00824539">
        <w:rPr>
          <w:rFonts w:ascii="Calibri" w:hAnsi="Calibri" w:cs="Calibri"/>
        </w:rPr>
        <w:t xml:space="preserve">n aumento del 25,2% rispetto al medesimo periodo del 2024, con una crescita in valore assoluto </w:t>
      </w:r>
      <w:r w:rsidR="00D07ECE">
        <w:rPr>
          <w:rFonts w:ascii="Calibri" w:hAnsi="Calibri" w:cs="Calibri"/>
        </w:rPr>
        <w:t>di</w:t>
      </w:r>
      <w:r w:rsidRPr="00824539">
        <w:rPr>
          <w:rFonts w:ascii="Calibri" w:hAnsi="Calibri" w:cs="Calibri"/>
        </w:rPr>
        <w:t xml:space="preserve"> oltre 16 milioni.</w:t>
      </w:r>
      <w:r w:rsidR="004B1497">
        <w:rPr>
          <w:rFonts w:ascii="Calibri" w:hAnsi="Calibri" w:cs="Calibri"/>
        </w:rPr>
        <w:t xml:space="preserve"> </w:t>
      </w:r>
      <w:r w:rsidRPr="00824539">
        <w:rPr>
          <w:rFonts w:ascii="Calibri" w:hAnsi="Calibri" w:cs="Calibri"/>
        </w:rPr>
        <w:t xml:space="preserve">La Cina si è affermata come primo mercato di destinazione, con acquisti per 12,5 milioni di euro corrispondenti a un incremento del 245% rispetto all’anno precedente. </w:t>
      </w:r>
      <w:r w:rsidR="004B1497" w:rsidRPr="004B1497">
        <w:rPr>
          <w:rFonts w:ascii="Calibri" w:hAnsi="Calibri" w:cs="Calibri"/>
        </w:rPr>
        <w:t>La performance del settore è stata eccellente anche in Brasile</w:t>
      </w:r>
      <w:r w:rsidR="004B1497">
        <w:rPr>
          <w:rFonts w:ascii="Calibri" w:hAnsi="Calibri" w:cs="Calibri"/>
        </w:rPr>
        <w:t xml:space="preserve">, </w:t>
      </w:r>
      <w:r w:rsidR="004B1497">
        <w:rPr>
          <w:rFonts w:ascii="Calibri" w:hAnsi="Calibri" w:cs="Calibri"/>
        </w:rPr>
        <w:lastRenderedPageBreak/>
        <w:t>dove l</w:t>
      </w:r>
      <w:r w:rsidR="004B1497" w:rsidRPr="004B1497">
        <w:rPr>
          <w:rFonts w:ascii="Calibri" w:hAnsi="Calibri" w:cs="Calibri"/>
        </w:rPr>
        <w:t>e vendite sono quintuplicate, raggiungendo i 9,9 milioni di euro e posizionando il Paese come secondo mercato di sbocco</w:t>
      </w:r>
      <w:r w:rsidR="004B1497">
        <w:rPr>
          <w:rFonts w:ascii="Calibri" w:hAnsi="Calibri" w:cs="Calibri"/>
        </w:rPr>
        <w:t xml:space="preserve">. </w:t>
      </w:r>
      <w:r w:rsidRPr="00824539">
        <w:rPr>
          <w:rFonts w:ascii="Calibri" w:hAnsi="Calibri" w:cs="Calibri"/>
        </w:rPr>
        <w:t>Gli Stati Uniti, pur mantenendosi tra i principali mercati, hanno registrato un calo del</w:t>
      </w:r>
      <w:r w:rsidR="00D07ECE">
        <w:rPr>
          <w:rFonts w:ascii="Calibri" w:hAnsi="Calibri" w:cs="Calibri"/>
        </w:rPr>
        <w:t>l’1</w:t>
      </w:r>
      <w:r w:rsidRPr="00824539">
        <w:rPr>
          <w:rFonts w:ascii="Calibri" w:hAnsi="Calibri" w:cs="Calibri"/>
        </w:rPr>
        <w:t>1,4%, scendendo a 6,</w:t>
      </w:r>
      <w:r w:rsidR="00D07ECE">
        <w:rPr>
          <w:rFonts w:ascii="Calibri" w:hAnsi="Calibri" w:cs="Calibri"/>
        </w:rPr>
        <w:t>5</w:t>
      </w:r>
      <w:r w:rsidRPr="00824539">
        <w:rPr>
          <w:rFonts w:ascii="Calibri" w:hAnsi="Calibri" w:cs="Calibri"/>
        </w:rPr>
        <w:t xml:space="preserve"> milioni di euro, </w:t>
      </w:r>
      <w:r w:rsidR="004B1497">
        <w:rPr>
          <w:rFonts w:ascii="Calibri" w:hAnsi="Calibri" w:cs="Calibri"/>
        </w:rPr>
        <w:t xml:space="preserve">affiancati </w:t>
      </w:r>
      <w:r w:rsidRPr="00824539">
        <w:rPr>
          <w:rFonts w:ascii="Calibri" w:hAnsi="Calibri" w:cs="Calibri"/>
        </w:rPr>
        <w:t>da nuovi p</w:t>
      </w:r>
      <w:r w:rsidR="00D07ECE">
        <w:rPr>
          <w:rFonts w:ascii="Calibri" w:hAnsi="Calibri" w:cs="Calibri"/>
        </w:rPr>
        <w:t>artner commerciali quali</w:t>
      </w:r>
      <w:r w:rsidRPr="00824539">
        <w:rPr>
          <w:rFonts w:ascii="Calibri" w:hAnsi="Calibri" w:cs="Calibri"/>
        </w:rPr>
        <w:t xml:space="preserve"> il Qatar, dove le esportazioni sono</w:t>
      </w:r>
      <w:r w:rsidR="004B1497">
        <w:rPr>
          <w:rFonts w:ascii="Calibri" w:hAnsi="Calibri" w:cs="Calibri"/>
        </w:rPr>
        <w:t xml:space="preserve"> invece</w:t>
      </w:r>
      <w:r w:rsidR="00D07ECE">
        <w:rPr>
          <w:rFonts w:ascii="Calibri" w:hAnsi="Calibri" w:cs="Calibri"/>
        </w:rPr>
        <w:t xml:space="preserve"> decuplicate</w:t>
      </w:r>
      <w:r w:rsidR="00F9139E">
        <w:rPr>
          <w:rFonts w:ascii="Calibri" w:hAnsi="Calibri" w:cs="Calibri"/>
        </w:rPr>
        <w:t>.</w:t>
      </w:r>
      <w:r w:rsidR="004B1497">
        <w:rPr>
          <w:rFonts w:ascii="Calibri" w:hAnsi="Calibri" w:cs="Calibri"/>
        </w:rPr>
        <w:t xml:space="preserve"> </w:t>
      </w:r>
      <w:r w:rsidRPr="00824539">
        <w:rPr>
          <w:rFonts w:ascii="Calibri" w:hAnsi="Calibri" w:cs="Calibri"/>
        </w:rPr>
        <w:t xml:space="preserve">La Germania, </w:t>
      </w:r>
      <w:r w:rsidR="00D07ECE" w:rsidRPr="00824539">
        <w:rPr>
          <w:rFonts w:ascii="Calibri" w:hAnsi="Calibri" w:cs="Calibri"/>
        </w:rPr>
        <w:t xml:space="preserve">partner </w:t>
      </w:r>
      <w:r w:rsidRPr="00824539">
        <w:rPr>
          <w:rFonts w:ascii="Calibri" w:hAnsi="Calibri" w:cs="Calibri"/>
        </w:rPr>
        <w:t xml:space="preserve">storicamente rilevante, </w:t>
      </w:r>
      <w:r w:rsidR="00F9139E">
        <w:rPr>
          <w:rFonts w:ascii="Calibri" w:hAnsi="Calibri" w:cs="Calibri"/>
        </w:rPr>
        <w:t xml:space="preserve">ha </w:t>
      </w:r>
      <w:r w:rsidRPr="00824539">
        <w:rPr>
          <w:rFonts w:ascii="Calibri" w:hAnsi="Calibri" w:cs="Calibri"/>
        </w:rPr>
        <w:t>evidenzia</w:t>
      </w:r>
      <w:r w:rsidR="00F9139E">
        <w:rPr>
          <w:rFonts w:ascii="Calibri" w:hAnsi="Calibri" w:cs="Calibri"/>
        </w:rPr>
        <w:t>to</w:t>
      </w:r>
      <w:r w:rsidRPr="00824539">
        <w:rPr>
          <w:rFonts w:ascii="Calibri" w:hAnsi="Calibri" w:cs="Calibri"/>
        </w:rPr>
        <w:t xml:space="preserve"> un’inversione di tendenza positiva</w:t>
      </w:r>
      <w:r w:rsidR="004B1497">
        <w:rPr>
          <w:rFonts w:ascii="Calibri" w:hAnsi="Calibri" w:cs="Calibri"/>
        </w:rPr>
        <w:t>,</w:t>
      </w:r>
      <w:r w:rsidRPr="00824539">
        <w:rPr>
          <w:rFonts w:ascii="Calibri" w:hAnsi="Calibri" w:cs="Calibri"/>
        </w:rPr>
        <w:t xml:space="preserve"> con un incremento del 9,3%</w:t>
      </w:r>
      <w:r w:rsidR="00F9139E">
        <w:rPr>
          <w:rFonts w:ascii="Calibri" w:hAnsi="Calibri" w:cs="Calibri"/>
        </w:rPr>
        <w:t xml:space="preserve"> pur rimanendo </w:t>
      </w:r>
      <w:r w:rsidRPr="00824539">
        <w:rPr>
          <w:rFonts w:ascii="Calibri" w:hAnsi="Calibri" w:cs="Calibri"/>
        </w:rPr>
        <w:t>al di sotto dei livelli di picco con 4,7 milioni di euro.</w:t>
      </w:r>
      <w:r>
        <w:rPr>
          <w:rFonts w:ascii="Calibri" w:hAnsi="Calibri" w:cs="Calibri"/>
        </w:rPr>
        <w:t xml:space="preserve"> </w:t>
      </w:r>
      <w:r w:rsidRPr="00824539">
        <w:rPr>
          <w:rFonts w:ascii="Calibri" w:hAnsi="Calibri" w:cs="Calibri"/>
        </w:rPr>
        <w:t xml:space="preserve">In flessione invece la Spagna, che </w:t>
      </w:r>
      <w:r w:rsidR="00F9139E">
        <w:rPr>
          <w:rFonts w:ascii="Calibri" w:hAnsi="Calibri" w:cs="Calibri"/>
        </w:rPr>
        <w:t>ha perso</w:t>
      </w:r>
      <w:r w:rsidRPr="00824539">
        <w:rPr>
          <w:rFonts w:ascii="Calibri" w:hAnsi="Calibri" w:cs="Calibri"/>
        </w:rPr>
        <w:t xml:space="preserve"> il 31,6% del valore esportato, scendendo a 4,</w:t>
      </w:r>
      <w:r w:rsidR="00D07ECE">
        <w:rPr>
          <w:rFonts w:ascii="Calibri" w:hAnsi="Calibri" w:cs="Calibri"/>
        </w:rPr>
        <w:t>5</w:t>
      </w:r>
      <w:r w:rsidRPr="00824539">
        <w:rPr>
          <w:rFonts w:ascii="Calibri" w:hAnsi="Calibri" w:cs="Calibri"/>
        </w:rPr>
        <w:t xml:space="preserve"> milioni di euro, e l’</w:t>
      </w:r>
      <w:r w:rsidR="00D07ECE">
        <w:rPr>
          <w:rFonts w:ascii="Calibri" w:hAnsi="Calibri" w:cs="Calibri"/>
        </w:rPr>
        <w:t xml:space="preserve">Arabia Saudita </w:t>
      </w:r>
      <w:r w:rsidR="004B1497">
        <w:rPr>
          <w:rFonts w:ascii="Calibri" w:hAnsi="Calibri" w:cs="Calibri"/>
        </w:rPr>
        <w:t xml:space="preserve">in flessione del </w:t>
      </w:r>
      <w:r w:rsidR="00D07ECE">
        <w:rPr>
          <w:rFonts w:ascii="Calibri" w:hAnsi="Calibri" w:cs="Calibri"/>
        </w:rPr>
        <w:t>51,9</w:t>
      </w:r>
      <w:r w:rsidRPr="00824539">
        <w:rPr>
          <w:rFonts w:ascii="Calibri" w:hAnsi="Calibri" w:cs="Calibri"/>
        </w:rPr>
        <w:t xml:space="preserve">% attestandosi </w:t>
      </w:r>
      <w:r w:rsidR="00D07ECE">
        <w:rPr>
          <w:rFonts w:ascii="Calibri" w:hAnsi="Calibri" w:cs="Calibri"/>
        </w:rPr>
        <w:t xml:space="preserve">a 2,2 milioni di </w:t>
      </w:r>
      <w:r w:rsidRPr="00824539">
        <w:rPr>
          <w:rFonts w:ascii="Calibri" w:hAnsi="Calibri" w:cs="Calibri"/>
        </w:rPr>
        <w:t>euro.</w:t>
      </w:r>
      <w:r w:rsidR="005414AB">
        <w:rPr>
          <w:rFonts w:ascii="Calibri" w:hAnsi="Calibri" w:cs="Calibri"/>
        </w:rPr>
        <w:t xml:space="preserve"> </w:t>
      </w:r>
      <w:r w:rsidRPr="00824539">
        <w:rPr>
          <w:rFonts w:ascii="Calibri" w:hAnsi="Calibri" w:cs="Calibri"/>
        </w:rPr>
        <w:t>L’andamento</w:t>
      </w:r>
      <w:r w:rsidR="005414AB">
        <w:rPr>
          <w:rFonts w:ascii="Calibri" w:hAnsi="Calibri" w:cs="Calibri"/>
        </w:rPr>
        <w:t xml:space="preserve"> </w:t>
      </w:r>
      <w:r w:rsidRPr="00824539">
        <w:rPr>
          <w:rFonts w:ascii="Calibri" w:hAnsi="Calibri" w:cs="Calibri"/>
        </w:rPr>
        <w:t xml:space="preserve">complessivo testimonia una significativa diversificazione dei mercati di destinazione, con un’espansione marcata in aree non tradizionali a fronte di una leggera contrazione in </w:t>
      </w:r>
      <w:r w:rsidR="004B1497">
        <w:rPr>
          <w:rFonts w:ascii="Calibri" w:hAnsi="Calibri" w:cs="Calibri"/>
        </w:rPr>
        <w:t xml:space="preserve">altre maggiormente </w:t>
      </w:r>
      <w:r w:rsidRPr="00824539">
        <w:rPr>
          <w:rFonts w:ascii="Calibri" w:hAnsi="Calibri" w:cs="Calibri"/>
        </w:rPr>
        <w:t>consolidate.</w:t>
      </w:r>
    </w:p>
    <w:p w14:paraId="779F6A24" w14:textId="77777777" w:rsidR="00824539" w:rsidRDefault="00824539" w:rsidP="00D11BBD">
      <w:pPr>
        <w:spacing w:after="240"/>
        <w:jc w:val="both"/>
        <w:rPr>
          <w:rFonts w:ascii="Calibri" w:hAnsi="Calibri" w:cs="Calibri"/>
        </w:rPr>
      </w:pPr>
      <w:r w:rsidRPr="00824539">
        <w:rPr>
          <w:rFonts w:ascii="Calibri" w:hAnsi="Calibri" w:cs="Calibri"/>
        </w:rPr>
        <w:t xml:space="preserve">Con riferimento alle </w:t>
      </w:r>
      <w:r w:rsidRPr="0046087C">
        <w:rPr>
          <w:rFonts w:ascii="Calibri" w:hAnsi="Calibri" w:cs="Calibri"/>
          <w:b/>
          <w:bCs/>
          <w:i/>
          <w:iCs/>
        </w:rPr>
        <w:t>altre macchine per impiego generale</w:t>
      </w:r>
      <w:r w:rsidRPr="00824539">
        <w:rPr>
          <w:rFonts w:ascii="Calibri" w:hAnsi="Calibri" w:cs="Calibri"/>
        </w:rPr>
        <w:t xml:space="preserve"> (forni, macchine per sollevamento, utensili portatili a motore, refrigeratori non domestici, etc.), si segnala una lieve flessione delle vendite nel primo semestre del 2025, con un calo dello 0,6% rispetto allo stesso periodo del 2024, </w:t>
      </w:r>
      <w:r w:rsidR="00D16A04">
        <w:rPr>
          <w:rFonts w:ascii="Calibri" w:hAnsi="Calibri" w:cs="Calibri"/>
        </w:rPr>
        <w:t xml:space="preserve">per un valore esportato </w:t>
      </w:r>
      <w:r w:rsidR="00D11BBD">
        <w:rPr>
          <w:rFonts w:ascii="Calibri" w:hAnsi="Calibri" w:cs="Calibri"/>
        </w:rPr>
        <w:t>vicino ai</w:t>
      </w:r>
      <w:r w:rsidRPr="00824539">
        <w:rPr>
          <w:rFonts w:ascii="Calibri" w:hAnsi="Calibri" w:cs="Calibri"/>
        </w:rPr>
        <w:t xml:space="preserve"> 7</w:t>
      </w:r>
      <w:r w:rsidR="00D16A04">
        <w:rPr>
          <w:rFonts w:ascii="Calibri" w:hAnsi="Calibri" w:cs="Calibri"/>
        </w:rPr>
        <w:t>1</w:t>
      </w:r>
      <w:r w:rsidRPr="00824539">
        <w:rPr>
          <w:rFonts w:ascii="Calibri" w:hAnsi="Calibri" w:cs="Calibri"/>
        </w:rPr>
        <w:t xml:space="preserve"> milioni di euro.</w:t>
      </w:r>
      <w:r w:rsidR="00D11BBD">
        <w:rPr>
          <w:rFonts w:ascii="Calibri" w:hAnsi="Calibri" w:cs="Calibri"/>
        </w:rPr>
        <w:t xml:space="preserve"> </w:t>
      </w:r>
      <w:r w:rsidRPr="00824539">
        <w:rPr>
          <w:rFonts w:ascii="Calibri" w:hAnsi="Calibri" w:cs="Calibri"/>
        </w:rPr>
        <w:t xml:space="preserve">La Germania si </w:t>
      </w:r>
      <w:r w:rsidR="00F9139E">
        <w:rPr>
          <w:rFonts w:ascii="Calibri" w:hAnsi="Calibri" w:cs="Calibri"/>
        </w:rPr>
        <w:t xml:space="preserve">è </w:t>
      </w:r>
      <w:r w:rsidRPr="00824539">
        <w:rPr>
          <w:rFonts w:ascii="Calibri" w:hAnsi="Calibri" w:cs="Calibri"/>
        </w:rPr>
        <w:t>conferma</w:t>
      </w:r>
      <w:r w:rsidR="00F9139E">
        <w:rPr>
          <w:rFonts w:ascii="Calibri" w:hAnsi="Calibri" w:cs="Calibri"/>
        </w:rPr>
        <w:t>ta</w:t>
      </w:r>
      <w:r w:rsidRPr="00824539">
        <w:rPr>
          <w:rFonts w:ascii="Calibri" w:hAnsi="Calibri" w:cs="Calibri"/>
        </w:rPr>
        <w:t xml:space="preserve"> </w:t>
      </w:r>
      <w:r>
        <w:rPr>
          <w:rFonts w:ascii="Calibri" w:hAnsi="Calibri" w:cs="Calibri"/>
        </w:rPr>
        <w:t xml:space="preserve">il </w:t>
      </w:r>
      <w:r w:rsidRPr="00824539">
        <w:rPr>
          <w:rFonts w:ascii="Calibri" w:hAnsi="Calibri" w:cs="Calibri"/>
        </w:rPr>
        <w:t>primo mercato di sbocco,</w:t>
      </w:r>
      <w:r w:rsidR="00D07ECE" w:rsidRPr="00D07ECE">
        <w:rPr>
          <w:rFonts w:ascii="Calibri" w:hAnsi="Calibri" w:cs="Calibri"/>
        </w:rPr>
        <w:t xml:space="preserve"> </w:t>
      </w:r>
      <w:r w:rsidR="00D07ECE">
        <w:rPr>
          <w:rFonts w:ascii="Calibri" w:hAnsi="Calibri" w:cs="Calibri"/>
        </w:rPr>
        <w:t xml:space="preserve">nonostante una contrazione del 13%, </w:t>
      </w:r>
      <w:r w:rsidRPr="00824539">
        <w:rPr>
          <w:rFonts w:ascii="Calibri" w:hAnsi="Calibri" w:cs="Calibri"/>
        </w:rPr>
        <w:t xml:space="preserve">con un valore </w:t>
      </w:r>
      <w:r w:rsidR="00D07ECE">
        <w:rPr>
          <w:rFonts w:ascii="Calibri" w:hAnsi="Calibri" w:cs="Calibri"/>
        </w:rPr>
        <w:t>di</w:t>
      </w:r>
      <w:r w:rsidRPr="00824539">
        <w:rPr>
          <w:rFonts w:ascii="Calibri" w:hAnsi="Calibri" w:cs="Calibri"/>
        </w:rPr>
        <w:t xml:space="preserve"> 10,8 milioni di euro, seguita da</w:t>
      </w:r>
      <w:r w:rsidR="00D07ECE">
        <w:rPr>
          <w:rFonts w:ascii="Calibri" w:hAnsi="Calibri" w:cs="Calibri"/>
        </w:rPr>
        <w:t>gli</w:t>
      </w:r>
      <w:r w:rsidRPr="00824539">
        <w:rPr>
          <w:rFonts w:ascii="Calibri" w:hAnsi="Calibri" w:cs="Calibri"/>
        </w:rPr>
        <w:t xml:space="preserve"> Stati Uniti </w:t>
      </w:r>
      <w:r w:rsidR="00F9139E">
        <w:rPr>
          <w:rFonts w:ascii="Calibri" w:hAnsi="Calibri" w:cs="Calibri"/>
        </w:rPr>
        <w:t>interessati</w:t>
      </w:r>
      <w:r w:rsidRPr="00824539">
        <w:rPr>
          <w:rFonts w:ascii="Calibri" w:hAnsi="Calibri" w:cs="Calibri"/>
        </w:rPr>
        <w:t xml:space="preserve"> </w:t>
      </w:r>
      <w:r w:rsidR="00D07ECE">
        <w:rPr>
          <w:rFonts w:ascii="Calibri" w:hAnsi="Calibri" w:cs="Calibri"/>
        </w:rPr>
        <w:t xml:space="preserve">invece </w:t>
      </w:r>
      <w:r w:rsidR="00F9139E">
        <w:rPr>
          <w:rFonts w:ascii="Calibri" w:hAnsi="Calibri" w:cs="Calibri"/>
        </w:rPr>
        <w:t xml:space="preserve">da </w:t>
      </w:r>
      <w:r w:rsidRPr="00824539">
        <w:rPr>
          <w:rFonts w:ascii="Calibri" w:hAnsi="Calibri" w:cs="Calibri"/>
        </w:rPr>
        <w:t>una crescita significativa, con quasi 9,7 milioni di euro (+178,4% rispetto al 2024).</w:t>
      </w:r>
      <w:r>
        <w:rPr>
          <w:rFonts w:ascii="Calibri" w:hAnsi="Calibri" w:cs="Calibri"/>
        </w:rPr>
        <w:t xml:space="preserve"> </w:t>
      </w:r>
      <w:r w:rsidRPr="00824539">
        <w:rPr>
          <w:rFonts w:ascii="Calibri" w:hAnsi="Calibri" w:cs="Calibri"/>
        </w:rPr>
        <w:t xml:space="preserve">Tra i mercati in forte espansione si segnala la Polonia, </w:t>
      </w:r>
      <w:r w:rsidR="00D07ECE">
        <w:rPr>
          <w:rFonts w:ascii="Calibri" w:hAnsi="Calibri" w:cs="Calibri"/>
        </w:rPr>
        <w:t xml:space="preserve">che ha quadruplicato gli acquisti </w:t>
      </w:r>
      <w:r>
        <w:rPr>
          <w:rFonts w:ascii="Calibri" w:hAnsi="Calibri" w:cs="Calibri"/>
        </w:rPr>
        <w:t>supera</w:t>
      </w:r>
      <w:r w:rsidR="00D07ECE">
        <w:rPr>
          <w:rFonts w:ascii="Calibri" w:hAnsi="Calibri" w:cs="Calibri"/>
        </w:rPr>
        <w:t xml:space="preserve">ndo </w:t>
      </w:r>
      <w:r>
        <w:rPr>
          <w:rFonts w:ascii="Calibri" w:hAnsi="Calibri" w:cs="Calibri"/>
        </w:rPr>
        <w:t>i</w:t>
      </w:r>
      <w:r w:rsidRPr="00824539">
        <w:rPr>
          <w:rFonts w:ascii="Calibri" w:hAnsi="Calibri" w:cs="Calibri"/>
        </w:rPr>
        <w:t xml:space="preserve"> 9 milioni di euro.</w:t>
      </w:r>
      <w:r w:rsidR="00D11BBD">
        <w:rPr>
          <w:rFonts w:ascii="Calibri" w:hAnsi="Calibri" w:cs="Calibri"/>
        </w:rPr>
        <w:t xml:space="preserve"> </w:t>
      </w:r>
      <w:r>
        <w:rPr>
          <w:rFonts w:ascii="Calibri" w:hAnsi="Calibri" w:cs="Calibri"/>
        </w:rPr>
        <w:t>La flession</w:t>
      </w:r>
      <w:r w:rsidR="007E3DF3">
        <w:rPr>
          <w:rFonts w:ascii="Calibri" w:hAnsi="Calibri" w:cs="Calibri"/>
        </w:rPr>
        <w:t>e</w:t>
      </w:r>
      <w:r>
        <w:rPr>
          <w:rFonts w:ascii="Calibri" w:hAnsi="Calibri" w:cs="Calibri"/>
        </w:rPr>
        <w:t xml:space="preserve"> è risultata significativa,</w:t>
      </w:r>
      <w:r w:rsidRPr="00824539">
        <w:rPr>
          <w:rFonts w:ascii="Calibri" w:hAnsi="Calibri" w:cs="Calibri"/>
        </w:rPr>
        <w:t xml:space="preserve"> invece, </w:t>
      </w:r>
      <w:r>
        <w:rPr>
          <w:rFonts w:ascii="Calibri" w:hAnsi="Calibri" w:cs="Calibri"/>
        </w:rPr>
        <w:t xml:space="preserve">per </w:t>
      </w:r>
      <w:r w:rsidR="00D07ECE">
        <w:rPr>
          <w:rFonts w:ascii="Calibri" w:hAnsi="Calibri" w:cs="Calibri"/>
        </w:rPr>
        <w:t>l</w:t>
      </w:r>
      <w:r w:rsidRPr="00824539">
        <w:rPr>
          <w:rFonts w:ascii="Calibri" w:hAnsi="Calibri" w:cs="Calibri"/>
        </w:rPr>
        <w:t>e esportazioni verso la Turchia (-</w:t>
      </w:r>
      <w:r w:rsidR="00F9139E">
        <w:rPr>
          <w:rFonts w:ascii="Calibri" w:hAnsi="Calibri" w:cs="Calibri"/>
        </w:rPr>
        <w:t>70</w:t>
      </w:r>
      <w:r w:rsidRPr="00824539">
        <w:rPr>
          <w:rFonts w:ascii="Calibri" w:hAnsi="Calibri" w:cs="Calibri"/>
        </w:rPr>
        <w:t>%)</w:t>
      </w:r>
      <w:r w:rsidR="00D11BBD">
        <w:rPr>
          <w:rFonts w:ascii="Calibri" w:hAnsi="Calibri" w:cs="Calibri"/>
        </w:rPr>
        <w:t>,</w:t>
      </w:r>
      <w:r w:rsidRPr="00824539">
        <w:rPr>
          <w:rFonts w:ascii="Calibri" w:hAnsi="Calibri" w:cs="Calibri"/>
        </w:rPr>
        <w:t xml:space="preserve"> che </w:t>
      </w:r>
      <w:r w:rsidR="00813174">
        <w:rPr>
          <w:rFonts w:ascii="Calibri" w:hAnsi="Calibri" w:cs="Calibri"/>
        </w:rPr>
        <w:t xml:space="preserve">ha perso </w:t>
      </w:r>
      <w:r w:rsidRPr="00824539">
        <w:rPr>
          <w:rFonts w:ascii="Calibri" w:hAnsi="Calibri" w:cs="Calibri"/>
        </w:rPr>
        <w:t>oltre 6,5 milioni di euro</w:t>
      </w:r>
      <w:r w:rsidR="00F9139E">
        <w:rPr>
          <w:rFonts w:ascii="Calibri" w:hAnsi="Calibri" w:cs="Calibri"/>
        </w:rPr>
        <w:t>.</w:t>
      </w:r>
    </w:p>
    <w:tbl>
      <w:tblPr>
        <w:tblW w:w="8967" w:type="dxa"/>
        <w:tblInd w:w="70" w:type="dxa"/>
        <w:tblCellMar>
          <w:left w:w="70" w:type="dxa"/>
          <w:right w:w="70" w:type="dxa"/>
        </w:tblCellMar>
        <w:tblLook w:val="04A0" w:firstRow="1" w:lastRow="0" w:firstColumn="1" w:lastColumn="0" w:noHBand="0" w:noVBand="1"/>
      </w:tblPr>
      <w:tblGrid>
        <w:gridCol w:w="3686"/>
        <w:gridCol w:w="1315"/>
        <w:gridCol w:w="1314"/>
        <w:gridCol w:w="981"/>
        <w:gridCol w:w="7"/>
        <w:gridCol w:w="693"/>
        <w:gridCol w:w="7"/>
        <w:gridCol w:w="1035"/>
        <w:gridCol w:w="7"/>
      </w:tblGrid>
      <w:tr w:rsidR="0022419F" w14:paraId="50FC692D" w14:textId="77777777" w:rsidTr="002B5E47">
        <w:trPr>
          <w:gridAfter w:val="1"/>
          <w:wAfter w:w="7" w:type="dxa"/>
          <w:trHeight w:val="278"/>
        </w:trPr>
        <w:tc>
          <w:tcPr>
            <w:tcW w:w="6237" w:type="dxa"/>
            <w:gridSpan w:val="3"/>
            <w:tcBorders>
              <w:top w:val="nil"/>
              <w:left w:val="nil"/>
              <w:bottom w:val="nil"/>
              <w:right w:val="nil"/>
            </w:tcBorders>
            <w:noWrap/>
            <w:vAlign w:val="center"/>
            <w:hideMark/>
          </w:tcPr>
          <w:p w14:paraId="39B7F0B9" w14:textId="77777777" w:rsidR="0022419F" w:rsidRDefault="0022419F" w:rsidP="00A35AEF">
            <w:pPr>
              <w:rPr>
                <w:rFonts w:ascii="Calibri" w:hAnsi="Calibri" w:cs="Calibri"/>
                <w:b/>
                <w:bCs/>
                <w:color w:val="000000"/>
                <w:sz w:val="20"/>
                <w:szCs w:val="20"/>
              </w:rPr>
            </w:pPr>
            <w:r>
              <w:rPr>
                <w:rFonts w:ascii="Calibri" w:hAnsi="Calibri" w:cs="Calibri"/>
                <w:b/>
                <w:bCs/>
                <w:color w:val="000000"/>
                <w:sz w:val="20"/>
                <w:szCs w:val="20"/>
              </w:rPr>
              <w:t>I principali settori esportatori della provincia di Lucca - I semestre 2025</w:t>
            </w:r>
          </w:p>
        </w:tc>
        <w:tc>
          <w:tcPr>
            <w:tcW w:w="981" w:type="dxa"/>
            <w:tcBorders>
              <w:top w:val="nil"/>
              <w:left w:val="nil"/>
              <w:bottom w:val="nil"/>
              <w:right w:val="nil"/>
            </w:tcBorders>
            <w:noWrap/>
            <w:vAlign w:val="center"/>
            <w:hideMark/>
          </w:tcPr>
          <w:p w14:paraId="609AB69B" w14:textId="77777777" w:rsidR="0022419F" w:rsidRDefault="0022419F" w:rsidP="00A35AEF">
            <w:pPr>
              <w:rPr>
                <w:rFonts w:ascii="Calibri" w:hAnsi="Calibri" w:cs="Calibri"/>
                <w:b/>
                <w:bCs/>
                <w:color w:val="000000"/>
                <w:sz w:val="20"/>
                <w:szCs w:val="20"/>
              </w:rPr>
            </w:pPr>
          </w:p>
        </w:tc>
        <w:tc>
          <w:tcPr>
            <w:tcW w:w="700" w:type="dxa"/>
            <w:gridSpan w:val="2"/>
            <w:tcBorders>
              <w:top w:val="nil"/>
              <w:left w:val="nil"/>
              <w:bottom w:val="nil"/>
              <w:right w:val="nil"/>
            </w:tcBorders>
            <w:noWrap/>
            <w:vAlign w:val="center"/>
            <w:hideMark/>
          </w:tcPr>
          <w:p w14:paraId="2A5C4A80" w14:textId="77777777" w:rsidR="0022419F" w:rsidRDefault="0022419F" w:rsidP="00A35AEF">
            <w:pPr>
              <w:rPr>
                <w:sz w:val="20"/>
                <w:szCs w:val="20"/>
              </w:rPr>
            </w:pPr>
          </w:p>
        </w:tc>
        <w:tc>
          <w:tcPr>
            <w:tcW w:w="1042" w:type="dxa"/>
            <w:gridSpan w:val="2"/>
            <w:tcBorders>
              <w:top w:val="nil"/>
              <w:left w:val="nil"/>
              <w:bottom w:val="nil"/>
              <w:right w:val="nil"/>
            </w:tcBorders>
            <w:noWrap/>
            <w:vAlign w:val="center"/>
            <w:hideMark/>
          </w:tcPr>
          <w:p w14:paraId="31A2E372" w14:textId="77777777" w:rsidR="0022419F" w:rsidRDefault="0022419F" w:rsidP="00A35AEF">
            <w:pPr>
              <w:rPr>
                <w:sz w:val="20"/>
                <w:szCs w:val="20"/>
              </w:rPr>
            </w:pPr>
          </w:p>
        </w:tc>
      </w:tr>
      <w:tr w:rsidR="0022419F" w14:paraId="5381DA5C" w14:textId="77777777" w:rsidTr="002B5E47">
        <w:trPr>
          <w:gridAfter w:val="1"/>
          <w:wAfter w:w="7" w:type="dxa"/>
          <w:trHeight w:val="278"/>
        </w:trPr>
        <w:tc>
          <w:tcPr>
            <w:tcW w:w="5001" w:type="dxa"/>
            <w:gridSpan w:val="2"/>
            <w:tcBorders>
              <w:top w:val="nil"/>
              <w:left w:val="nil"/>
              <w:bottom w:val="single" w:sz="4" w:space="0" w:color="auto"/>
              <w:right w:val="nil"/>
            </w:tcBorders>
            <w:noWrap/>
            <w:vAlign w:val="center"/>
            <w:hideMark/>
          </w:tcPr>
          <w:p w14:paraId="7E5BB83D" w14:textId="77777777" w:rsidR="0022419F" w:rsidRDefault="0022419F" w:rsidP="00A35AEF">
            <w:pPr>
              <w:rPr>
                <w:rFonts w:ascii="Calibri" w:hAnsi="Calibri" w:cs="Calibri"/>
                <w:i/>
                <w:iCs/>
                <w:color w:val="000000"/>
                <w:sz w:val="20"/>
                <w:szCs w:val="20"/>
              </w:rPr>
            </w:pPr>
            <w:r>
              <w:rPr>
                <w:rFonts w:ascii="Calibri" w:hAnsi="Calibri" w:cs="Calibri"/>
                <w:i/>
                <w:iCs/>
                <w:color w:val="000000"/>
                <w:sz w:val="20"/>
                <w:szCs w:val="20"/>
              </w:rPr>
              <w:t>Valori assoluti in euro, var. % e contributi % alla crescita </w:t>
            </w:r>
          </w:p>
        </w:tc>
        <w:tc>
          <w:tcPr>
            <w:tcW w:w="1236" w:type="dxa"/>
            <w:tcBorders>
              <w:top w:val="nil"/>
              <w:left w:val="nil"/>
              <w:bottom w:val="single" w:sz="4" w:space="0" w:color="auto"/>
              <w:right w:val="nil"/>
            </w:tcBorders>
            <w:noWrap/>
            <w:vAlign w:val="center"/>
            <w:hideMark/>
          </w:tcPr>
          <w:p w14:paraId="1FB7F4A6" w14:textId="77777777" w:rsidR="0022419F" w:rsidRDefault="0022419F" w:rsidP="00A35AEF">
            <w:pPr>
              <w:rPr>
                <w:rFonts w:ascii="Calibri" w:hAnsi="Calibri" w:cs="Calibri"/>
                <w:i/>
                <w:iCs/>
                <w:color w:val="000000"/>
                <w:sz w:val="20"/>
                <w:szCs w:val="20"/>
              </w:rPr>
            </w:pPr>
          </w:p>
        </w:tc>
        <w:tc>
          <w:tcPr>
            <w:tcW w:w="981" w:type="dxa"/>
            <w:tcBorders>
              <w:top w:val="nil"/>
              <w:left w:val="nil"/>
              <w:bottom w:val="single" w:sz="4" w:space="0" w:color="auto"/>
              <w:right w:val="nil"/>
            </w:tcBorders>
            <w:noWrap/>
            <w:vAlign w:val="center"/>
            <w:hideMark/>
          </w:tcPr>
          <w:p w14:paraId="6F313AC6" w14:textId="77777777" w:rsidR="0022419F" w:rsidRDefault="0022419F" w:rsidP="00A35AEF">
            <w:pPr>
              <w:rPr>
                <w:sz w:val="20"/>
                <w:szCs w:val="20"/>
              </w:rPr>
            </w:pPr>
          </w:p>
        </w:tc>
        <w:tc>
          <w:tcPr>
            <w:tcW w:w="700" w:type="dxa"/>
            <w:gridSpan w:val="2"/>
            <w:tcBorders>
              <w:top w:val="nil"/>
              <w:left w:val="nil"/>
              <w:bottom w:val="single" w:sz="4" w:space="0" w:color="auto"/>
              <w:right w:val="nil"/>
            </w:tcBorders>
            <w:noWrap/>
            <w:vAlign w:val="center"/>
            <w:hideMark/>
          </w:tcPr>
          <w:p w14:paraId="4EA8C028" w14:textId="77777777" w:rsidR="0022419F" w:rsidRDefault="0022419F" w:rsidP="00A35AEF">
            <w:pPr>
              <w:rPr>
                <w:sz w:val="20"/>
                <w:szCs w:val="20"/>
              </w:rPr>
            </w:pPr>
          </w:p>
        </w:tc>
        <w:tc>
          <w:tcPr>
            <w:tcW w:w="1042" w:type="dxa"/>
            <w:gridSpan w:val="2"/>
            <w:tcBorders>
              <w:top w:val="nil"/>
              <w:left w:val="nil"/>
              <w:bottom w:val="single" w:sz="4" w:space="0" w:color="auto"/>
              <w:right w:val="nil"/>
            </w:tcBorders>
            <w:noWrap/>
            <w:vAlign w:val="center"/>
            <w:hideMark/>
          </w:tcPr>
          <w:p w14:paraId="3AE08CAF" w14:textId="77777777" w:rsidR="0022419F" w:rsidRDefault="0022419F" w:rsidP="00A35AEF">
            <w:pPr>
              <w:rPr>
                <w:sz w:val="20"/>
                <w:szCs w:val="20"/>
              </w:rPr>
            </w:pPr>
          </w:p>
        </w:tc>
      </w:tr>
      <w:tr w:rsidR="008F6E7D" w14:paraId="149B0817" w14:textId="77777777" w:rsidTr="002B5E47">
        <w:trPr>
          <w:trHeight w:val="278"/>
        </w:trPr>
        <w:tc>
          <w:tcPr>
            <w:tcW w:w="3686" w:type="dxa"/>
            <w:vMerge w:val="restart"/>
            <w:tcBorders>
              <w:top w:val="single" w:sz="4" w:space="0" w:color="auto"/>
              <w:left w:val="nil"/>
              <w:bottom w:val="single" w:sz="4" w:space="0" w:color="auto"/>
            </w:tcBorders>
            <w:noWrap/>
            <w:vAlign w:val="center"/>
            <w:hideMark/>
          </w:tcPr>
          <w:p w14:paraId="37A2CB85" w14:textId="77777777" w:rsidR="008F6E7D" w:rsidRDefault="008F6E7D" w:rsidP="00A35AEF">
            <w:pPr>
              <w:rPr>
                <w:rFonts w:ascii="Calibri" w:hAnsi="Calibri" w:cs="Calibri"/>
                <w:b/>
                <w:bCs/>
                <w:color w:val="000000"/>
                <w:sz w:val="20"/>
                <w:szCs w:val="20"/>
              </w:rPr>
            </w:pPr>
            <w:r>
              <w:rPr>
                <w:rFonts w:ascii="Calibri" w:hAnsi="Calibri" w:cs="Calibri"/>
                <w:b/>
                <w:bCs/>
                <w:color w:val="000000"/>
                <w:sz w:val="20"/>
                <w:szCs w:val="20"/>
              </w:rPr>
              <w:t>Settori di attività</w:t>
            </w:r>
          </w:p>
        </w:tc>
        <w:tc>
          <w:tcPr>
            <w:tcW w:w="2551" w:type="dxa"/>
            <w:gridSpan w:val="2"/>
            <w:tcBorders>
              <w:top w:val="single" w:sz="4" w:space="0" w:color="auto"/>
              <w:bottom w:val="single" w:sz="4" w:space="0" w:color="auto"/>
            </w:tcBorders>
            <w:noWrap/>
            <w:vAlign w:val="center"/>
            <w:hideMark/>
          </w:tcPr>
          <w:p w14:paraId="7B668DD2" w14:textId="77777777" w:rsidR="008F6E7D" w:rsidRDefault="008F6E7D" w:rsidP="002B5E47">
            <w:pPr>
              <w:jc w:val="center"/>
              <w:rPr>
                <w:rFonts w:ascii="Calibri" w:hAnsi="Calibri" w:cs="Calibri"/>
                <w:b/>
                <w:bCs/>
                <w:color w:val="000000"/>
                <w:sz w:val="20"/>
                <w:szCs w:val="20"/>
              </w:rPr>
            </w:pPr>
            <w:r>
              <w:rPr>
                <w:rFonts w:ascii="Calibri" w:hAnsi="Calibri" w:cs="Calibri"/>
                <w:b/>
                <w:bCs/>
                <w:color w:val="000000"/>
                <w:sz w:val="20"/>
                <w:szCs w:val="20"/>
              </w:rPr>
              <w:t>Valori assoluti in euro</w:t>
            </w:r>
          </w:p>
        </w:tc>
        <w:tc>
          <w:tcPr>
            <w:tcW w:w="988" w:type="dxa"/>
            <w:gridSpan w:val="2"/>
            <w:vMerge w:val="restart"/>
            <w:tcBorders>
              <w:top w:val="single" w:sz="4" w:space="0" w:color="auto"/>
              <w:bottom w:val="single" w:sz="4" w:space="0" w:color="auto"/>
            </w:tcBorders>
            <w:noWrap/>
            <w:vAlign w:val="center"/>
            <w:hideMark/>
          </w:tcPr>
          <w:p w14:paraId="285BAFB2" w14:textId="77777777" w:rsidR="008F6E7D" w:rsidRDefault="008F6E7D" w:rsidP="002B5E47">
            <w:pPr>
              <w:jc w:val="center"/>
              <w:rPr>
                <w:rFonts w:ascii="Calibri" w:hAnsi="Calibri" w:cs="Calibri"/>
                <w:b/>
                <w:bCs/>
                <w:color w:val="000000"/>
                <w:sz w:val="20"/>
                <w:szCs w:val="20"/>
              </w:rPr>
            </w:pPr>
            <w:r>
              <w:rPr>
                <w:rFonts w:ascii="Calibri" w:hAnsi="Calibri" w:cs="Calibri"/>
                <w:b/>
                <w:bCs/>
                <w:color w:val="000000"/>
                <w:sz w:val="20"/>
                <w:szCs w:val="20"/>
              </w:rPr>
              <w:t>Quota %</w:t>
            </w:r>
          </w:p>
        </w:tc>
        <w:tc>
          <w:tcPr>
            <w:tcW w:w="700" w:type="dxa"/>
            <w:gridSpan w:val="2"/>
            <w:vMerge w:val="restart"/>
            <w:tcBorders>
              <w:top w:val="single" w:sz="4" w:space="0" w:color="auto"/>
              <w:bottom w:val="single" w:sz="4" w:space="0" w:color="auto"/>
            </w:tcBorders>
            <w:noWrap/>
            <w:vAlign w:val="center"/>
            <w:hideMark/>
          </w:tcPr>
          <w:p w14:paraId="6070039F" w14:textId="77777777" w:rsidR="008F6E7D" w:rsidRDefault="008F6E7D" w:rsidP="002B5E47">
            <w:pPr>
              <w:jc w:val="center"/>
              <w:rPr>
                <w:rFonts w:ascii="Calibri" w:hAnsi="Calibri" w:cs="Calibri"/>
                <w:b/>
                <w:bCs/>
                <w:color w:val="000000"/>
                <w:sz w:val="20"/>
                <w:szCs w:val="20"/>
              </w:rPr>
            </w:pPr>
            <w:r>
              <w:rPr>
                <w:rFonts w:ascii="Calibri" w:hAnsi="Calibri" w:cs="Calibri"/>
                <w:b/>
                <w:bCs/>
                <w:color w:val="000000"/>
                <w:sz w:val="20"/>
                <w:szCs w:val="20"/>
              </w:rPr>
              <w:t>Var. %</w:t>
            </w:r>
          </w:p>
        </w:tc>
        <w:tc>
          <w:tcPr>
            <w:tcW w:w="1042" w:type="dxa"/>
            <w:gridSpan w:val="2"/>
            <w:vMerge w:val="restart"/>
            <w:tcBorders>
              <w:top w:val="single" w:sz="4" w:space="0" w:color="auto"/>
              <w:bottom w:val="single" w:sz="4" w:space="0" w:color="auto"/>
            </w:tcBorders>
            <w:vAlign w:val="center"/>
            <w:hideMark/>
          </w:tcPr>
          <w:p w14:paraId="4447E14C" w14:textId="77777777" w:rsidR="008F6E7D" w:rsidRDefault="008F6E7D" w:rsidP="002B5E47">
            <w:pPr>
              <w:jc w:val="center"/>
              <w:rPr>
                <w:rFonts w:ascii="Calibri" w:hAnsi="Calibri" w:cs="Calibri"/>
                <w:b/>
                <w:bCs/>
                <w:color w:val="000000"/>
                <w:sz w:val="20"/>
                <w:szCs w:val="20"/>
              </w:rPr>
            </w:pPr>
            <w:r>
              <w:rPr>
                <w:rFonts w:ascii="Calibri" w:hAnsi="Calibri" w:cs="Calibri"/>
                <w:b/>
                <w:bCs/>
                <w:color w:val="000000"/>
                <w:sz w:val="20"/>
                <w:szCs w:val="20"/>
              </w:rPr>
              <w:t>Contributo %</w:t>
            </w:r>
          </w:p>
        </w:tc>
      </w:tr>
      <w:tr w:rsidR="008F6E7D" w14:paraId="54743024" w14:textId="77777777" w:rsidTr="002B5E47">
        <w:trPr>
          <w:trHeight w:val="278"/>
        </w:trPr>
        <w:tc>
          <w:tcPr>
            <w:tcW w:w="3686" w:type="dxa"/>
            <w:vMerge/>
            <w:tcBorders>
              <w:top w:val="single" w:sz="4" w:space="0" w:color="auto"/>
              <w:left w:val="nil"/>
              <w:bottom w:val="single" w:sz="4" w:space="0" w:color="000000"/>
              <w:right w:val="nil"/>
            </w:tcBorders>
            <w:vAlign w:val="center"/>
            <w:hideMark/>
          </w:tcPr>
          <w:p w14:paraId="1A9207EA" w14:textId="77777777" w:rsidR="008F6E7D" w:rsidRDefault="008F6E7D" w:rsidP="008F6E7D">
            <w:pPr>
              <w:rPr>
                <w:rFonts w:ascii="Calibri" w:hAnsi="Calibri" w:cs="Calibri"/>
                <w:b/>
                <w:bCs/>
                <w:color w:val="000000"/>
                <w:sz w:val="20"/>
                <w:szCs w:val="20"/>
              </w:rPr>
            </w:pPr>
          </w:p>
        </w:tc>
        <w:tc>
          <w:tcPr>
            <w:tcW w:w="1315" w:type="dxa"/>
            <w:tcBorders>
              <w:top w:val="single" w:sz="4" w:space="0" w:color="auto"/>
              <w:left w:val="nil"/>
              <w:bottom w:val="single" w:sz="4" w:space="0" w:color="auto"/>
            </w:tcBorders>
            <w:noWrap/>
            <w:vAlign w:val="center"/>
            <w:hideMark/>
          </w:tcPr>
          <w:p w14:paraId="6F466044" w14:textId="77777777" w:rsidR="008F6E7D" w:rsidRDefault="008F6E7D" w:rsidP="002B5E47">
            <w:pPr>
              <w:jc w:val="center"/>
              <w:rPr>
                <w:rFonts w:ascii="Calibri" w:hAnsi="Calibri" w:cs="Calibri"/>
                <w:b/>
                <w:bCs/>
                <w:color w:val="000000"/>
                <w:sz w:val="20"/>
                <w:szCs w:val="20"/>
              </w:rPr>
            </w:pPr>
            <w:r>
              <w:rPr>
                <w:rFonts w:ascii="Calibri" w:hAnsi="Calibri" w:cs="Calibri"/>
                <w:b/>
                <w:bCs/>
                <w:color w:val="000000"/>
                <w:sz w:val="20"/>
                <w:szCs w:val="20"/>
              </w:rPr>
              <w:t xml:space="preserve">I </w:t>
            </w:r>
            <w:proofErr w:type="spellStart"/>
            <w:r>
              <w:rPr>
                <w:rFonts w:ascii="Calibri" w:hAnsi="Calibri" w:cs="Calibri"/>
                <w:b/>
                <w:bCs/>
                <w:color w:val="000000"/>
                <w:sz w:val="20"/>
                <w:szCs w:val="20"/>
              </w:rPr>
              <w:t>sem</w:t>
            </w:r>
            <w:proofErr w:type="spellEnd"/>
            <w:r>
              <w:rPr>
                <w:rFonts w:ascii="Calibri" w:hAnsi="Calibri" w:cs="Calibri"/>
                <w:b/>
                <w:bCs/>
                <w:color w:val="000000"/>
                <w:sz w:val="20"/>
                <w:szCs w:val="20"/>
              </w:rPr>
              <w:t xml:space="preserve"> 2024</w:t>
            </w:r>
          </w:p>
        </w:tc>
        <w:tc>
          <w:tcPr>
            <w:tcW w:w="1236" w:type="dxa"/>
            <w:tcBorders>
              <w:top w:val="single" w:sz="4" w:space="0" w:color="auto"/>
              <w:bottom w:val="single" w:sz="4" w:space="0" w:color="auto"/>
            </w:tcBorders>
            <w:noWrap/>
            <w:vAlign w:val="center"/>
            <w:hideMark/>
          </w:tcPr>
          <w:p w14:paraId="79E7FCBF" w14:textId="77777777" w:rsidR="008F6E7D" w:rsidRDefault="008F6E7D" w:rsidP="002B5E47">
            <w:pPr>
              <w:jc w:val="center"/>
              <w:rPr>
                <w:rFonts w:ascii="Calibri" w:hAnsi="Calibri" w:cs="Calibri"/>
                <w:b/>
                <w:bCs/>
                <w:color w:val="000000"/>
                <w:sz w:val="20"/>
                <w:szCs w:val="20"/>
              </w:rPr>
            </w:pPr>
            <w:r>
              <w:rPr>
                <w:rFonts w:ascii="Calibri" w:hAnsi="Calibri" w:cs="Calibri"/>
                <w:b/>
                <w:bCs/>
                <w:color w:val="000000"/>
                <w:sz w:val="20"/>
                <w:szCs w:val="20"/>
              </w:rPr>
              <w:t xml:space="preserve">I </w:t>
            </w:r>
            <w:proofErr w:type="spellStart"/>
            <w:r>
              <w:rPr>
                <w:rFonts w:ascii="Calibri" w:hAnsi="Calibri" w:cs="Calibri"/>
                <w:b/>
                <w:bCs/>
                <w:color w:val="000000"/>
                <w:sz w:val="20"/>
                <w:szCs w:val="20"/>
              </w:rPr>
              <w:t>sem</w:t>
            </w:r>
            <w:proofErr w:type="spellEnd"/>
            <w:r>
              <w:rPr>
                <w:rFonts w:ascii="Calibri" w:hAnsi="Calibri" w:cs="Calibri"/>
                <w:b/>
                <w:bCs/>
                <w:color w:val="000000"/>
                <w:sz w:val="20"/>
                <w:szCs w:val="20"/>
              </w:rPr>
              <w:t xml:space="preserve"> 2025</w:t>
            </w:r>
          </w:p>
        </w:tc>
        <w:tc>
          <w:tcPr>
            <w:tcW w:w="988" w:type="dxa"/>
            <w:gridSpan w:val="2"/>
            <w:vMerge/>
            <w:tcBorders>
              <w:top w:val="single" w:sz="4" w:space="0" w:color="auto"/>
              <w:bottom w:val="single" w:sz="4" w:space="0" w:color="auto"/>
            </w:tcBorders>
            <w:vAlign w:val="center"/>
            <w:hideMark/>
          </w:tcPr>
          <w:p w14:paraId="53D828E4" w14:textId="77777777" w:rsidR="008F6E7D" w:rsidRDefault="008F6E7D" w:rsidP="002B5E47">
            <w:pPr>
              <w:jc w:val="center"/>
              <w:rPr>
                <w:rFonts w:ascii="Calibri" w:hAnsi="Calibri" w:cs="Calibri"/>
                <w:b/>
                <w:bCs/>
                <w:color w:val="000000"/>
                <w:sz w:val="20"/>
                <w:szCs w:val="20"/>
              </w:rPr>
            </w:pPr>
          </w:p>
        </w:tc>
        <w:tc>
          <w:tcPr>
            <w:tcW w:w="700" w:type="dxa"/>
            <w:gridSpan w:val="2"/>
            <w:vMerge/>
            <w:tcBorders>
              <w:top w:val="single" w:sz="4" w:space="0" w:color="auto"/>
              <w:bottom w:val="single" w:sz="4" w:space="0" w:color="auto"/>
            </w:tcBorders>
            <w:vAlign w:val="center"/>
            <w:hideMark/>
          </w:tcPr>
          <w:p w14:paraId="26A59643" w14:textId="77777777" w:rsidR="008F6E7D" w:rsidRDefault="008F6E7D" w:rsidP="002B5E47">
            <w:pPr>
              <w:jc w:val="center"/>
              <w:rPr>
                <w:rFonts w:ascii="Calibri" w:hAnsi="Calibri" w:cs="Calibri"/>
                <w:b/>
                <w:bCs/>
                <w:color w:val="000000"/>
                <w:sz w:val="20"/>
                <w:szCs w:val="20"/>
              </w:rPr>
            </w:pPr>
          </w:p>
        </w:tc>
        <w:tc>
          <w:tcPr>
            <w:tcW w:w="1042" w:type="dxa"/>
            <w:gridSpan w:val="2"/>
            <w:vMerge/>
            <w:tcBorders>
              <w:top w:val="single" w:sz="4" w:space="0" w:color="auto"/>
              <w:bottom w:val="single" w:sz="4" w:space="0" w:color="auto"/>
            </w:tcBorders>
            <w:vAlign w:val="center"/>
            <w:hideMark/>
          </w:tcPr>
          <w:p w14:paraId="39823D3D" w14:textId="77777777" w:rsidR="008F6E7D" w:rsidRDefault="008F6E7D" w:rsidP="002B5E47">
            <w:pPr>
              <w:jc w:val="center"/>
              <w:rPr>
                <w:rFonts w:ascii="Calibri" w:hAnsi="Calibri" w:cs="Calibri"/>
                <w:b/>
                <w:bCs/>
                <w:color w:val="000000"/>
                <w:sz w:val="20"/>
                <w:szCs w:val="20"/>
              </w:rPr>
            </w:pPr>
          </w:p>
        </w:tc>
      </w:tr>
      <w:tr w:rsidR="008F6E7D" w14:paraId="533F32EA" w14:textId="77777777" w:rsidTr="002B5E47">
        <w:trPr>
          <w:gridAfter w:val="1"/>
          <w:wAfter w:w="7" w:type="dxa"/>
          <w:trHeight w:val="278"/>
        </w:trPr>
        <w:tc>
          <w:tcPr>
            <w:tcW w:w="3686" w:type="dxa"/>
            <w:tcBorders>
              <w:top w:val="single" w:sz="4" w:space="0" w:color="auto"/>
              <w:left w:val="nil"/>
              <w:bottom w:val="nil"/>
              <w:right w:val="nil"/>
            </w:tcBorders>
            <w:noWrap/>
            <w:vAlign w:val="center"/>
            <w:hideMark/>
          </w:tcPr>
          <w:p w14:paraId="0867ACE6" w14:textId="77777777" w:rsidR="008F6E7D" w:rsidRDefault="008F6E7D" w:rsidP="008F6E7D">
            <w:pPr>
              <w:rPr>
                <w:rFonts w:ascii="Calibri" w:hAnsi="Calibri" w:cs="Calibri"/>
                <w:color w:val="000000"/>
                <w:sz w:val="20"/>
                <w:szCs w:val="20"/>
              </w:rPr>
            </w:pPr>
            <w:r>
              <w:rPr>
                <w:rFonts w:ascii="Calibri" w:hAnsi="Calibri" w:cs="Calibri"/>
                <w:color w:val="000000"/>
                <w:sz w:val="20"/>
                <w:szCs w:val="20"/>
              </w:rPr>
              <w:t>Navi e imbarcazioni</w:t>
            </w:r>
          </w:p>
        </w:tc>
        <w:tc>
          <w:tcPr>
            <w:tcW w:w="1315" w:type="dxa"/>
            <w:tcBorders>
              <w:top w:val="single" w:sz="4" w:space="0" w:color="auto"/>
              <w:left w:val="nil"/>
              <w:bottom w:val="nil"/>
              <w:right w:val="nil"/>
            </w:tcBorders>
            <w:noWrap/>
            <w:vAlign w:val="center"/>
            <w:hideMark/>
          </w:tcPr>
          <w:p w14:paraId="0C60A28A"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642.349.621</w:t>
            </w:r>
          </w:p>
        </w:tc>
        <w:tc>
          <w:tcPr>
            <w:tcW w:w="1236" w:type="dxa"/>
            <w:tcBorders>
              <w:top w:val="single" w:sz="4" w:space="0" w:color="auto"/>
              <w:left w:val="nil"/>
              <w:bottom w:val="nil"/>
              <w:right w:val="nil"/>
            </w:tcBorders>
            <w:noWrap/>
            <w:vAlign w:val="center"/>
            <w:hideMark/>
          </w:tcPr>
          <w:p w14:paraId="72483756"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686.139.204</w:t>
            </w:r>
          </w:p>
        </w:tc>
        <w:tc>
          <w:tcPr>
            <w:tcW w:w="981" w:type="dxa"/>
            <w:tcBorders>
              <w:top w:val="single" w:sz="4" w:space="0" w:color="auto"/>
              <w:left w:val="nil"/>
              <w:bottom w:val="nil"/>
              <w:right w:val="nil"/>
            </w:tcBorders>
            <w:noWrap/>
            <w:vAlign w:val="center"/>
            <w:hideMark/>
          </w:tcPr>
          <w:p w14:paraId="577FC8B7"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24,6%</w:t>
            </w:r>
          </w:p>
        </w:tc>
        <w:tc>
          <w:tcPr>
            <w:tcW w:w="700" w:type="dxa"/>
            <w:gridSpan w:val="2"/>
            <w:tcBorders>
              <w:top w:val="single" w:sz="4" w:space="0" w:color="auto"/>
              <w:left w:val="nil"/>
              <w:bottom w:val="nil"/>
              <w:right w:val="nil"/>
            </w:tcBorders>
            <w:noWrap/>
            <w:vAlign w:val="center"/>
            <w:hideMark/>
          </w:tcPr>
          <w:p w14:paraId="5C43F2AA"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6,8%</w:t>
            </w:r>
          </w:p>
        </w:tc>
        <w:tc>
          <w:tcPr>
            <w:tcW w:w="1042" w:type="dxa"/>
            <w:gridSpan w:val="2"/>
            <w:tcBorders>
              <w:top w:val="single" w:sz="4" w:space="0" w:color="auto"/>
              <w:left w:val="nil"/>
              <w:bottom w:val="nil"/>
              <w:right w:val="nil"/>
            </w:tcBorders>
            <w:noWrap/>
            <w:vAlign w:val="center"/>
            <w:hideMark/>
          </w:tcPr>
          <w:p w14:paraId="35C149F6" w14:textId="77777777" w:rsidR="008F6E7D" w:rsidRDefault="008F6E7D" w:rsidP="002B5E47">
            <w:pPr>
              <w:jc w:val="center"/>
              <w:rPr>
                <w:rFonts w:ascii="Calibri" w:hAnsi="Calibri" w:cs="Calibri"/>
                <w:i/>
                <w:iCs/>
                <w:color w:val="000000"/>
                <w:sz w:val="20"/>
                <w:szCs w:val="20"/>
              </w:rPr>
            </w:pPr>
            <w:r>
              <w:rPr>
                <w:rFonts w:ascii="Calibri" w:hAnsi="Calibri" w:cs="Calibri"/>
                <w:i/>
                <w:iCs/>
                <w:color w:val="000000"/>
                <w:sz w:val="20"/>
                <w:szCs w:val="20"/>
              </w:rPr>
              <w:t>1,5%</w:t>
            </w:r>
          </w:p>
        </w:tc>
      </w:tr>
      <w:tr w:rsidR="008F6E7D" w14:paraId="6DA27607" w14:textId="77777777" w:rsidTr="002B5E47">
        <w:trPr>
          <w:gridAfter w:val="1"/>
          <w:wAfter w:w="7" w:type="dxa"/>
          <w:trHeight w:val="278"/>
        </w:trPr>
        <w:tc>
          <w:tcPr>
            <w:tcW w:w="3686" w:type="dxa"/>
            <w:tcBorders>
              <w:top w:val="nil"/>
              <w:left w:val="nil"/>
              <w:bottom w:val="nil"/>
              <w:right w:val="nil"/>
            </w:tcBorders>
            <w:noWrap/>
            <w:vAlign w:val="center"/>
            <w:hideMark/>
          </w:tcPr>
          <w:p w14:paraId="3A911EF6" w14:textId="77777777" w:rsidR="008F6E7D" w:rsidRDefault="008F6E7D" w:rsidP="008F6E7D">
            <w:pPr>
              <w:rPr>
                <w:rFonts w:ascii="Calibri" w:hAnsi="Calibri" w:cs="Calibri"/>
                <w:color w:val="000000"/>
                <w:sz w:val="20"/>
                <w:szCs w:val="20"/>
              </w:rPr>
            </w:pPr>
            <w:r>
              <w:rPr>
                <w:rFonts w:ascii="Calibri" w:hAnsi="Calibri" w:cs="Calibri"/>
                <w:color w:val="000000"/>
                <w:sz w:val="20"/>
                <w:szCs w:val="20"/>
              </w:rPr>
              <w:t>Articoli di carta e di cartone</w:t>
            </w:r>
          </w:p>
        </w:tc>
        <w:tc>
          <w:tcPr>
            <w:tcW w:w="1315" w:type="dxa"/>
            <w:tcBorders>
              <w:top w:val="nil"/>
              <w:left w:val="nil"/>
              <w:bottom w:val="nil"/>
              <w:right w:val="nil"/>
            </w:tcBorders>
            <w:noWrap/>
            <w:vAlign w:val="center"/>
            <w:hideMark/>
          </w:tcPr>
          <w:p w14:paraId="6C5DA90B"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376.913.293</w:t>
            </w:r>
          </w:p>
        </w:tc>
        <w:tc>
          <w:tcPr>
            <w:tcW w:w="1236" w:type="dxa"/>
            <w:tcBorders>
              <w:top w:val="nil"/>
              <w:left w:val="nil"/>
              <w:bottom w:val="nil"/>
              <w:right w:val="nil"/>
            </w:tcBorders>
            <w:noWrap/>
            <w:vAlign w:val="center"/>
            <w:hideMark/>
          </w:tcPr>
          <w:p w14:paraId="602AF77E"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390.341.804</w:t>
            </w:r>
          </w:p>
        </w:tc>
        <w:tc>
          <w:tcPr>
            <w:tcW w:w="981" w:type="dxa"/>
            <w:tcBorders>
              <w:top w:val="nil"/>
              <w:left w:val="nil"/>
              <w:bottom w:val="nil"/>
              <w:right w:val="nil"/>
            </w:tcBorders>
            <w:noWrap/>
            <w:vAlign w:val="center"/>
            <w:hideMark/>
          </w:tcPr>
          <w:p w14:paraId="6B657736"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14,0%</w:t>
            </w:r>
          </w:p>
        </w:tc>
        <w:tc>
          <w:tcPr>
            <w:tcW w:w="700" w:type="dxa"/>
            <w:gridSpan w:val="2"/>
            <w:tcBorders>
              <w:top w:val="nil"/>
              <w:left w:val="nil"/>
              <w:bottom w:val="nil"/>
              <w:right w:val="nil"/>
            </w:tcBorders>
            <w:noWrap/>
            <w:vAlign w:val="center"/>
            <w:hideMark/>
          </w:tcPr>
          <w:p w14:paraId="2E9B35AC"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3,6%</w:t>
            </w:r>
          </w:p>
        </w:tc>
        <w:tc>
          <w:tcPr>
            <w:tcW w:w="1042" w:type="dxa"/>
            <w:gridSpan w:val="2"/>
            <w:tcBorders>
              <w:top w:val="nil"/>
              <w:left w:val="nil"/>
              <w:bottom w:val="nil"/>
              <w:right w:val="nil"/>
            </w:tcBorders>
            <w:noWrap/>
            <w:vAlign w:val="center"/>
            <w:hideMark/>
          </w:tcPr>
          <w:p w14:paraId="1366E66C" w14:textId="77777777" w:rsidR="008F6E7D" w:rsidRDefault="008F6E7D" w:rsidP="002B5E47">
            <w:pPr>
              <w:jc w:val="center"/>
              <w:rPr>
                <w:rFonts w:ascii="Calibri" w:hAnsi="Calibri" w:cs="Calibri"/>
                <w:i/>
                <w:iCs/>
                <w:color w:val="000000"/>
                <w:sz w:val="20"/>
                <w:szCs w:val="20"/>
              </w:rPr>
            </w:pPr>
            <w:r>
              <w:rPr>
                <w:rFonts w:ascii="Calibri" w:hAnsi="Calibri" w:cs="Calibri"/>
                <w:i/>
                <w:iCs/>
                <w:color w:val="000000"/>
                <w:sz w:val="20"/>
                <w:szCs w:val="20"/>
              </w:rPr>
              <w:t>0,5%</w:t>
            </w:r>
          </w:p>
        </w:tc>
      </w:tr>
      <w:tr w:rsidR="008F6E7D" w14:paraId="13CACEC9" w14:textId="77777777" w:rsidTr="002B5E47">
        <w:trPr>
          <w:gridAfter w:val="1"/>
          <w:wAfter w:w="7" w:type="dxa"/>
          <w:trHeight w:val="278"/>
        </w:trPr>
        <w:tc>
          <w:tcPr>
            <w:tcW w:w="3686" w:type="dxa"/>
            <w:tcBorders>
              <w:top w:val="nil"/>
              <w:left w:val="nil"/>
              <w:bottom w:val="nil"/>
              <w:right w:val="nil"/>
            </w:tcBorders>
            <w:noWrap/>
            <w:vAlign w:val="center"/>
            <w:hideMark/>
          </w:tcPr>
          <w:p w14:paraId="0C96DE9C" w14:textId="77777777" w:rsidR="008F6E7D" w:rsidRDefault="008F6E7D" w:rsidP="008F6E7D">
            <w:pPr>
              <w:rPr>
                <w:rFonts w:ascii="Calibri" w:hAnsi="Calibri" w:cs="Calibri"/>
                <w:color w:val="000000"/>
                <w:sz w:val="20"/>
                <w:szCs w:val="20"/>
              </w:rPr>
            </w:pPr>
            <w:r>
              <w:rPr>
                <w:rFonts w:ascii="Calibri" w:hAnsi="Calibri" w:cs="Calibri"/>
                <w:color w:val="000000"/>
                <w:sz w:val="20"/>
                <w:szCs w:val="20"/>
              </w:rPr>
              <w:t>Altre macchine per impieghi speciali</w:t>
            </w:r>
          </w:p>
        </w:tc>
        <w:tc>
          <w:tcPr>
            <w:tcW w:w="1315" w:type="dxa"/>
            <w:tcBorders>
              <w:top w:val="nil"/>
              <w:left w:val="nil"/>
              <w:bottom w:val="nil"/>
              <w:right w:val="nil"/>
            </w:tcBorders>
            <w:noWrap/>
            <w:vAlign w:val="center"/>
            <w:hideMark/>
          </w:tcPr>
          <w:p w14:paraId="12E6C816"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323.066.812</w:t>
            </w:r>
          </w:p>
        </w:tc>
        <w:tc>
          <w:tcPr>
            <w:tcW w:w="1236" w:type="dxa"/>
            <w:tcBorders>
              <w:top w:val="nil"/>
              <w:left w:val="nil"/>
              <w:bottom w:val="nil"/>
              <w:right w:val="nil"/>
            </w:tcBorders>
            <w:noWrap/>
            <w:vAlign w:val="center"/>
            <w:hideMark/>
          </w:tcPr>
          <w:p w14:paraId="3A96BD6C"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267.210.927</w:t>
            </w:r>
          </w:p>
        </w:tc>
        <w:tc>
          <w:tcPr>
            <w:tcW w:w="981" w:type="dxa"/>
            <w:tcBorders>
              <w:top w:val="nil"/>
              <w:left w:val="nil"/>
              <w:bottom w:val="nil"/>
              <w:right w:val="nil"/>
            </w:tcBorders>
            <w:noWrap/>
            <w:vAlign w:val="center"/>
            <w:hideMark/>
          </w:tcPr>
          <w:p w14:paraId="43EDB260"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9,6%</w:t>
            </w:r>
          </w:p>
        </w:tc>
        <w:tc>
          <w:tcPr>
            <w:tcW w:w="700" w:type="dxa"/>
            <w:gridSpan w:val="2"/>
            <w:tcBorders>
              <w:top w:val="nil"/>
              <w:left w:val="nil"/>
              <w:bottom w:val="nil"/>
              <w:right w:val="nil"/>
            </w:tcBorders>
            <w:noWrap/>
            <w:vAlign w:val="center"/>
            <w:hideMark/>
          </w:tcPr>
          <w:p w14:paraId="10E0D40F"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-17,3%</w:t>
            </w:r>
          </w:p>
        </w:tc>
        <w:tc>
          <w:tcPr>
            <w:tcW w:w="1042" w:type="dxa"/>
            <w:gridSpan w:val="2"/>
            <w:tcBorders>
              <w:top w:val="nil"/>
              <w:left w:val="nil"/>
              <w:bottom w:val="nil"/>
              <w:right w:val="nil"/>
            </w:tcBorders>
            <w:noWrap/>
            <w:vAlign w:val="center"/>
            <w:hideMark/>
          </w:tcPr>
          <w:p w14:paraId="1C340C5B" w14:textId="77777777" w:rsidR="008F6E7D" w:rsidRDefault="008F6E7D" w:rsidP="002B5E47">
            <w:pPr>
              <w:jc w:val="center"/>
              <w:rPr>
                <w:rFonts w:ascii="Calibri" w:hAnsi="Calibri" w:cs="Calibri"/>
                <w:i/>
                <w:iCs/>
                <w:color w:val="000000"/>
                <w:sz w:val="20"/>
                <w:szCs w:val="20"/>
              </w:rPr>
            </w:pPr>
            <w:r>
              <w:rPr>
                <w:rFonts w:ascii="Calibri" w:hAnsi="Calibri" w:cs="Calibri"/>
                <w:i/>
                <w:iCs/>
                <w:color w:val="000000"/>
                <w:sz w:val="20"/>
                <w:szCs w:val="20"/>
              </w:rPr>
              <w:t>-2,0%</w:t>
            </w:r>
          </w:p>
        </w:tc>
      </w:tr>
      <w:tr w:rsidR="008F6E7D" w14:paraId="49B0DDF0" w14:textId="77777777" w:rsidTr="002B5E47">
        <w:trPr>
          <w:gridAfter w:val="1"/>
          <w:wAfter w:w="7" w:type="dxa"/>
          <w:trHeight w:val="278"/>
        </w:trPr>
        <w:tc>
          <w:tcPr>
            <w:tcW w:w="3686" w:type="dxa"/>
            <w:tcBorders>
              <w:top w:val="nil"/>
              <w:left w:val="nil"/>
              <w:bottom w:val="nil"/>
              <w:right w:val="nil"/>
            </w:tcBorders>
            <w:noWrap/>
            <w:vAlign w:val="center"/>
            <w:hideMark/>
          </w:tcPr>
          <w:p w14:paraId="666BB2AF" w14:textId="77777777" w:rsidR="008F6E7D" w:rsidRDefault="008F6E7D" w:rsidP="008F6E7D">
            <w:pPr>
              <w:rPr>
                <w:rFonts w:ascii="Calibri" w:hAnsi="Calibri" w:cs="Calibri"/>
                <w:color w:val="000000"/>
                <w:sz w:val="20"/>
                <w:szCs w:val="20"/>
              </w:rPr>
            </w:pPr>
            <w:r>
              <w:rPr>
                <w:rFonts w:ascii="Calibri" w:hAnsi="Calibri" w:cs="Calibri"/>
                <w:color w:val="000000"/>
                <w:sz w:val="20"/>
                <w:szCs w:val="20"/>
              </w:rPr>
              <w:t>Pasta-carta, carta e cartone</w:t>
            </w:r>
          </w:p>
        </w:tc>
        <w:tc>
          <w:tcPr>
            <w:tcW w:w="1315" w:type="dxa"/>
            <w:tcBorders>
              <w:top w:val="nil"/>
              <w:left w:val="nil"/>
              <w:bottom w:val="nil"/>
              <w:right w:val="nil"/>
            </w:tcBorders>
            <w:noWrap/>
            <w:vAlign w:val="center"/>
            <w:hideMark/>
          </w:tcPr>
          <w:p w14:paraId="4CB2D038"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242.743.985</w:t>
            </w:r>
          </w:p>
        </w:tc>
        <w:tc>
          <w:tcPr>
            <w:tcW w:w="1236" w:type="dxa"/>
            <w:tcBorders>
              <w:top w:val="nil"/>
              <w:left w:val="nil"/>
              <w:bottom w:val="nil"/>
              <w:right w:val="nil"/>
            </w:tcBorders>
            <w:noWrap/>
            <w:vAlign w:val="center"/>
            <w:hideMark/>
          </w:tcPr>
          <w:p w14:paraId="02EADCB9"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251.705.540</w:t>
            </w:r>
          </w:p>
        </w:tc>
        <w:tc>
          <w:tcPr>
            <w:tcW w:w="981" w:type="dxa"/>
            <w:tcBorders>
              <w:top w:val="nil"/>
              <w:left w:val="nil"/>
              <w:bottom w:val="nil"/>
              <w:right w:val="nil"/>
            </w:tcBorders>
            <w:noWrap/>
            <w:vAlign w:val="center"/>
            <w:hideMark/>
          </w:tcPr>
          <w:p w14:paraId="072259A9"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9,0%</w:t>
            </w:r>
          </w:p>
        </w:tc>
        <w:tc>
          <w:tcPr>
            <w:tcW w:w="700" w:type="dxa"/>
            <w:gridSpan w:val="2"/>
            <w:tcBorders>
              <w:top w:val="nil"/>
              <w:left w:val="nil"/>
              <w:bottom w:val="nil"/>
              <w:right w:val="nil"/>
            </w:tcBorders>
            <w:noWrap/>
            <w:vAlign w:val="center"/>
            <w:hideMark/>
          </w:tcPr>
          <w:p w14:paraId="4BD66191"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3,7%</w:t>
            </w:r>
          </w:p>
        </w:tc>
        <w:tc>
          <w:tcPr>
            <w:tcW w:w="1042" w:type="dxa"/>
            <w:gridSpan w:val="2"/>
            <w:tcBorders>
              <w:top w:val="nil"/>
              <w:left w:val="nil"/>
              <w:bottom w:val="nil"/>
              <w:right w:val="nil"/>
            </w:tcBorders>
            <w:noWrap/>
            <w:vAlign w:val="center"/>
            <w:hideMark/>
          </w:tcPr>
          <w:p w14:paraId="7A69D8D8" w14:textId="77777777" w:rsidR="008F6E7D" w:rsidRDefault="008F6E7D" w:rsidP="002B5E47">
            <w:pPr>
              <w:jc w:val="center"/>
              <w:rPr>
                <w:rFonts w:ascii="Calibri" w:hAnsi="Calibri" w:cs="Calibri"/>
                <w:i/>
                <w:iCs/>
                <w:color w:val="000000"/>
                <w:sz w:val="20"/>
                <w:szCs w:val="20"/>
              </w:rPr>
            </w:pPr>
            <w:r>
              <w:rPr>
                <w:rFonts w:ascii="Calibri" w:hAnsi="Calibri" w:cs="Calibri"/>
                <w:i/>
                <w:iCs/>
                <w:color w:val="000000"/>
                <w:sz w:val="20"/>
                <w:szCs w:val="20"/>
              </w:rPr>
              <w:t>0,3%</w:t>
            </w:r>
          </w:p>
        </w:tc>
      </w:tr>
      <w:tr w:rsidR="008F6E7D" w14:paraId="4AA16335" w14:textId="77777777" w:rsidTr="002B5E47">
        <w:trPr>
          <w:gridAfter w:val="1"/>
          <w:wAfter w:w="7" w:type="dxa"/>
          <w:trHeight w:val="278"/>
        </w:trPr>
        <w:tc>
          <w:tcPr>
            <w:tcW w:w="3686" w:type="dxa"/>
            <w:tcBorders>
              <w:top w:val="nil"/>
              <w:left w:val="nil"/>
              <w:bottom w:val="nil"/>
              <w:right w:val="nil"/>
            </w:tcBorders>
            <w:noWrap/>
            <w:vAlign w:val="center"/>
            <w:hideMark/>
          </w:tcPr>
          <w:p w14:paraId="213F299D" w14:textId="77777777" w:rsidR="008F6E7D" w:rsidRDefault="008F6E7D" w:rsidP="008F6E7D">
            <w:pPr>
              <w:rPr>
                <w:rFonts w:ascii="Calibri" w:hAnsi="Calibri" w:cs="Calibri"/>
                <w:color w:val="000000"/>
                <w:sz w:val="20"/>
                <w:szCs w:val="20"/>
              </w:rPr>
            </w:pPr>
            <w:r>
              <w:rPr>
                <w:rFonts w:ascii="Calibri" w:hAnsi="Calibri" w:cs="Calibri"/>
                <w:color w:val="000000"/>
                <w:sz w:val="20"/>
                <w:szCs w:val="20"/>
              </w:rPr>
              <w:t>Apparecchiature di cablaggio</w:t>
            </w:r>
          </w:p>
        </w:tc>
        <w:tc>
          <w:tcPr>
            <w:tcW w:w="1315" w:type="dxa"/>
            <w:tcBorders>
              <w:top w:val="nil"/>
              <w:left w:val="nil"/>
              <w:bottom w:val="nil"/>
              <w:right w:val="nil"/>
            </w:tcBorders>
            <w:noWrap/>
            <w:vAlign w:val="center"/>
            <w:hideMark/>
          </w:tcPr>
          <w:p w14:paraId="0F2C3551"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170.063.063</w:t>
            </w:r>
          </w:p>
        </w:tc>
        <w:tc>
          <w:tcPr>
            <w:tcW w:w="1236" w:type="dxa"/>
            <w:tcBorders>
              <w:top w:val="nil"/>
              <w:left w:val="nil"/>
              <w:bottom w:val="nil"/>
              <w:right w:val="nil"/>
            </w:tcBorders>
            <w:noWrap/>
            <w:vAlign w:val="center"/>
            <w:hideMark/>
          </w:tcPr>
          <w:p w14:paraId="2E0630A1"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162.708.042</w:t>
            </w:r>
          </w:p>
        </w:tc>
        <w:tc>
          <w:tcPr>
            <w:tcW w:w="981" w:type="dxa"/>
            <w:tcBorders>
              <w:top w:val="nil"/>
              <w:left w:val="nil"/>
              <w:bottom w:val="nil"/>
              <w:right w:val="nil"/>
            </w:tcBorders>
            <w:noWrap/>
            <w:vAlign w:val="center"/>
            <w:hideMark/>
          </w:tcPr>
          <w:p w14:paraId="3E845FEA"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5,8%</w:t>
            </w:r>
          </w:p>
        </w:tc>
        <w:tc>
          <w:tcPr>
            <w:tcW w:w="700" w:type="dxa"/>
            <w:gridSpan w:val="2"/>
            <w:tcBorders>
              <w:top w:val="nil"/>
              <w:left w:val="nil"/>
              <w:bottom w:val="nil"/>
              <w:right w:val="nil"/>
            </w:tcBorders>
            <w:noWrap/>
            <w:vAlign w:val="center"/>
            <w:hideMark/>
          </w:tcPr>
          <w:p w14:paraId="77605C29"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-4,3%</w:t>
            </w:r>
          </w:p>
        </w:tc>
        <w:tc>
          <w:tcPr>
            <w:tcW w:w="1042" w:type="dxa"/>
            <w:gridSpan w:val="2"/>
            <w:tcBorders>
              <w:top w:val="nil"/>
              <w:left w:val="nil"/>
              <w:bottom w:val="nil"/>
              <w:right w:val="nil"/>
            </w:tcBorders>
            <w:noWrap/>
            <w:vAlign w:val="center"/>
            <w:hideMark/>
          </w:tcPr>
          <w:p w14:paraId="46BC8E06" w14:textId="77777777" w:rsidR="008F6E7D" w:rsidRDefault="008F6E7D" w:rsidP="002B5E47">
            <w:pPr>
              <w:jc w:val="center"/>
              <w:rPr>
                <w:rFonts w:ascii="Calibri" w:hAnsi="Calibri" w:cs="Calibri"/>
                <w:i/>
                <w:iCs/>
                <w:color w:val="000000"/>
                <w:sz w:val="20"/>
                <w:szCs w:val="20"/>
              </w:rPr>
            </w:pPr>
            <w:r>
              <w:rPr>
                <w:rFonts w:ascii="Calibri" w:hAnsi="Calibri" w:cs="Calibri"/>
                <w:i/>
                <w:iCs/>
                <w:color w:val="000000"/>
                <w:sz w:val="20"/>
                <w:szCs w:val="20"/>
              </w:rPr>
              <w:t>-0,3%</w:t>
            </w:r>
          </w:p>
        </w:tc>
      </w:tr>
      <w:tr w:rsidR="008F6E7D" w14:paraId="2CFEA95C" w14:textId="77777777" w:rsidTr="002B5E47">
        <w:trPr>
          <w:gridAfter w:val="1"/>
          <w:wAfter w:w="7" w:type="dxa"/>
          <w:trHeight w:val="278"/>
        </w:trPr>
        <w:tc>
          <w:tcPr>
            <w:tcW w:w="3686" w:type="dxa"/>
            <w:tcBorders>
              <w:top w:val="nil"/>
              <w:left w:val="nil"/>
              <w:bottom w:val="nil"/>
              <w:right w:val="nil"/>
            </w:tcBorders>
            <w:noWrap/>
            <w:vAlign w:val="center"/>
            <w:hideMark/>
          </w:tcPr>
          <w:p w14:paraId="2C67B8BA" w14:textId="77777777" w:rsidR="008F6E7D" w:rsidRDefault="008F6E7D" w:rsidP="008F6E7D">
            <w:pPr>
              <w:rPr>
                <w:rFonts w:ascii="Calibri" w:hAnsi="Calibri" w:cs="Calibri"/>
                <w:color w:val="000000"/>
                <w:sz w:val="20"/>
                <w:szCs w:val="20"/>
              </w:rPr>
            </w:pPr>
            <w:r>
              <w:rPr>
                <w:rFonts w:ascii="Calibri" w:hAnsi="Calibri" w:cs="Calibri"/>
                <w:color w:val="000000"/>
                <w:sz w:val="20"/>
                <w:szCs w:val="20"/>
              </w:rPr>
              <w:t>Oli e grassi vegetali e animali</w:t>
            </w:r>
          </w:p>
        </w:tc>
        <w:tc>
          <w:tcPr>
            <w:tcW w:w="1315" w:type="dxa"/>
            <w:tcBorders>
              <w:top w:val="nil"/>
              <w:left w:val="nil"/>
              <w:bottom w:val="nil"/>
              <w:right w:val="nil"/>
            </w:tcBorders>
            <w:noWrap/>
            <w:vAlign w:val="center"/>
            <w:hideMark/>
          </w:tcPr>
          <w:p w14:paraId="2226948F"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192.375.098</w:t>
            </w:r>
          </w:p>
        </w:tc>
        <w:tc>
          <w:tcPr>
            <w:tcW w:w="1236" w:type="dxa"/>
            <w:tcBorders>
              <w:top w:val="nil"/>
              <w:left w:val="nil"/>
              <w:bottom w:val="nil"/>
              <w:right w:val="nil"/>
            </w:tcBorders>
            <w:noWrap/>
            <w:vAlign w:val="center"/>
            <w:hideMark/>
          </w:tcPr>
          <w:p w14:paraId="3D1DF563"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160.028.866</w:t>
            </w:r>
          </w:p>
        </w:tc>
        <w:tc>
          <w:tcPr>
            <w:tcW w:w="981" w:type="dxa"/>
            <w:tcBorders>
              <w:top w:val="nil"/>
              <w:left w:val="nil"/>
              <w:bottom w:val="nil"/>
              <w:right w:val="nil"/>
            </w:tcBorders>
            <w:noWrap/>
            <w:vAlign w:val="center"/>
            <w:hideMark/>
          </w:tcPr>
          <w:p w14:paraId="415B9CB9"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5,7%</w:t>
            </w:r>
          </w:p>
        </w:tc>
        <w:tc>
          <w:tcPr>
            <w:tcW w:w="700" w:type="dxa"/>
            <w:gridSpan w:val="2"/>
            <w:tcBorders>
              <w:top w:val="nil"/>
              <w:left w:val="nil"/>
              <w:bottom w:val="nil"/>
              <w:right w:val="nil"/>
            </w:tcBorders>
            <w:noWrap/>
            <w:vAlign w:val="center"/>
            <w:hideMark/>
          </w:tcPr>
          <w:p w14:paraId="7298432A"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-16,8%</w:t>
            </w:r>
          </w:p>
        </w:tc>
        <w:tc>
          <w:tcPr>
            <w:tcW w:w="1042" w:type="dxa"/>
            <w:gridSpan w:val="2"/>
            <w:tcBorders>
              <w:top w:val="nil"/>
              <w:left w:val="nil"/>
              <w:bottom w:val="nil"/>
              <w:right w:val="nil"/>
            </w:tcBorders>
            <w:noWrap/>
            <w:vAlign w:val="center"/>
            <w:hideMark/>
          </w:tcPr>
          <w:p w14:paraId="565599EB" w14:textId="77777777" w:rsidR="008F6E7D" w:rsidRDefault="008F6E7D" w:rsidP="002B5E47">
            <w:pPr>
              <w:jc w:val="center"/>
              <w:rPr>
                <w:rFonts w:ascii="Calibri" w:hAnsi="Calibri" w:cs="Calibri"/>
                <w:i/>
                <w:iCs/>
                <w:color w:val="000000"/>
                <w:sz w:val="20"/>
                <w:szCs w:val="20"/>
              </w:rPr>
            </w:pPr>
            <w:r>
              <w:rPr>
                <w:rFonts w:ascii="Calibri" w:hAnsi="Calibri" w:cs="Calibri"/>
                <w:i/>
                <w:iCs/>
                <w:color w:val="000000"/>
                <w:sz w:val="20"/>
                <w:szCs w:val="20"/>
              </w:rPr>
              <w:t>-1,1%</w:t>
            </w:r>
          </w:p>
        </w:tc>
      </w:tr>
      <w:tr w:rsidR="008F6E7D" w14:paraId="31B0D89B" w14:textId="77777777" w:rsidTr="002B5E47">
        <w:trPr>
          <w:gridAfter w:val="1"/>
          <w:wAfter w:w="7" w:type="dxa"/>
          <w:trHeight w:val="278"/>
        </w:trPr>
        <w:tc>
          <w:tcPr>
            <w:tcW w:w="3686" w:type="dxa"/>
            <w:tcBorders>
              <w:top w:val="nil"/>
              <w:left w:val="nil"/>
              <w:bottom w:val="nil"/>
              <w:right w:val="nil"/>
            </w:tcBorders>
            <w:noWrap/>
            <w:vAlign w:val="center"/>
            <w:hideMark/>
          </w:tcPr>
          <w:p w14:paraId="40B3F1DC" w14:textId="77777777" w:rsidR="008F6E7D" w:rsidRDefault="008F6E7D" w:rsidP="008F6E7D">
            <w:pPr>
              <w:rPr>
                <w:rFonts w:ascii="Calibri" w:hAnsi="Calibri" w:cs="Calibri"/>
                <w:color w:val="000000"/>
                <w:sz w:val="20"/>
                <w:szCs w:val="20"/>
              </w:rPr>
            </w:pPr>
            <w:r>
              <w:rPr>
                <w:rFonts w:ascii="Calibri" w:hAnsi="Calibri" w:cs="Calibri"/>
                <w:color w:val="000000"/>
                <w:sz w:val="20"/>
                <w:szCs w:val="20"/>
              </w:rPr>
              <w:t>Metalli di base preziosi e non ferrosi</w:t>
            </w:r>
          </w:p>
        </w:tc>
        <w:tc>
          <w:tcPr>
            <w:tcW w:w="1315" w:type="dxa"/>
            <w:tcBorders>
              <w:top w:val="nil"/>
              <w:left w:val="nil"/>
              <w:bottom w:val="nil"/>
              <w:right w:val="nil"/>
            </w:tcBorders>
            <w:noWrap/>
            <w:vAlign w:val="center"/>
            <w:hideMark/>
          </w:tcPr>
          <w:p w14:paraId="52524AAE"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129.351.019</w:t>
            </w:r>
          </w:p>
        </w:tc>
        <w:tc>
          <w:tcPr>
            <w:tcW w:w="1236" w:type="dxa"/>
            <w:tcBorders>
              <w:top w:val="nil"/>
              <w:left w:val="nil"/>
              <w:bottom w:val="nil"/>
              <w:right w:val="nil"/>
            </w:tcBorders>
            <w:noWrap/>
            <w:vAlign w:val="center"/>
            <w:hideMark/>
          </w:tcPr>
          <w:p w14:paraId="3A07D32C"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133.298.951</w:t>
            </w:r>
          </w:p>
        </w:tc>
        <w:tc>
          <w:tcPr>
            <w:tcW w:w="981" w:type="dxa"/>
            <w:tcBorders>
              <w:top w:val="nil"/>
              <w:left w:val="nil"/>
              <w:bottom w:val="nil"/>
              <w:right w:val="nil"/>
            </w:tcBorders>
            <w:noWrap/>
            <w:vAlign w:val="center"/>
            <w:hideMark/>
          </w:tcPr>
          <w:p w14:paraId="593D1048"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4,8%</w:t>
            </w:r>
          </w:p>
        </w:tc>
        <w:tc>
          <w:tcPr>
            <w:tcW w:w="700" w:type="dxa"/>
            <w:gridSpan w:val="2"/>
            <w:tcBorders>
              <w:top w:val="nil"/>
              <w:left w:val="nil"/>
              <w:bottom w:val="nil"/>
              <w:right w:val="nil"/>
            </w:tcBorders>
            <w:noWrap/>
            <w:vAlign w:val="center"/>
            <w:hideMark/>
          </w:tcPr>
          <w:p w14:paraId="16A67712"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3,1%</w:t>
            </w:r>
          </w:p>
        </w:tc>
        <w:tc>
          <w:tcPr>
            <w:tcW w:w="1042" w:type="dxa"/>
            <w:gridSpan w:val="2"/>
            <w:tcBorders>
              <w:top w:val="nil"/>
              <w:left w:val="nil"/>
              <w:bottom w:val="nil"/>
              <w:right w:val="nil"/>
            </w:tcBorders>
            <w:noWrap/>
            <w:vAlign w:val="center"/>
            <w:hideMark/>
          </w:tcPr>
          <w:p w14:paraId="0B32AA02" w14:textId="77777777" w:rsidR="008F6E7D" w:rsidRDefault="008F6E7D" w:rsidP="002B5E47">
            <w:pPr>
              <w:jc w:val="center"/>
              <w:rPr>
                <w:rFonts w:ascii="Calibri" w:hAnsi="Calibri" w:cs="Calibri"/>
                <w:i/>
                <w:iCs/>
                <w:color w:val="000000"/>
                <w:sz w:val="20"/>
                <w:szCs w:val="20"/>
              </w:rPr>
            </w:pPr>
            <w:r>
              <w:rPr>
                <w:rFonts w:ascii="Calibri" w:hAnsi="Calibri" w:cs="Calibri"/>
                <w:i/>
                <w:iCs/>
                <w:color w:val="000000"/>
                <w:sz w:val="20"/>
                <w:szCs w:val="20"/>
              </w:rPr>
              <w:t>0,1%</w:t>
            </w:r>
          </w:p>
        </w:tc>
      </w:tr>
      <w:tr w:rsidR="008F6E7D" w14:paraId="12AD1FAF" w14:textId="77777777" w:rsidTr="002B5E47">
        <w:trPr>
          <w:gridAfter w:val="1"/>
          <w:wAfter w:w="7" w:type="dxa"/>
          <w:trHeight w:val="278"/>
        </w:trPr>
        <w:tc>
          <w:tcPr>
            <w:tcW w:w="3686" w:type="dxa"/>
            <w:tcBorders>
              <w:top w:val="nil"/>
              <w:left w:val="nil"/>
              <w:bottom w:val="nil"/>
              <w:right w:val="nil"/>
            </w:tcBorders>
            <w:noWrap/>
            <w:vAlign w:val="center"/>
            <w:hideMark/>
          </w:tcPr>
          <w:p w14:paraId="68728FE4" w14:textId="77777777" w:rsidR="008F6E7D" w:rsidRDefault="008F6E7D" w:rsidP="008F6E7D">
            <w:pPr>
              <w:rPr>
                <w:rFonts w:ascii="Calibri" w:hAnsi="Calibri" w:cs="Calibri"/>
                <w:color w:val="000000"/>
                <w:sz w:val="20"/>
                <w:szCs w:val="20"/>
              </w:rPr>
            </w:pPr>
            <w:r>
              <w:rPr>
                <w:rFonts w:ascii="Calibri" w:hAnsi="Calibri" w:cs="Calibri"/>
                <w:color w:val="000000"/>
                <w:sz w:val="20"/>
                <w:szCs w:val="20"/>
              </w:rPr>
              <w:t>Medicinali e preparati farmaceutici</w:t>
            </w:r>
          </w:p>
        </w:tc>
        <w:tc>
          <w:tcPr>
            <w:tcW w:w="1315" w:type="dxa"/>
            <w:tcBorders>
              <w:top w:val="nil"/>
              <w:left w:val="nil"/>
              <w:bottom w:val="nil"/>
              <w:right w:val="nil"/>
            </w:tcBorders>
            <w:noWrap/>
            <w:vAlign w:val="center"/>
            <w:hideMark/>
          </w:tcPr>
          <w:p w14:paraId="0E071903"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92.356.526</w:t>
            </w:r>
          </w:p>
        </w:tc>
        <w:tc>
          <w:tcPr>
            <w:tcW w:w="1236" w:type="dxa"/>
            <w:tcBorders>
              <w:top w:val="nil"/>
              <w:left w:val="nil"/>
              <w:bottom w:val="nil"/>
              <w:right w:val="nil"/>
            </w:tcBorders>
            <w:noWrap/>
            <w:vAlign w:val="center"/>
            <w:hideMark/>
          </w:tcPr>
          <w:p w14:paraId="4157533E"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81.758.396</w:t>
            </w:r>
          </w:p>
        </w:tc>
        <w:tc>
          <w:tcPr>
            <w:tcW w:w="981" w:type="dxa"/>
            <w:tcBorders>
              <w:top w:val="nil"/>
              <w:left w:val="nil"/>
              <w:bottom w:val="nil"/>
              <w:right w:val="nil"/>
            </w:tcBorders>
            <w:noWrap/>
            <w:vAlign w:val="center"/>
            <w:hideMark/>
          </w:tcPr>
          <w:p w14:paraId="4E21527B"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2,9%</w:t>
            </w:r>
          </w:p>
        </w:tc>
        <w:tc>
          <w:tcPr>
            <w:tcW w:w="700" w:type="dxa"/>
            <w:gridSpan w:val="2"/>
            <w:tcBorders>
              <w:top w:val="nil"/>
              <w:left w:val="nil"/>
              <w:bottom w:val="nil"/>
              <w:right w:val="nil"/>
            </w:tcBorders>
            <w:noWrap/>
            <w:vAlign w:val="center"/>
            <w:hideMark/>
          </w:tcPr>
          <w:p w14:paraId="6F66142B"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-11,5%</w:t>
            </w:r>
          </w:p>
        </w:tc>
        <w:tc>
          <w:tcPr>
            <w:tcW w:w="1042" w:type="dxa"/>
            <w:gridSpan w:val="2"/>
            <w:tcBorders>
              <w:top w:val="nil"/>
              <w:left w:val="nil"/>
              <w:bottom w:val="nil"/>
              <w:right w:val="nil"/>
            </w:tcBorders>
            <w:noWrap/>
            <w:vAlign w:val="center"/>
            <w:hideMark/>
          </w:tcPr>
          <w:p w14:paraId="3A20AD82" w14:textId="77777777" w:rsidR="008F6E7D" w:rsidRDefault="008F6E7D" w:rsidP="002B5E47">
            <w:pPr>
              <w:jc w:val="center"/>
              <w:rPr>
                <w:rFonts w:ascii="Calibri" w:hAnsi="Calibri" w:cs="Calibri"/>
                <w:i/>
                <w:iCs/>
                <w:color w:val="000000"/>
                <w:sz w:val="20"/>
                <w:szCs w:val="20"/>
              </w:rPr>
            </w:pPr>
            <w:r>
              <w:rPr>
                <w:rFonts w:ascii="Calibri" w:hAnsi="Calibri" w:cs="Calibri"/>
                <w:i/>
                <w:iCs/>
                <w:color w:val="000000"/>
                <w:sz w:val="20"/>
                <w:szCs w:val="20"/>
              </w:rPr>
              <w:t>-0,4%</w:t>
            </w:r>
          </w:p>
        </w:tc>
      </w:tr>
      <w:tr w:rsidR="008F6E7D" w14:paraId="4920424E" w14:textId="77777777" w:rsidTr="002B5E47">
        <w:trPr>
          <w:gridAfter w:val="1"/>
          <w:wAfter w:w="7" w:type="dxa"/>
          <w:trHeight w:val="278"/>
        </w:trPr>
        <w:tc>
          <w:tcPr>
            <w:tcW w:w="3686" w:type="dxa"/>
            <w:tcBorders>
              <w:top w:val="nil"/>
              <w:left w:val="nil"/>
              <w:bottom w:val="nil"/>
              <w:right w:val="nil"/>
            </w:tcBorders>
            <w:noWrap/>
            <w:vAlign w:val="center"/>
            <w:hideMark/>
          </w:tcPr>
          <w:p w14:paraId="16A52CAE" w14:textId="77777777" w:rsidR="008F6E7D" w:rsidRDefault="008F6E7D" w:rsidP="008F6E7D">
            <w:pPr>
              <w:rPr>
                <w:rFonts w:ascii="Calibri" w:hAnsi="Calibri" w:cs="Calibri"/>
                <w:color w:val="000000"/>
                <w:sz w:val="20"/>
                <w:szCs w:val="20"/>
              </w:rPr>
            </w:pPr>
            <w:r>
              <w:rPr>
                <w:rFonts w:ascii="Calibri" w:hAnsi="Calibri" w:cs="Calibri"/>
                <w:color w:val="000000"/>
                <w:sz w:val="20"/>
                <w:szCs w:val="20"/>
              </w:rPr>
              <w:t>Macchine di impiego generale</w:t>
            </w:r>
          </w:p>
        </w:tc>
        <w:tc>
          <w:tcPr>
            <w:tcW w:w="1315" w:type="dxa"/>
            <w:tcBorders>
              <w:top w:val="nil"/>
              <w:left w:val="nil"/>
              <w:bottom w:val="nil"/>
              <w:right w:val="nil"/>
            </w:tcBorders>
            <w:noWrap/>
            <w:vAlign w:val="center"/>
            <w:hideMark/>
          </w:tcPr>
          <w:p w14:paraId="59AFDA37"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65.130.613</w:t>
            </w:r>
          </w:p>
        </w:tc>
        <w:tc>
          <w:tcPr>
            <w:tcW w:w="1236" w:type="dxa"/>
            <w:tcBorders>
              <w:top w:val="nil"/>
              <w:left w:val="nil"/>
              <w:bottom w:val="nil"/>
              <w:right w:val="nil"/>
            </w:tcBorders>
            <w:noWrap/>
            <w:vAlign w:val="center"/>
            <w:hideMark/>
          </w:tcPr>
          <w:p w14:paraId="4A534300"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81.573.690</w:t>
            </w:r>
          </w:p>
        </w:tc>
        <w:tc>
          <w:tcPr>
            <w:tcW w:w="981" w:type="dxa"/>
            <w:tcBorders>
              <w:top w:val="nil"/>
              <w:left w:val="nil"/>
              <w:bottom w:val="nil"/>
              <w:right w:val="nil"/>
            </w:tcBorders>
            <w:noWrap/>
            <w:vAlign w:val="center"/>
            <w:hideMark/>
          </w:tcPr>
          <w:p w14:paraId="773E3ABA"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2,9%</w:t>
            </w:r>
          </w:p>
        </w:tc>
        <w:tc>
          <w:tcPr>
            <w:tcW w:w="700" w:type="dxa"/>
            <w:gridSpan w:val="2"/>
            <w:tcBorders>
              <w:top w:val="nil"/>
              <w:left w:val="nil"/>
              <w:bottom w:val="nil"/>
              <w:right w:val="nil"/>
            </w:tcBorders>
            <w:noWrap/>
            <w:vAlign w:val="center"/>
            <w:hideMark/>
          </w:tcPr>
          <w:p w14:paraId="295FE8B5"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25,2%</w:t>
            </w:r>
          </w:p>
        </w:tc>
        <w:tc>
          <w:tcPr>
            <w:tcW w:w="1042" w:type="dxa"/>
            <w:gridSpan w:val="2"/>
            <w:tcBorders>
              <w:top w:val="nil"/>
              <w:left w:val="nil"/>
              <w:bottom w:val="nil"/>
              <w:right w:val="nil"/>
            </w:tcBorders>
            <w:noWrap/>
            <w:vAlign w:val="center"/>
            <w:hideMark/>
          </w:tcPr>
          <w:p w14:paraId="5F6F3A66" w14:textId="77777777" w:rsidR="008F6E7D" w:rsidRDefault="008F6E7D" w:rsidP="002B5E47">
            <w:pPr>
              <w:jc w:val="center"/>
              <w:rPr>
                <w:rFonts w:ascii="Calibri" w:hAnsi="Calibri" w:cs="Calibri"/>
                <w:i/>
                <w:iCs/>
                <w:color w:val="000000"/>
                <w:sz w:val="20"/>
                <w:szCs w:val="20"/>
              </w:rPr>
            </w:pPr>
            <w:r>
              <w:rPr>
                <w:rFonts w:ascii="Calibri" w:hAnsi="Calibri" w:cs="Calibri"/>
                <w:i/>
                <w:iCs/>
                <w:color w:val="000000"/>
                <w:sz w:val="20"/>
                <w:szCs w:val="20"/>
              </w:rPr>
              <w:t>0,6%</w:t>
            </w:r>
          </w:p>
        </w:tc>
      </w:tr>
      <w:tr w:rsidR="008F6E7D" w14:paraId="655FF85F" w14:textId="77777777" w:rsidTr="002B5E47">
        <w:trPr>
          <w:gridAfter w:val="1"/>
          <w:wAfter w:w="7" w:type="dxa"/>
          <w:trHeight w:val="278"/>
        </w:trPr>
        <w:tc>
          <w:tcPr>
            <w:tcW w:w="3686" w:type="dxa"/>
            <w:tcBorders>
              <w:top w:val="nil"/>
              <w:left w:val="nil"/>
              <w:bottom w:val="nil"/>
              <w:right w:val="nil"/>
            </w:tcBorders>
            <w:noWrap/>
            <w:vAlign w:val="center"/>
            <w:hideMark/>
          </w:tcPr>
          <w:p w14:paraId="759C8FB6" w14:textId="77777777" w:rsidR="008F6E7D" w:rsidRDefault="008F6E7D" w:rsidP="008F6E7D">
            <w:pPr>
              <w:rPr>
                <w:rFonts w:ascii="Calibri" w:hAnsi="Calibri" w:cs="Calibri"/>
                <w:color w:val="000000"/>
                <w:sz w:val="20"/>
                <w:szCs w:val="20"/>
              </w:rPr>
            </w:pPr>
            <w:r>
              <w:rPr>
                <w:rFonts w:ascii="Calibri" w:hAnsi="Calibri" w:cs="Calibri"/>
                <w:color w:val="000000"/>
                <w:sz w:val="20"/>
                <w:szCs w:val="20"/>
              </w:rPr>
              <w:t>Altre macchine di impiego generale</w:t>
            </w:r>
          </w:p>
        </w:tc>
        <w:tc>
          <w:tcPr>
            <w:tcW w:w="1315" w:type="dxa"/>
            <w:tcBorders>
              <w:top w:val="nil"/>
              <w:left w:val="nil"/>
              <w:bottom w:val="nil"/>
              <w:right w:val="nil"/>
            </w:tcBorders>
            <w:noWrap/>
            <w:vAlign w:val="center"/>
            <w:hideMark/>
          </w:tcPr>
          <w:p w14:paraId="1242301B"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71.153.783</w:t>
            </w:r>
          </w:p>
        </w:tc>
        <w:tc>
          <w:tcPr>
            <w:tcW w:w="1236" w:type="dxa"/>
            <w:tcBorders>
              <w:top w:val="nil"/>
              <w:left w:val="nil"/>
              <w:bottom w:val="nil"/>
              <w:right w:val="nil"/>
            </w:tcBorders>
            <w:noWrap/>
            <w:vAlign w:val="center"/>
            <w:hideMark/>
          </w:tcPr>
          <w:p w14:paraId="103C405F"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70.722.737</w:t>
            </w:r>
          </w:p>
        </w:tc>
        <w:tc>
          <w:tcPr>
            <w:tcW w:w="981" w:type="dxa"/>
            <w:tcBorders>
              <w:top w:val="nil"/>
              <w:left w:val="nil"/>
              <w:bottom w:val="nil"/>
              <w:right w:val="nil"/>
            </w:tcBorders>
            <w:noWrap/>
            <w:vAlign w:val="center"/>
            <w:hideMark/>
          </w:tcPr>
          <w:p w14:paraId="727E37B4"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2,5%</w:t>
            </w:r>
          </w:p>
        </w:tc>
        <w:tc>
          <w:tcPr>
            <w:tcW w:w="700" w:type="dxa"/>
            <w:gridSpan w:val="2"/>
            <w:tcBorders>
              <w:top w:val="nil"/>
              <w:left w:val="nil"/>
              <w:bottom w:val="nil"/>
              <w:right w:val="nil"/>
            </w:tcBorders>
            <w:noWrap/>
            <w:vAlign w:val="center"/>
            <w:hideMark/>
          </w:tcPr>
          <w:p w14:paraId="6F2BE142"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-0,6%</w:t>
            </w:r>
          </w:p>
        </w:tc>
        <w:tc>
          <w:tcPr>
            <w:tcW w:w="1042" w:type="dxa"/>
            <w:gridSpan w:val="2"/>
            <w:tcBorders>
              <w:top w:val="nil"/>
              <w:left w:val="nil"/>
              <w:bottom w:val="nil"/>
              <w:right w:val="nil"/>
            </w:tcBorders>
            <w:noWrap/>
            <w:vAlign w:val="center"/>
            <w:hideMark/>
          </w:tcPr>
          <w:p w14:paraId="016D9E56" w14:textId="77777777" w:rsidR="008F6E7D" w:rsidRDefault="008F6E7D" w:rsidP="002B5E47">
            <w:pPr>
              <w:jc w:val="center"/>
              <w:rPr>
                <w:rFonts w:ascii="Calibri" w:hAnsi="Calibri" w:cs="Calibri"/>
                <w:i/>
                <w:iCs/>
                <w:color w:val="000000"/>
                <w:sz w:val="20"/>
                <w:szCs w:val="20"/>
              </w:rPr>
            </w:pPr>
            <w:r>
              <w:rPr>
                <w:rFonts w:ascii="Calibri" w:hAnsi="Calibri" w:cs="Calibri"/>
                <w:i/>
                <w:iCs/>
                <w:color w:val="000000"/>
                <w:sz w:val="20"/>
                <w:szCs w:val="20"/>
              </w:rPr>
              <w:t>0,0%</w:t>
            </w:r>
          </w:p>
        </w:tc>
      </w:tr>
      <w:tr w:rsidR="008F6E7D" w14:paraId="52F039BD" w14:textId="77777777" w:rsidTr="002B5E47">
        <w:trPr>
          <w:gridAfter w:val="1"/>
          <w:wAfter w:w="7" w:type="dxa"/>
          <w:trHeight w:val="278"/>
        </w:trPr>
        <w:tc>
          <w:tcPr>
            <w:tcW w:w="3686" w:type="dxa"/>
            <w:tcBorders>
              <w:top w:val="nil"/>
              <w:left w:val="nil"/>
              <w:bottom w:val="nil"/>
              <w:right w:val="nil"/>
            </w:tcBorders>
            <w:noWrap/>
            <w:vAlign w:val="center"/>
            <w:hideMark/>
          </w:tcPr>
          <w:p w14:paraId="2DC83805" w14:textId="77777777" w:rsidR="008F6E7D" w:rsidRDefault="008F6E7D" w:rsidP="008F6E7D">
            <w:pPr>
              <w:rPr>
                <w:rFonts w:ascii="Calibri" w:hAnsi="Calibri" w:cs="Calibri"/>
                <w:color w:val="000000"/>
                <w:sz w:val="20"/>
                <w:szCs w:val="20"/>
              </w:rPr>
            </w:pPr>
            <w:r>
              <w:rPr>
                <w:rFonts w:ascii="Calibri" w:hAnsi="Calibri" w:cs="Calibri"/>
                <w:color w:val="000000"/>
                <w:sz w:val="20"/>
                <w:szCs w:val="20"/>
              </w:rPr>
              <w:t>Calzature</w:t>
            </w:r>
          </w:p>
        </w:tc>
        <w:tc>
          <w:tcPr>
            <w:tcW w:w="1315" w:type="dxa"/>
            <w:tcBorders>
              <w:top w:val="nil"/>
              <w:left w:val="nil"/>
              <w:bottom w:val="nil"/>
              <w:right w:val="nil"/>
            </w:tcBorders>
            <w:noWrap/>
            <w:vAlign w:val="center"/>
            <w:hideMark/>
          </w:tcPr>
          <w:p w14:paraId="7519DF25"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64.952.141</w:t>
            </w:r>
          </w:p>
        </w:tc>
        <w:tc>
          <w:tcPr>
            <w:tcW w:w="1236" w:type="dxa"/>
            <w:tcBorders>
              <w:top w:val="nil"/>
              <w:left w:val="nil"/>
              <w:bottom w:val="nil"/>
              <w:right w:val="nil"/>
            </w:tcBorders>
            <w:noWrap/>
            <w:vAlign w:val="center"/>
            <w:hideMark/>
          </w:tcPr>
          <w:p w14:paraId="7C928BA5"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58.956.341</w:t>
            </w:r>
          </w:p>
        </w:tc>
        <w:tc>
          <w:tcPr>
            <w:tcW w:w="981" w:type="dxa"/>
            <w:tcBorders>
              <w:top w:val="nil"/>
              <w:left w:val="nil"/>
              <w:bottom w:val="nil"/>
              <w:right w:val="nil"/>
            </w:tcBorders>
            <w:noWrap/>
            <w:vAlign w:val="center"/>
            <w:hideMark/>
          </w:tcPr>
          <w:p w14:paraId="1D0426DD"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2,1%</w:t>
            </w:r>
          </w:p>
        </w:tc>
        <w:tc>
          <w:tcPr>
            <w:tcW w:w="700" w:type="dxa"/>
            <w:gridSpan w:val="2"/>
            <w:tcBorders>
              <w:top w:val="nil"/>
              <w:left w:val="nil"/>
              <w:bottom w:val="nil"/>
              <w:right w:val="nil"/>
            </w:tcBorders>
            <w:noWrap/>
            <w:vAlign w:val="center"/>
            <w:hideMark/>
          </w:tcPr>
          <w:p w14:paraId="4353B1BE"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-9,2%</w:t>
            </w:r>
          </w:p>
        </w:tc>
        <w:tc>
          <w:tcPr>
            <w:tcW w:w="1042" w:type="dxa"/>
            <w:gridSpan w:val="2"/>
            <w:tcBorders>
              <w:top w:val="nil"/>
              <w:left w:val="nil"/>
              <w:bottom w:val="nil"/>
              <w:right w:val="nil"/>
            </w:tcBorders>
            <w:noWrap/>
            <w:vAlign w:val="center"/>
            <w:hideMark/>
          </w:tcPr>
          <w:p w14:paraId="7CD6AE78" w14:textId="77777777" w:rsidR="008F6E7D" w:rsidRDefault="008F6E7D" w:rsidP="002B5E47">
            <w:pPr>
              <w:jc w:val="center"/>
              <w:rPr>
                <w:rFonts w:ascii="Calibri" w:hAnsi="Calibri" w:cs="Calibri"/>
                <w:i/>
                <w:iCs/>
                <w:color w:val="000000"/>
                <w:sz w:val="20"/>
                <w:szCs w:val="20"/>
              </w:rPr>
            </w:pPr>
            <w:r>
              <w:rPr>
                <w:rFonts w:ascii="Calibri" w:hAnsi="Calibri" w:cs="Calibri"/>
                <w:i/>
                <w:iCs/>
                <w:color w:val="000000"/>
                <w:sz w:val="20"/>
                <w:szCs w:val="20"/>
              </w:rPr>
              <w:t>-0,2%</w:t>
            </w:r>
          </w:p>
        </w:tc>
      </w:tr>
      <w:tr w:rsidR="008F6E7D" w14:paraId="6C070970" w14:textId="77777777" w:rsidTr="002B5E47">
        <w:trPr>
          <w:gridAfter w:val="1"/>
          <w:wAfter w:w="7" w:type="dxa"/>
          <w:trHeight w:val="278"/>
        </w:trPr>
        <w:tc>
          <w:tcPr>
            <w:tcW w:w="3686" w:type="dxa"/>
            <w:tcBorders>
              <w:top w:val="nil"/>
              <w:left w:val="nil"/>
              <w:bottom w:val="nil"/>
              <w:right w:val="nil"/>
            </w:tcBorders>
            <w:noWrap/>
            <w:vAlign w:val="center"/>
            <w:hideMark/>
          </w:tcPr>
          <w:p w14:paraId="64E3E325" w14:textId="77777777" w:rsidR="008F6E7D" w:rsidRDefault="008F6E7D" w:rsidP="008F6E7D">
            <w:pPr>
              <w:rPr>
                <w:rFonts w:ascii="Calibri" w:hAnsi="Calibri" w:cs="Calibri"/>
                <w:color w:val="000000"/>
                <w:sz w:val="20"/>
                <w:szCs w:val="20"/>
              </w:rPr>
            </w:pPr>
            <w:r>
              <w:rPr>
                <w:rFonts w:ascii="Calibri" w:hAnsi="Calibri" w:cs="Calibri"/>
                <w:color w:val="000000"/>
                <w:sz w:val="20"/>
                <w:szCs w:val="20"/>
              </w:rPr>
              <w:t>Articoli in materie plastiche</w:t>
            </w:r>
          </w:p>
        </w:tc>
        <w:tc>
          <w:tcPr>
            <w:tcW w:w="1315" w:type="dxa"/>
            <w:tcBorders>
              <w:top w:val="nil"/>
              <w:left w:val="nil"/>
              <w:bottom w:val="nil"/>
              <w:right w:val="nil"/>
            </w:tcBorders>
            <w:noWrap/>
            <w:vAlign w:val="center"/>
            <w:hideMark/>
          </w:tcPr>
          <w:p w14:paraId="158DFA54"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53.684.117</w:t>
            </w:r>
          </w:p>
        </w:tc>
        <w:tc>
          <w:tcPr>
            <w:tcW w:w="1236" w:type="dxa"/>
            <w:tcBorders>
              <w:top w:val="nil"/>
              <w:left w:val="nil"/>
              <w:bottom w:val="nil"/>
              <w:right w:val="nil"/>
            </w:tcBorders>
            <w:noWrap/>
            <w:vAlign w:val="center"/>
            <w:hideMark/>
          </w:tcPr>
          <w:p w14:paraId="02C933F9"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53.229.217</w:t>
            </w:r>
          </w:p>
        </w:tc>
        <w:tc>
          <w:tcPr>
            <w:tcW w:w="981" w:type="dxa"/>
            <w:tcBorders>
              <w:top w:val="nil"/>
              <w:left w:val="nil"/>
              <w:bottom w:val="nil"/>
              <w:right w:val="nil"/>
            </w:tcBorders>
            <w:noWrap/>
            <w:vAlign w:val="center"/>
            <w:hideMark/>
          </w:tcPr>
          <w:p w14:paraId="7BDB878F"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1,9%</w:t>
            </w:r>
          </w:p>
        </w:tc>
        <w:tc>
          <w:tcPr>
            <w:tcW w:w="700" w:type="dxa"/>
            <w:gridSpan w:val="2"/>
            <w:tcBorders>
              <w:top w:val="nil"/>
              <w:left w:val="nil"/>
              <w:bottom w:val="nil"/>
              <w:right w:val="nil"/>
            </w:tcBorders>
            <w:noWrap/>
            <w:vAlign w:val="center"/>
            <w:hideMark/>
          </w:tcPr>
          <w:p w14:paraId="2FEC6A52"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-0,8%</w:t>
            </w:r>
          </w:p>
        </w:tc>
        <w:tc>
          <w:tcPr>
            <w:tcW w:w="1042" w:type="dxa"/>
            <w:gridSpan w:val="2"/>
            <w:tcBorders>
              <w:top w:val="nil"/>
              <w:left w:val="nil"/>
              <w:bottom w:val="nil"/>
              <w:right w:val="nil"/>
            </w:tcBorders>
            <w:noWrap/>
            <w:vAlign w:val="center"/>
            <w:hideMark/>
          </w:tcPr>
          <w:p w14:paraId="1BB78F74" w14:textId="77777777" w:rsidR="008F6E7D" w:rsidRDefault="008F6E7D" w:rsidP="002B5E47">
            <w:pPr>
              <w:jc w:val="center"/>
              <w:rPr>
                <w:rFonts w:ascii="Calibri" w:hAnsi="Calibri" w:cs="Calibri"/>
                <w:i/>
                <w:iCs/>
                <w:color w:val="000000"/>
                <w:sz w:val="20"/>
                <w:szCs w:val="20"/>
              </w:rPr>
            </w:pPr>
            <w:r>
              <w:rPr>
                <w:rFonts w:ascii="Calibri" w:hAnsi="Calibri" w:cs="Calibri"/>
                <w:i/>
                <w:iCs/>
                <w:color w:val="000000"/>
                <w:sz w:val="20"/>
                <w:szCs w:val="20"/>
              </w:rPr>
              <w:t>0,0%</w:t>
            </w:r>
          </w:p>
        </w:tc>
      </w:tr>
      <w:tr w:rsidR="008F6E7D" w14:paraId="013F556E" w14:textId="77777777" w:rsidTr="002B5E47">
        <w:trPr>
          <w:gridAfter w:val="1"/>
          <w:wAfter w:w="7" w:type="dxa"/>
          <w:trHeight w:val="278"/>
        </w:trPr>
        <w:tc>
          <w:tcPr>
            <w:tcW w:w="3686" w:type="dxa"/>
            <w:tcBorders>
              <w:top w:val="nil"/>
              <w:left w:val="nil"/>
              <w:bottom w:val="nil"/>
              <w:right w:val="nil"/>
            </w:tcBorders>
            <w:noWrap/>
            <w:vAlign w:val="center"/>
            <w:hideMark/>
          </w:tcPr>
          <w:p w14:paraId="650205A5" w14:textId="77777777" w:rsidR="008F6E7D" w:rsidRDefault="008F6E7D" w:rsidP="008F6E7D">
            <w:pPr>
              <w:rPr>
                <w:rFonts w:ascii="Calibri" w:hAnsi="Calibri" w:cs="Calibri"/>
                <w:color w:val="000000"/>
                <w:sz w:val="20"/>
                <w:szCs w:val="20"/>
              </w:rPr>
            </w:pPr>
            <w:r>
              <w:rPr>
                <w:rFonts w:ascii="Calibri" w:hAnsi="Calibri" w:cs="Calibri"/>
                <w:color w:val="000000"/>
                <w:sz w:val="20"/>
                <w:szCs w:val="20"/>
              </w:rPr>
              <w:t>Pietre tagliate, modellate e finite</w:t>
            </w:r>
          </w:p>
        </w:tc>
        <w:tc>
          <w:tcPr>
            <w:tcW w:w="1315" w:type="dxa"/>
            <w:tcBorders>
              <w:top w:val="nil"/>
              <w:left w:val="nil"/>
              <w:bottom w:val="nil"/>
              <w:right w:val="nil"/>
            </w:tcBorders>
            <w:noWrap/>
            <w:vAlign w:val="center"/>
            <w:hideMark/>
          </w:tcPr>
          <w:p w14:paraId="199F83CE"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52.998.488</w:t>
            </w:r>
          </w:p>
        </w:tc>
        <w:tc>
          <w:tcPr>
            <w:tcW w:w="1236" w:type="dxa"/>
            <w:tcBorders>
              <w:top w:val="nil"/>
              <w:left w:val="nil"/>
              <w:bottom w:val="nil"/>
              <w:right w:val="nil"/>
            </w:tcBorders>
            <w:noWrap/>
            <w:vAlign w:val="center"/>
            <w:hideMark/>
          </w:tcPr>
          <w:p w14:paraId="179028CA"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49.648.745</w:t>
            </w:r>
          </w:p>
        </w:tc>
        <w:tc>
          <w:tcPr>
            <w:tcW w:w="981" w:type="dxa"/>
            <w:tcBorders>
              <w:top w:val="nil"/>
              <w:left w:val="nil"/>
              <w:bottom w:val="nil"/>
              <w:right w:val="nil"/>
            </w:tcBorders>
            <w:noWrap/>
            <w:vAlign w:val="center"/>
            <w:hideMark/>
          </w:tcPr>
          <w:p w14:paraId="107994A5"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1,8%</w:t>
            </w:r>
          </w:p>
        </w:tc>
        <w:tc>
          <w:tcPr>
            <w:tcW w:w="700" w:type="dxa"/>
            <w:gridSpan w:val="2"/>
            <w:tcBorders>
              <w:top w:val="nil"/>
              <w:left w:val="nil"/>
              <w:bottom w:val="nil"/>
              <w:right w:val="nil"/>
            </w:tcBorders>
            <w:noWrap/>
            <w:vAlign w:val="center"/>
            <w:hideMark/>
          </w:tcPr>
          <w:p w14:paraId="23482774" w14:textId="77777777" w:rsidR="008F6E7D" w:rsidRDefault="008F6E7D" w:rsidP="002B5E47">
            <w:pPr>
              <w:jc w:val="center"/>
              <w:rPr>
                <w:rFonts w:ascii="Calibri" w:hAnsi="Calibri" w:cs="Calibri"/>
                <w:color w:val="000000"/>
                <w:sz w:val="20"/>
                <w:szCs w:val="20"/>
              </w:rPr>
            </w:pPr>
            <w:r>
              <w:rPr>
                <w:rFonts w:ascii="Calibri" w:hAnsi="Calibri" w:cs="Calibri"/>
                <w:color w:val="000000"/>
                <w:sz w:val="20"/>
                <w:szCs w:val="20"/>
              </w:rPr>
              <w:t>-6,3%</w:t>
            </w:r>
          </w:p>
        </w:tc>
        <w:tc>
          <w:tcPr>
            <w:tcW w:w="1042" w:type="dxa"/>
            <w:gridSpan w:val="2"/>
            <w:tcBorders>
              <w:top w:val="nil"/>
              <w:left w:val="nil"/>
              <w:bottom w:val="nil"/>
              <w:right w:val="nil"/>
            </w:tcBorders>
            <w:noWrap/>
            <w:vAlign w:val="center"/>
            <w:hideMark/>
          </w:tcPr>
          <w:p w14:paraId="221E58BF" w14:textId="77777777" w:rsidR="008F6E7D" w:rsidRDefault="008F6E7D" w:rsidP="002B5E47">
            <w:pPr>
              <w:jc w:val="center"/>
              <w:rPr>
                <w:rFonts w:ascii="Calibri" w:hAnsi="Calibri" w:cs="Calibri"/>
                <w:i/>
                <w:iCs/>
                <w:color w:val="000000"/>
                <w:sz w:val="20"/>
                <w:szCs w:val="20"/>
              </w:rPr>
            </w:pPr>
            <w:r>
              <w:rPr>
                <w:rFonts w:ascii="Calibri" w:hAnsi="Calibri" w:cs="Calibri"/>
                <w:i/>
                <w:iCs/>
                <w:color w:val="000000"/>
                <w:sz w:val="20"/>
                <w:szCs w:val="20"/>
              </w:rPr>
              <w:t>-0,1%</w:t>
            </w:r>
          </w:p>
        </w:tc>
      </w:tr>
      <w:tr w:rsidR="008F6E7D" w14:paraId="276BA1B9" w14:textId="77777777" w:rsidTr="002B5E47">
        <w:trPr>
          <w:gridAfter w:val="1"/>
          <w:wAfter w:w="7" w:type="dxa"/>
          <w:trHeight w:val="278"/>
        </w:trPr>
        <w:tc>
          <w:tcPr>
            <w:tcW w:w="3686" w:type="dxa"/>
            <w:tcBorders>
              <w:top w:val="nil"/>
              <w:left w:val="nil"/>
              <w:bottom w:val="nil"/>
              <w:right w:val="nil"/>
            </w:tcBorders>
            <w:noWrap/>
            <w:vAlign w:val="center"/>
            <w:hideMark/>
          </w:tcPr>
          <w:p w14:paraId="75BD1FB8" w14:textId="77777777" w:rsidR="008F6E7D" w:rsidRPr="00723086" w:rsidRDefault="008F6E7D" w:rsidP="008F6E7D">
            <w:pPr>
              <w:rPr>
                <w:rFonts w:ascii="Calibri" w:hAnsi="Calibri" w:cs="Calibri"/>
                <w:color w:val="000000"/>
                <w:sz w:val="20"/>
                <w:szCs w:val="20"/>
              </w:rPr>
            </w:pPr>
            <w:r w:rsidRPr="00723086">
              <w:rPr>
                <w:rFonts w:ascii="Calibri" w:hAnsi="Calibri" w:cs="Calibri"/>
                <w:color w:val="000000"/>
                <w:sz w:val="20"/>
              </w:rPr>
              <w:t>Coltelleria, utensili e oggetti di ferramenta</w:t>
            </w:r>
          </w:p>
        </w:tc>
        <w:tc>
          <w:tcPr>
            <w:tcW w:w="1315" w:type="dxa"/>
            <w:tcBorders>
              <w:top w:val="nil"/>
              <w:left w:val="nil"/>
              <w:bottom w:val="nil"/>
              <w:right w:val="nil"/>
            </w:tcBorders>
            <w:noWrap/>
            <w:vAlign w:val="center"/>
            <w:hideMark/>
          </w:tcPr>
          <w:p w14:paraId="7376CFFA" w14:textId="77777777" w:rsidR="008F6E7D" w:rsidRPr="00723086" w:rsidRDefault="008F6E7D" w:rsidP="002B5E47">
            <w:pPr>
              <w:jc w:val="center"/>
              <w:rPr>
                <w:rFonts w:ascii="Calibri" w:hAnsi="Calibri" w:cs="Calibri"/>
                <w:color w:val="000000"/>
                <w:sz w:val="20"/>
                <w:szCs w:val="20"/>
              </w:rPr>
            </w:pPr>
            <w:r w:rsidRPr="00723086">
              <w:rPr>
                <w:rFonts w:ascii="Calibri" w:hAnsi="Calibri" w:cs="Calibri"/>
                <w:color w:val="000000"/>
                <w:sz w:val="20"/>
                <w:szCs w:val="20"/>
              </w:rPr>
              <w:t>28.677.298</w:t>
            </w:r>
          </w:p>
        </w:tc>
        <w:tc>
          <w:tcPr>
            <w:tcW w:w="1236" w:type="dxa"/>
            <w:tcBorders>
              <w:top w:val="nil"/>
              <w:left w:val="nil"/>
              <w:bottom w:val="nil"/>
              <w:right w:val="nil"/>
            </w:tcBorders>
            <w:noWrap/>
            <w:vAlign w:val="center"/>
            <w:hideMark/>
          </w:tcPr>
          <w:p w14:paraId="3015920C" w14:textId="77777777" w:rsidR="008F6E7D" w:rsidRPr="00723086" w:rsidRDefault="008F6E7D" w:rsidP="002B5E47">
            <w:pPr>
              <w:jc w:val="center"/>
              <w:rPr>
                <w:rFonts w:ascii="Calibri" w:hAnsi="Calibri" w:cs="Calibri"/>
                <w:color w:val="000000"/>
                <w:sz w:val="20"/>
                <w:szCs w:val="20"/>
              </w:rPr>
            </w:pPr>
            <w:r w:rsidRPr="00723086">
              <w:rPr>
                <w:rFonts w:ascii="Calibri" w:hAnsi="Calibri" w:cs="Calibri"/>
                <w:color w:val="000000"/>
                <w:sz w:val="20"/>
                <w:szCs w:val="20"/>
              </w:rPr>
              <w:t>31.096.849</w:t>
            </w:r>
          </w:p>
        </w:tc>
        <w:tc>
          <w:tcPr>
            <w:tcW w:w="981" w:type="dxa"/>
            <w:tcBorders>
              <w:top w:val="nil"/>
              <w:left w:val="nil"/>
              <w:bottom w:val="nil"/>
              <w:right w:val="nil"/>
            </w:tcBorders>
            <w:noWrap/>
            <w:vAlign w:val="center"/>
            <w:hideMark/>
          </w:tcPr>
          <w:p w14:paraId="4690A350" w14:textId="77777777" w:rsidR="008F6E7D" w:rsidRPr="00723086" w:rsidRDefault="008F6E7D" w:rsidP="002B5E47">
            <w:pPr>
              <w:jc w:val="center"/>
              <w:rPr>
                <w:rFonts w:ascii="Calibri" w:hAnsi="Calibri" w:cs="Calibri"/>
                <w:color w:val="000000"/>
                <w:sz w:val="20"/>
                <w:szCs w:val="20"/>
              </w:rPr>
            </w:pPr>
            <w:r w:rsidRPr="00723086">
              <w:rPr>
                <w:rFonts w:ascii="Calibri" w:hAnsi="Calibri" w:cs="Calibri"/>
                <w:color w:val="000000"/>
                <w:sz w:val="20"/>
                <w:szCs w:val="20"/>
              </w:rPr>
              <w:t>1,1%</w:t>
            </w:r>
          </w:p>
        </w:tc>
        <w:tc>
          <w:tcPr>
            <w:tcW w:w="700" w:type="dxa"/>
            <w:gridSpan w:val="2"/>
            <w:tcBorders>
              <w:top w:val="nil"/>
              <w:left w:val="nil"/>
              <w:bottom w:val="nil"/>
              <w:right w:val="nil"/>
            </w:tcBorders>
            <w:noWrap/>
            <w:vAlign w:val="center"/>
            <w:hideMark/>
          </w:tcPr>
          <w:p w14:paraId="35D5FC72" w14:textId="77777777" w:rsidR="008F6E7D" w:rsidRPr="00723086" w:rsidRDefault="008F6E7D" w:rsidP="002B5E47">
            <w:pPr>
              <w:jc w:val="center"/>
              <w:rPr>
                <w:rFonts w:ascii="Calibri" w:hAnsi="Calibri" w:cs="Calibri"/>
                <w:color w:val="000000"/>
                <w:sz w:val="20"/>
                <w:szCs w:val="20"/>
              </w:rPr>
            </w:pPr>
            <w:r w:rsidRPr="00723086">
              <w:rPr>
                <w:rFonts w:ascii="Calibri" w:hAnsi="Calibri" w:cs="Calibri"/>
                <w:color w:val="000000"/>
                <w:sz w:val="20"/>
                <w:szCs w:val="20"/>
              </w:rPr>
              <w:t>8,4%</w:t>
            </w:r>
          </w:p>
        </w:tc>
        <w:tc>
          <w:tcPr>
            <w:tcW w:w="1042" w:type="dxa"/>
            <w:gridSpan w:val="2"/>
            <w:tcBorders>
              <w:top w:val="nil"/>
              <w:left w:val="nil"/>
              <w:bottom w:val="nil"/>
              <w:right w:val="nil"/>
            </w:tcBorders>
            <w:noWrap/>
            <w:vAlign w:val="center"/>
            <w:hideMark/>
          </w:tcPr>
          <w:p w14:paraId="6D4266B8" w14:textId="77777777" w:rsidR="008F6E7D" w:rsidRPr="00723086" w:rsidRDefault="008F6E7D" w:rsidP="002B5E47">
            <w:pPr>
              <w:jc w:val="center"/>
              <w:rPr>
                <w:rFonts w:ascii="Calibri" w:hAnsi="Calibri" w:cs="Calibri"/>
                <w:i/>
                <w:iCs/>
                <w:color w:val="000000"/>
                <w:sz w:val="20"/>
                <w:szCs w:val="20"/>
              </w:rPr>
            </w:pPr>
            <w:r w:rsidRPr="00723086">
              <w:rPr>
                <w:rFonts w:ascii="Calibri" w:hAnsi="Calibri" w:cs="Calibri"/>
                <w:i/>
                <w:iCs/>
                <w:color w:val="000000"/>
                <w:sz w:val="20"/>
                <w:szCs w:val="20"/>
              </w:rPr>
              <w:t>0,1%</w:t>
            </w:r>
          </w:p>
        </w:tc>
      </w:tr>
      <w:tr w:rsidR="008F6E7D" w14:paraId="62042BD9" w14:textId="77777777" w:rsidTr="002B5E47">
        <w:trPr>
          <w:gridAfter w:val="1"/>
          <w:wAfter w:w="7" w:type="dxa"/>
          <w:trHeight w:val="278"/>
        </w:trPr>
        <w:tc>
          <w:tcPr>
            <w:tcW w:w="3686" w:type="dxa"/>
            <w:tcBorders>
              <w:top w:val="nil"/>
              <w:left w:val="nil"/>
              <w:bottom w:val="nil"/>
              <w:right w:val="nil"/>
            </w:tcBorders>
            <w:noWrap/>
            <w:vAlign w:val="center"/>
            <w:hideMark/>
          </w:tcPr>
          <w:p w14:paraId="6727F9DD" w14:textId="77777777" w:rsidR="008F6E7D" w:rsidRPr="00723086" w:rsidRDefault="008F6E7D" w:rsidP="008F6E7D">
            <w:pPr>
              <w:rPr>
                <w:rFonts w:ascii="Calibri" w:hAnsi="Calibri" w:cs="Calibri"/>
                <w:color w:val="000000"/>
                <w:sz w:val="20"/>
                <w:szCs w:val="20"/>
              </w:rPr>
            </w:pPr>
            <w:r w:rsidRPr="00723086">
              <w:rPr>
                <w:rFonts w:ascii="Calibri" w:hAnsi="Calibri" w:cs="Calibri"/>
                <w:color w:val="000000"/>
                <w:sz w:val="20"/>
              </w:rPr>
              <w:t xml:space="preserve">Strumenti di </w:t>
            </w:r>
            <w:proofErr w:type="spellStart"/>
            <w:r w:rsidRPr="00723086">
              <w:rPr>
                <w:rFonts w:ascii="Calibri" w:hAnsi="Calibri" w:cs="Calibri"/>
                <w:color w:val="000000"/>
                <w:sz w:val="20"/>
              </w:rPr>
              <w:t>misuraz</w:t>
            </w:r>
            <w:proofErr w:type="spellEnd"/>
            <w:r w:rsidRPr="00723086">
              <w:rPr>
                <w:rFonts w:ascii="Calibri" w:hAnsi="Calibri" w:cs="Calibri"/>
                <w:color w:val="000000"/>
                <w:sz w:val="20"/>
              </w:rPr>
              <w:t xml:space="preserve">., prova e </w:t>
            </w:r>
            <w:proofErr w:type="spellStart"/>
            <w:r w:rsidRPr="00723086">
              <w:rPr>
                <w:rFonts w:ascii="Calibri" w:hAnsi="Calibri" w:cs="Calibri"/>
                <w:color w:val="000000"/>
                <w:sz w:val="20"/>
              </w:rPr>
              <w:t>navigaz</w:t>
            </w:r>
            <w:proofErr w:type="spellEnd"/>
            <w:r w:rsidRPr="00723086">
              <w:rPr>
                <w:rFonts w:ascii="Calibri" w:hAnsi="Calibri" w:cs="Calibri"/>
                <w:color w:val="000000"/>
                <w:sz w:val="20"/>
              </w:rPr>
              <w:t>.</w:t>
            </w:r>
          </w:p>
        </w:tc>
        <w:tc>
          <w:tcPr>
            <w:tcW w:w="1315" w:type="dxa"/>
            <w:tcBorders>
              <w:top w:val="nil"/>
              <w:left w:val="nil"/>
              <w:bottom w:val="nil"/>
              <w:right w:val="nil"/>
            </w:tcBorders>
            <w:noWrap/>
            <w:vAlign w:val="center"/>
            <w:hideMark/>
          </w:tcPr>
          <w:p w14:paraId="03A99451" w14:textId="77777777" w:rsidR="008F6E7D" w:rsidRPr="00723086" w:rsidRDefault="008F6E7D" w:rsidP="002B5E47">
            <w:pPr>
              <w:jc w:val="center"/>
              <w:rPr>
                <w:rFonts w:ascii="Calibri" w:hAnsi="Calibri" w:cs="Calibri"/>
                <w:color w:val="000000"/>
                <w:sz w:val="20"/>
                <w:szCs w:val="20"/>
              </w:rPr>
            </w:pPr>
            <w:r w:rsidRPr="00723086">
              <w:rPr>
                <w:rFonts w:ascii="Calibri" w:hAnsi="Calibri" w:cs="Calibri"/>
                <w:color w:val="000000"/>
                <w:sz w:val="20"/>
                <w:szCs w:val="20"/>
              </w:rPr>
              <w:t>26.452.927</w:t>
            </w:r>
          </w:p>
        </w:tc>
        <w:tc>
          <w:tcPr>
            <w:tcW w:w="1236" w:type="dxa"/>
            <w:tcBorders>
              <w:top w:val="nil"/>
              <w:left w:val="nil"/>
              <w:bottom w:val="nil"/>
              <w:right w:val="nil"/>
            </w:tcBorders>
            <w:noWrap/>
            <w:vAlign w:val="center"/>
            <w:hideMark/>
          </w:tcPr>
          <w:p w14:paraId="1BAB92A9" w14:textId="77777777" w:rsidR="008F6E7D" w:rsidRPr="00723086" w:rsidRDefault="008F6E7D" w:rsidP="002B5E47">
            <w:pPr>
              <w:jc w:val="center"/>
              <w:rPr>
                <w:rFonts w:ascii="Calibri" w:hAnsi="Calibri" w:cs="Calibri"/>
                <w:color w:val="000000"/>
                <w:sz w:val="20"/>
                <w:szCs w:val="20"/>
              </w:rPr>
            </w:pPr>
            <w:r w:rsidRPr="00723086">
              <w:rPr>
                <w:rFonts w:ascii="Calibri" w:hAnsi="Calibri" w:cs="Calibri"/>
                <w:color w:val="000000"/>
                <w:sz w:val="20"/>
                <w:szCs w:val="20"/>
              </w:rPr>
              <w:t>25.287.066</w:t>
            </w:r>
          </w:p>
        </w:tc>
        <w:tc>
          <w:tcPr>
            <w:tcW w:w="981" w:type="dxa"/>
            <w:tcBorders>
              <w:top w:val="nil"/>
              <w:left w:val="nil"/>
              <w:bottom w:val="nil"/>
              <w:right w:val="nil"/>
            </w:tcBorders>
            <w:noWrap/>
            <w:vAlign w:val="center"/>
            <w:hideMark/>
          </w:tcPr>
          <w:p w14:paraId="20262FD1" w14:textId="77777777" w:rsidR="008F6E7D" w:rsidRPr="00723086" w:rsidRDefault="008F6E7D" w:rsidP="002B5E47">
            <w:pPr>
              <w:jc w:val="center"/>
              <w:rPr>
                <w:rFonts w:ascii="Calibri" w:hAnsi="Calibri" w:cs="Calibri"/>
                <w:color w:val="000000"/>
                <w:sz w:val="20"/>
                <w:szCs w:val="20"/>
              </w:rPr>
            </w:pPr>
            <w:r w:rsidRPr="00723086">
              <w:rPr>
                <w:rFonts w:ascii="Calibri" w:hAnsi="Calibri" w:cs="Calibri"/>
                <w:color w:val="000000"/>
                <w:sz w:val="20"/>
                <w:szCs w:val="20"/>
              </w:rPr>
              <w:t>0,9%</w:t>
            </w:r>
          </w:p>
        </w:tc>
        <w:tc>
          <w:tcPr>
            <w:tcW w:w="700" w:type="dxa"/>
            <w:gridSpan w:val="2"/>
            <w:tcBorders>
              <w:top w:val="nil"/>
              <w:left w:val="nil"/>
              <w:bottom w:val="nil"/>
              <w:right w:val="nil"/>
            </w:tcBorders>
            <w:noWrap/>
            <w:vAlign w:val="center"/>
            <w:hideMark/>
          </w:tcPr>
          <w:p w14:paraId="74053745" w14:textId="77777777" w:rsidR="008F6E7D" w:rsidRPr="00723086" w:rsidRDefault="008F6E7D" w:rsidP="002B5E47">
            <w:pPr>
              <w:jc w:val="center"/>
              <w:rPr>
                <w:rFonts w:ascii="Calibri" w:hAnsi="Calibri" w:cs="Calibri"/>
                <w:color w:val="000000"/>
                <w:sz w:val="20"/>
                <w:szCs w:val="20"/>
              </w:rPr>
            </w:pPr>
            <w:r w:rsidRPr="00723086">
              <w:rPr>
                <w:rFonts w:ascii="Calibri" w:hAnsi="Calibri" w:cs="Calibri"/>
                <w:color w:val="000000"/>
                <w:sz w:val="20"/>
                <w:szCs w:val="20"/>
              </w:rPr>
              <w:t>-4,4%</w:t>
            </w:r>
          </w:p>
        </w:tc>
        <w:tc>
          <w:tcPr>
            <w:tcW w:w="1042" w:type="dxa"/>
            <w:gridSpan w:val="2"/>
            <w:tcBorders>
              <w:top w:val="nil"/>
              <w:left w:val="nil"/>
              <w:bottom w:val="nil"/>
              <w:right w:val="nil"/>
            </w:tcBorders>
            <w:noWrap/>
            <w:vAlign w:val="center"/>
            <w:hideMark/>
          </w:tcPr>
          <w:p w14:paraId="072643D0" w14:textId="77777777" w:rsidR="008F6E7D" w:rsidRPr="00723086" w:rsidRDefault="008F6E7D" w:rsidP="002B5E47">
            <w:pPr>
              <w:jc w:val="center"/>
              <w:rPr>
                <w:rFonts w:ascii="Calibri" w:hAnsi="Calibri" w:cs="Calibri"/>
                <w:i/>
                <w:iCs/>
                <w:color w:val="000000"/>
                <w:sz w:val="20"/>
                <w:szCs w:val="20"/>
              </w:rPr>
            </w:pPr>
            <w:r w:rsidRPr="00723086">
              <w:rPr>
                <w:rFonts w:ascii="Calibri" w:hAnsi="Calibri" w:cs="Calibri"/>
                <w:i/>
                <w:iCs/>
                <w:color w:val="000000"/>
                <w:sz w:val="20"/>
                <w:szCs w:val="20"/>
              </w:rPr>
              <w:t>0,0%</w:t>
            </w:r>
          </w:p>
        </w:tc>
      </w:tr>
      <w:tr w:rsidR="008F6E7D" w14:paraId="6FA1D4AF" w14:textId="77777777" w:rsidTr="002B5E47">
        <w:trPr>
          <w:gridAfter w:val="1"/>
          <w:wAfter w:w="7" w:type="dxa"/>
          <w:trHeight w:val="278"/>
        </w:trPr>
        <w:tc>
          <w:tcPr>
            <w:tcW w:w="3686" w:type="dxa"/>
            <w:tcBorders>
              <w:top w:val="nil"/>
              <w:left w:val="nil"/>
              <w:bottom w:val="nil"/>
              <w:right w:val="nil"/>
            </w:tcBorders>
            <w:noWrap/>
            <w:vAlign w:val="center"/>
            <w:hideMark/>
          </w:tcPr>
          <w:p w14:paraId="551300E4" w14:textId="77777777" w:rsidR="008F6E7D" w:rsidRPr="00723086" w:rsidRDefault="008F6E7D" w:rsidP="008F6E7D">
            <w:pPr>
              <w:rPr>
                <w:rFonts w:ascii="Calibri" w:hAnsi="Calibri" w:cs="Calibri"/>
                <w:sz w:val="20"/>
                <w:szCs w:val="20"/>
              </w:rPr>
            </w:pPr>
            <w:r w:rsidRPr="00723086">
              <w:rPr>
                <w:rFonts w:ascii="Calibri" w:hAnsi="Calibri" w:cs="Calibri"/>
                <w:sz w:val="20"/>
                <w:szCs w:val="20"/>
              </w:rPr>
              <w:t>Altro</w:t>
            </w:r>
          </w:p>
        </w:tc>
        <w:tc>
          <w:tcPr>
            <w:tcW w:w="1315" w:type="dxa"/>
            <w:tcBorders>
              <w:top w:val="nil"/>
              <w:left w:val="nil"/>
              <w:bottom w:val="nil"/>
              <w:right w:val="nil"/>
            </w:tcBorders>
            <w:noWrap/>
            <w:vAlign w:val="center"/>
            <w:hideMark/>
          </w:tcPr>
          <w:p w14:paraId="55161B98" w14:textId="77777777" w:rsidR="008F6E7D" w:rsidRPr="00723086" w:rsidRDefault="008F6E7D" w:rsidP="002B5E47">
            <w:pPr>
              <w:jc w:val="center"/>
              <w:rPr>
                <w:rFonts w:ascii="Calibri" w:hAnsi="Calibri" w:cs="Calibri"/>
                <w:sz w:val="20"/>
                <w:szCs w:val="20"/>
              </w:rPr>
            </w:pPr>
            <w:r w:rsidRPr="00723086">
              <w:rPr>
                <w:rFonts w:ascii="Calibri" w:hAnsi="Calibri" w:cs="Calibri"/>
                <w:sz w:val="20"/>
                <w:szCs w:val="20"/>
              </w:rPr>
              <w:t>299.974.053</w:t>
            </w:r>
          </w:p>
        </w:tc>
        <w:tc>
          <w:tcPr>
            <w:tcW w:w="1236" w:type="dxa"/>
            <w:tcBorders>
              <w:top w:val="nil"/>
              <w:left w:val="nil"/>
              <w:bottom w:val="nil"/>
              <w:right w:val="nil"/>
            </w:tcBorders>
            <w:noWrap/>
            <w:vAlign w:val="center"/>
            <w:hideMark/>
          </w:tcPr>
          <w:p w14:paraId="4C2D7E38" w14:textId="77777777" w:rsidR="008F6E7D" w:rsidRPr="00723086" w:rsidRDefault="008F6E7D" w:rsidP="002B5E47">
            <w:pPr>
              <w:jc w:val="center"/>
              <w:rPr>
                <w:rFonts w:ascii="Calibri" w:hAnsi="Calibri" w:cs="Calibri"/>
                <w:sz w:val="20"/>
                <w:szCs w:val="20"/>
              </w:rPr>
            </w:pPr>
            <w:r w:rsidRPr="00723086">
              <w:rPr>
                <w:rFonts w:ascii="Calibri" w:hAnsi="Calibri" w:cs="Calibri"/>
                <w:sz w:val="20"/>
                <w:szCs w:val="20"/>
              </w:rPr>
              <w:t>279.953.561</w:t>
            </w:r>
          </w:p>
        </w:tc>
        <w:tc>
          <w:tcPr>
            <w:tcW w:w="981" w:type="dxa"/>
            <w:tcBorders>
              <w:top w:val="nil"/>
              <w:left w:val="nil"/>
              <w:bottom w:val="nil"/>
              <w:right w:val="nil"/>
            </w:tcBorders>
            <w:noWrap/>
            <w:vAlign w:val="center"/>
            <w:hideMark/>
          </w:tcPr>
          <w:p w14:paraId="085008AF" w14:textId="77777777" w:rsidR="008F6E7D" w:rsidRPr="00723086" w:rsidRDefault="008F6E7D" w:rsidP="002B5E47">
            <w:pPr>
              <w:jc w:val="center"/>
              <w:rPr>
                <w:rFonts w:ascii="Calibri" w:hAnsi="Calibri" w:cs="Calibri"/>
                <w:sz w:val="20"/>
                <w:szCs w:val="20"/>
              </w:rPr>
            </w:pPr>
            <w:r w:rsidRPr="00723086">
              <w:rPr>
                <w:rFonts w:ascii="Calibri" w:hAnsi="Calibri" w:cs="Calibri"/>
                <w:sz w:val="20"/>
                <w:szCs w:val="20"/>
              </w:rPr>
              <w:t>10,1%</w:t>
            </w:r>
          </w:p>
        </w:tc>
        <w:tc>
          <w:tcPr>
            <w:tcW w:w="700" w:type="dxa"/>
            <w:gridSpan w:val="2"/>
            <w:tcBorders>
              <w:top w:val="nil"/>
              <w:left w:val="nil"/>
              <w:bottom w:val="nil"/>
              <w:right w:val="nil"/>
            </w:tcBorders>
            <w:noWrap/>
            <w:vAlign w:val="center"/>
            <w:hideMark/>
          </w:tcPr>
          <w:p w14:paraId="0169C8FE" w14:textId="77777777" w:rsidR="008F6E7D" w:rsidRPr="00723086" w:rsidRDefault="008F6E7D" w:rsidP="002B5E47">
            <w:pPr>
              <w:jc w:val="center"/>
              <w:rPr>
                <w:rFonts w:ascii="Calibri" w:hAnsi="Calibri" w:cs="Calibri"/>
                <w:sz w:val="20"/>
                <w:szCs w:val="20"/>
              </w:rPr>
            </w:pPr>
            <w:r w:rsidRPr="00723086">
              <w:rPr>
                <w:rFonts w:ascii="Calibri" w:hAnsi="Calibri" w:cs="Calibri"/>
                <w:sz w:val="20"/>
                <w:szCs w:val="20"/>
              </w:rPr>
              <w:t>-6,7%</w:t>
            </w:r>
          </w:p>
        </w:tc>
        <w:tc>
          <w:tcPr>
            <w:tcW w:w="1042" w:type="dxa"/>
            <w:gridSpan w:val="2"/>
            <w:tcBorders>
              <w:top w:val="nil"/>
              <w:left w:val="nil"/>
              <w:bottom w:val="nil"/>
              <w:right w:val="nil"/>
            </w:tcBorders>
            <w:noWrap/>
            <w:vAlign w:val="center"/>
            <w:hideMark/>
          </w:tcPr>
          <w:p w14:paraId="52505A37" w14:textId="77777777" w:rsidR="008F6E7D" w:rsidRPr="00723086" w:rsidRDefault="008F6E7D" w:rsidP="002B5E47">
            <w:pPr>
              <w:jc w:val="center"/>
              <w:rPr>
                <w:rFonts w:ascii="Calibri" w:hAnsi="Calibri" w:cs="Calibri"/>
                <w:i/>
                <w:iCs/>
                <w:sz w:val="20"/>
                <w:szCs w:val="20"/>
              </w:rPr>
            </w:pPr>
            <w:r w:rsidRPr="00723086">
              <w:rPr>
                <w:rFonts w:ascii="Calibri" w:hAnsi="Calibri" w:cs="Calibri"/>
                <w:i/>
                <w:iCs/>
                <w:sz w:val="20"/>
                <w:szCs w:val="20"/>
              </w:rPr>
              <w:t>-0,7%</w:t>
            </w:r>
          </w:p>
        </w:tc>
      </w:tr>
      <w:tr w:rsidR="008F6E7D" w14:paraId="0DC55331" w14:textId="77777777" w:rsidTr="002B5E47">
        <w:trPr>
          <w:gridAfter w:val="1"/>
          <w:wAfter w:w="7" w:type="dxa"/>
          <w:trHeight w:val="278"/>
        </w:trPr>
        <w:tc>
          <w:tcPr>
            <w:tcW w:w="3686" w:type="dxa"/>
            <w:tcBorders>
              <w:top w:val="single" w:sz="4" w:space="0" w:color="auto"/>
              <w:left w:val="nil"/>
              <w:bottom w:val="single" w:sz="4" w:space="0" w:color="auto"/>
              <w:right w:val="nil"/>
            </w:tcBorders>
            <w:noWrap/>
            <w:vAlign w:val="center"/>
            <w:hideMark/>
          </w:tcPr>
          <w:p w14:paraId="2E6927AD" w14:textId="77777777" w:rsidR="008F6E7D" w:rsidRPr="00723086" w:rsidRDefault="008F6E7D" w:rsidP="008F6E7D">
            <w:pPr>
              <w:rPr>
                <w:rFonts w:ascii="Calibri" w:hAnsi="Calibri" w:cs="Calibri"/>
                <w:b/>
                <w:bCs/>
                <w:sz w:val="20"/>
                <w:szCs w:val="20"/>
              </w:rPr>
            </w:pPr>
            <w:r w:rsidRPr="00723086">
              <w:rPr>
                <w:rFonts w:ascii="Calibri" w:hAnsi="Calibri" w:cs="Calibri"/>
                <w:b/>
                <w:bCs/>
                <w:sz w:val="20"/>
                <w:szCs w:val="20"/>
              </w:rPr>
              <w:t>Totale</w:t>
            </w:r>
          </w:p>
        </w:tc>
        <w:tc>
          <w:tcPr>
            <w:tcW w:w="1315" w:type="dxa"/>
            <w:tcBorders>
              <w:top w:val="single" w:sz="4" w:space="0" w:color="auto"/>
              <w:left w:val="nil"/>
              <w:bottom w:val="single" w:sz="4" w:space="0" w:color="auto"/>
              <w:right w:val="nil"/>
            </w:tcBorders>
            <w:noWrap/>
            <w:vAlign w:val="center"/>
            <w:hideMark/>
          </w:tcPr>
          <w:p w14:paraId="1323D31E" w14:textId="77777777" w:rsidR="008F6E7D" w:rsidRPr="00723086" w:rsidRDefault="008F6E7D" w:rsidP="002B5E47">
            <w:pPr>
              <w:jc w:val="center"/>
              <w:rPr>
                <w:rFonts w:ascii="Calibri" w:hAnsi="Calibri" w:cs="Calibri"/>
                <w:b/>
                <w:bCs/>
                <w:sz w:val="20"/>
                <w:szCs w:val="20"/>
              </w:rPr>
            </w:pPr>
            <w:r w:rsidRPr="00723086">
              <w:rPr>
                <w:rFonts w:ascii="Calibri" w:hAnsi="Calibri" w:cs="Calibri"/>
                <w:b/>
                <w:bCs/>
                <w:sz w:val="20"/>
                <w:szCs w:val="20"/>
              </w:rPr>
              <w:t>2.832.242.837</w:t>
            </w:r>
          </w:p>
        </w:tc>
        <w:tc>
          <w:tcPr>
            <w:tcW w:w="1236" w:type="dxa"/>
            <w:tcBorders>
              <w:top w:val="single" w:sz="4" w:space="0" w:color="auto"/>
              <w:left w:val="nil"/>
              <w:bottom w:val="single" w:sz="4" w:space="0" w:color="auto"/>
              <w:right w:val="nil"/>
            </w:tcBorders>
            <w:noWrap/>
            <w:vAlign w:val="center"/>
            <w:hideMark/>
          </w:tcPr>
          <w:p w14:paraId="6066F35F" w14:textId="77777777" w:rsidR="008F6E7D" w:rsidRPr="00723086" w:rsidRDefault="008F6E7D" w:rsidP="002B5E47">
            <w:pPr>
              <w:jc w:val="center"/>
              <w:rPr>
                <w:rFonts w:ascii="Calibri" w:hAnsi="Calibri" w:cs="Calibri"/>
                <w:b/>
                <w:bCs/>
                <w:sz w:val="20"/>
                <w:szCs w:val="20"/>
              </w:rPr>
            </w:pPr>
            <w:r w:rsidRPr="00723086">
              <w:rPr>
                <w:rFonts w:ascii="Calibri" w:hAnsi="Calibri" w:cs="Calibri"/>
                <w:b/>
                <w:bCs/>
                <w:sz w:val="20"/>
                <w:szCs w:val="20"/>
              </w:rPr>
              <w:t>2.783.659.936</w:t>
            </w:r>
          </w:p>
        </w:tc>
        <w:tc>
          <w:tcPr>
            <w:tcW w:w="981" w:type="dxa"/>
            <w:tcBorders>
              <w:top w:val="single" w:sz="4" w:space="0" w:color="auto"/>
              <w:left w:val="nil"/>
              <w:bottom w:val="single" w:sz="4" w:space="0" w:color="auto"/>
              <w:right w:val="nil"/>
            </w:tcBorders>
            <w:noWrap/>
            <w:vAlign w:val="center"/>
            <w:hideMark/>
          </w:tcPr>
          <w:p w14:paraId="68937CAB" w14:textId="77777777" w:rsidR="008F6E7D" w:rsidRPr="00723086" w:rsidRDefault="008F6E7D" w:rsidP="002B5E47">
            <w:pPr>
              <w:jc w:val="center"/>
              <w:rPr>
                <w:rFonts w:ascii="Calibri" w:hAnsi="Calibri" w:cs="Calibri"/>
                <w:b/>
                <w:bCs/>
                <w:sz w:val="20"/>
                <w:szCs w:val="20"/>
              </w:rPr>
            </w:pPr>
            <w:r w:rsidRPr="00723086">
              <w:rPr>
                <w:rFonts w:ascii="Calibri" w:hAnsi="Calibri" w:cs="Calibri"/>
                <w:b/>
                <w:bCs/>
                <w:sz w:val="20"/>
                <w:szCs w:val="20"/>
              </w:rPr>
              <w:t>100,0%</w:t>
            </w:r>
          </w:p>
        </w:tc>
        <w:tc>
          <w:tcPr>
            <w:tcW w:w="700" w:type="dxa"/>
            <w:gridSpan w:val="2"/>
            <w:tcBorders>
              <w:top w:val="single" w:sz="4" w:space="0" w:color="auto"/>
              <w:left w:val="nil"/>
              <w:bottom w:val="single" w:sz="4" w:space="0" w:color="auto"/>
              <w:right w:val="nil"/>
            </w:tcBorders>
            <w:noWrap/>
            <w:vAlign w:val="center"/>
            <w:hideMark/>
          </w:tcPr>
          <w:p w14:paraId="7D22A14E" w14:textId="77777777" w:rsidR="008F6E7D" w:rsidRPr="00723086" w:rsidRDefault="008F6E7D" w:rsidP="002B5E47">
            <w:pPr>
              <w:jc w:val="center"/>
              <w:rPr>
                <w:rFonts w:ascii="Calibri" w:hAnsi="Calibri" w:cs="Calibri"/>
                <w:b/>
                <w:bCs/>
                <w:sz w:val="20"/>
                <w:szCs w:val="20"/>
              </w:rPr>
            </w:pPr>
            <w:r w:rsidRPr="00723086">
              <w:rPr>
                <w:rFonts w:ascii="Calibri" w:hAnsi="Calibri" w:cs="Calibri"/>
                <w:b/>
                <w:bCs/>
                <w:sz w:val="20"/>
                <w:szCs w:val="20"/>
              </w:rPr>
              <w:t>-1,7%</w:t>
            </w:r>
          </w:p>
        </w:tc>
        <w:tc>
          <w:tcPr>
            <w:tcW w:w="1042" w:type="dxa"/>
            <w:gridSpan w:val="2"/>
            <w:tcBorders>
              <w:top w:val="single" w:sz="4" w:space="0" w:color="auto"/>
              <w:left w:val="nil"/>
              <w:bottom w:val="single" w:sz="4" w:space="0" w:color="auto"/>
              <w:right w:val="nil"/>
            </w:tcBorders>
            <w:noWrap/>
            <w:vAlign w:val="center"/>
            <w:hideMark/>
          </w:tcPr>
          <w:p w14:paraId="349330D6" w14:textId="77777777" w:rsidR="008F6E7D" w:rsidRPr="00723086" w:rsidRDefault="008F6E7D" w:rsidP="002B5E47">
            <w:pPr>
              <w:jc w:val="center"/>
              <w:rPr>
                <w:rFonts w:ascii="Calibri" w:hAnsi="Calibri" w:cs="Calibri"/>
                <w:b/>
                <w:bCs/>
                <w:i/>
                <w:iCs/>
                <w:sz w:val="20"/>
                <w:szCs w:val="20"/>
              </w:rPr>
            </w:pPr>
            <w:r w:rsidRPr="00723086">
              <w:rPr>
                <w:rFonts w:ascii="Calibri" w:hAnsi="Calibri" w:cs="Calibri"/>
                <w:b/>
                <w:bCs/>
                <w:i/>
                <w:iCs/>
                <w:sz w:val="20"/>
                <w:szCs w:val="20"/>
              </w:rPr>
              <w:t>-1,7%</w:t>
            </w:r>
          </w:p>
        </w:tc>
      </w:tr>
      <w:tr w:rsidR="008F6E7D" w14:paraId="58C3221B" w14:textId="77777777" w:rsidTr="002B5E47">
        <w:trPr>
          <w:trHeight w:val="278"/>
        </w:trPr>
        <w:tc>
          <w:tcPr>
            <w:tcW w:w="8964" w:type="dxa"/>
            <w:gridSpan w:val="9"/>
            <w:tcBorders>
              <w:top w:val="nil"/>
              <w:left w:val="nil"/>
              <w:bottom w:val="nil"/>
            </w:tcBorders>
            <w:noWrap/>
            <w:vAlign w:val="center"/>
            <w:hideMark/>
          </w:tcPr>
          <w:p w14:paraId="66154349" w14:textId="77777777" w:rsidR="008F6E7D" w:rsidRDefault="008F6E7D" w:rsidP="008F6E7D">
            <w:pPr>
              <w:rPr>
                <w:sz w:val="20"/>
                <w:szCs w:val="20"/>
              </w:rPr>
            </w:pPr>
            <w:r>
              <w:rPr>
                <w:rFonts w:ascii="Calibri" w:hAnsi="Calibri" w:cs="Calibri"/>
                <w:i/>
                <w:iCs/>
                <w:color w:val="000000"/>
                <w:sz w:val="20"/>
                <w:szCs w:val="20"/>
              </w:rPr>
              <w:t>Fonte: Elaborazioni Camera di Commercio Toscana Nord-Ovest -ISR su dati Istat (dati provvisori)</w:t>
            </w:r>
          </w:p>
        </w:tc>
      </w:tr>
    </w:tbl>
    <w:p w14:paraId="510056CD" w14:textId="77777777" w:rsidR="00492871" w:rsidRDefault="00F9139E" w:rsidP="0022419F">
      <w:pPr>
        <w:spacing w:before="240"/>
        <w:jc w:val="both"/>
        <w:rPr>
          <w:rFonts w:ascii="Calibri" w:hAnsi="Calibri" w:cs="Calibri"/>
        </w:rPr>
      </w:pPr>
      <w:r>
        <w:rPr>
          <w:rFonts w:ascii="Calibri" w:hAnsi="Calibri" w:cs="Calibri"/>
        </w:rPr>
        <w:t xml:space="preserve">Per i </w:t>
      </w:r>
      <w:r w:rsidRPr="0046087C">
        <w:rPr>
          <w:rFonts w:ascii="Calibri" w:hAnsi="Calibri" w:cs="Calibri"/>
          <w:b/>
          <w:bCs/>
          <w:i/>
          <w:iCs/>
        </w:rPr>
        <w:t>medicinali e preparati farmaceutici</w:t>
      </w:r>
      <w:r w:rsidRPr="007E3DF3">
        <w:rPr>
          <w:rFonts w:ascii="Calibri" w:hAnsi="Calibri" w:cs="Calibri"/>
        </w:rPr>
        <w:t xml:space="preserve"> </w:t>
      </w:r>
      <w:r>
        <w:rPr>
          <w:rFonts w:ascii="Calibri" w:hAnsi="Calibri" w:cs="Calibri"/>
        </w:rPr>
        <w:t>la</w:t>
      </w:r>
      <w:r w:rsidR="007E3DF3" w:rsidRPr="007E3DF3">
        <w:rPr>
          <w:rFonts w:ascii="Calibri" w:hAnsi="Calibri" w:cs="Calibri"/>
        </w:rPr>
        <w:t xml:space="preserve"> contrazione </w:t>
      </w:r>
      <w:r w:rsidR="00771CAD">
        <w:rPr>
          <w:rFonts w:ascii="Calibri" w:hAnsi="Calibri" w:cs="Calibri"/>
        </w:rPr>
        <w:t>del</w:t>
      </w:r>
      <w:r w:rsidR="007E3DF3" w:rsidRPr="007E3DF3">
        <w:rPr>
          <w:rFonts w:ascii="Calibri" w:hAnsi="Calibri" w:cs="Calibri"/>
        </w:rPr>
        <w:t xml:space="preserve">le vendite estere </w:t>
      </w:r>
      <w:r>
        <w:rPr>
          <w:rFonts w:ascii="Calibri" w:hAnsi="Calibri" w:cs="Calibri"/>
        </w:rPr>
        <w:t xml:space="preserve">è stata netta </w:t>
      </w:r>
      <w:r w:rsidR="007E3DF3" w:rsidRPr="007E3DF3">
        <w:rPr>
          <w:rFonts w:ascii="Calibri" w:hAnsi="Calibri" w:cs="Calibri"/>
        </w:rPr>
        <w:t>nel</w:t>
      </w:r>
      <w:r w:rsidR="007E3DF3">
        <w:rPr>
          <w:rFonts w:ascii="Calibri" w:hAnsi="Calibri" w:cs="Calibri"/>
        </w:rPr>
        <w:t>la</w:t>
      </w:r>
      <w:r w:rsidR="007E3DF3" w:rsidRPr="007E3DF3">
        <w:rPr>
          <w:rFonts w:ascii="Calibri" w:hAnsi="Calibri" w:cs="Calibri"/>
        </w:rPr>
        <w:t xml:space="preserve"> </w:t>
      </w:r>
      <w:r w:rsidR="007E3DF3">
        <w:rPr>
          <w:rFonts w:ascii="Calibri" w:hAnsi="Calibri" w:cs="Calibri"/>
        </w:rPr>
        <w:t xml:space="preserve">prima parte del </w:t>
      </w:r>
      <w:r w:rsidR="007E3DF3" w:rsidRPr="007E3DF3">
        <w:rPr>
          <w:rFonts w:ascii="Calibri" w:hAnsi="Calibri" w:cs="Calibri"/>
        </w:rPr>
        <w:t xml:space="preserve">2025 </w:t>
      </w:r>
      <w:r>
        <w:rPr>
          <w:rFonts w:ascii="Calibri" w:hAnsi="Calibri" w:cs="Calibri"/>
        </w:rPr>
        <w:t>rispetto la 2024</w:t>
      </w:r>
      <w:r w:rsidR="0022419F">
        <w:rPr>
          <w:rFonts w:ascii="Calibri" w:hAnsi="Calibri" w:cs="Calibri"/>
        </w:rPr>
        <w:t xml:space="preserve"> </w:t>
      </w:r>
      <w:r>
        <w:rPr>
          <w:rFonts w:ascii="Calibri" w:hAnsi="Calibri" w:cs="Calibri"/>
        </w:rPr>
        <w:t>(-11,5%; per un valore complessivo attestato a</w:t>
      </w:r>
      <w:r w:rsidR="007E3DF3" w:rsidRPr="007E3DF3">
        <w:rPr>
          <w:rFonts w:ascii="Calibri" w:hAnsi="Calibri" w:cs="Calibri"/>
        </w:rPr>
        <w:t xml:space="preserve"> 81,8 milioni di euro</w:t>
      </w:r>
      <w:r>
        <w:rPr>
          <w:rFonts w:ascii="Calibri" w:hAnsi="Calibri" w:cs="Calibri"/>
        </w:rPr>
        <w:t>).</w:t>
      </w:r>
      <w:r w:rsidR="007E3DF3">
        <w:rPr>
          <w:rFonts w:ascii="Calibri" w:hAnsi="Calibri" w:cs="Calibri"/>
        </w:rPr>
        <w:t xml:space="preserve"> Sul</w:t>
      </w:r>
      <w:r w:rsidR="007E3DF3" w:rsidRPr="007E3DF3">
        <w:rPr>
          <w:rFonts w:ascii="Calibri" w:hAnsi="Calibri" w:cs="Calibri"/>
        </w:rPr>
        <w:t xml:space="preserve"> rallentamento </w:t>
      </w:r>
      <w:r w:rsidR="007E3DF3">
        <w:rPr>
          <w:rFonts w:ascii="Calibri" w:hAnsi="Calibri" w:cs="Calibri"/>
        </w:rPr>
        <w:t>hanno inciso</w:t>
      </w:r>
      <w:r w:rsidR="007E3DF3" w:rsidRPr="007E3DF3">
        <w:rPr>
          <w:rFonts w:ascii="Calibri" w:hAnsi="Calibri" w:cs="Calibri"/>
        </w:rPr>
        <w:t xml:space="preserve"> soprattutto </w:t>
      </w:r>
      <w:r w:rsidR="007E3DF3">
        <w:rPr>
          <w:rFonts w:ascii="Calibri" w:hAnsi="Calibri" w:cs="Calibri"/>
        </w:rPr>
        <w:t>l</w:t>
      </w:r>
      <w:r w:rsidR="007E3DF3" w:rsidRPr="007E3DF3">
        <w:rPr>
          <w:rFonts w:ascii="Calibri" w:hAnsi="Calibri" w:cs="Calibri"/>
        </w:rPr>
        <w:t xml:space="preserve">a flessione delle esportazioni verso Messico (-50,9%), Turchia (-50,8%) e Libia (-99,2%). In controtendenza, si segnalano </w:t>
      </w:r>
      <w:r w:rsidR="00247053">
        <w:rPr>
          <w:rFonts w:ascii="Calibri" w:hAnsi="Calibri" w:cs="Calibri"/>
        </w:rPr>
        <w:t xml:space="preserve">forti </w:t>
      </w:r>
      <w:r w:rsidR="007E3DF3" w:rsidRPr="007E3DF3">
        <w:rPr>
          <w:rFonts w:ascii="Calibri" w:hAnsi="Calibri" w:cs="Calibri"/>
        </w:rPr>
        <w:t xml:space="preserve">aumenti </w:t>
      </w:r>
      <w:r w:rsidR="00247053">
        <w:rPr>
          <w:rFonts w:ascii="Calibri" w:hAnsi="Calibri" w:cs="Calibri"/>
        </w:rPr>
        <w:t xml:space="preserve">delle vendite in </w:t>
      </w:r>
      <w:r w:rsidR="007E3DF3" w:rsidRPr="007E3DF3">
        <w:rPr>
          <w:rFonts w:ascii="Calibri" w:hAnsi="Calibri" w:cs="Calibri"/>
        </w:rPr>
        <w:t>Iran (+265,8%</w:t>
      </w:r>
      <w:r w:rsidR="00247053">
        <w:rPr>
          <w:rFonts w:ascii="Calibri" w:hAnsi="Calibri" w:cs="Calibri"/>
        </w:rPr>
        <w:t>)</w:t>
      </w:r>
      <w:r w:rsidR="00C4644A">
        <w:rPr>
          <w:rFonts w:ascii="Calibri" w:hAnsi="Calibri" w:cs="Calibri"/>
        </w:rPr>
        <w:t>,</w:t>
      </w:r>
      <w:r w:rsidR="007E3DF3" w:rsidRPr="007E3DF3">
        <w:rPr>
          <w:rFonts w:ascii="Calibri" w:hAnsi="Calibri" w:cs="Calibri"/>
        </w:rPr>
        <w:t xml:space="preserve"> che</w:t>
      </w:r>
      <w:r w:rsidRPr="00F9139E">
        <w:rPr>
          <w:rFonts w:ascii="Calibri" w:hAnsi="Calibri" w:cs="Calibri"/>
        </w:rPr>
        <w:t xml:space="preserve"> </w:t>
      </w:r>
      <w:r>
        <w:rPr>
          <w:rFonts w:ascii="Calibri" w:hAnsi="Calibri" w:cs="Calibri"/>
        </w:rPr>
        <w:t xml:space="preserve">è risultato </w:t>
      </w:r>
      <w:r w:rsidRPr="007E3DF3">
        <w:rPr>
          <w:rFonts w:ascii="Calibri" w:hAnsi="Calibri" w:cs="Calibri"/>
        </w:rPr>
        <w:t>il principale paese di sbocco</w:t>
      </w:r>
      <w:r>
        <w:rPr>
          <w:rFonts w:ascii="Calibri" w:hAnsi="Calibri" w:cs="Calibri"/>
        </w:rPr>
        <w:t xml:space="preserve"> nel semestre</w:t>
      </w:r>
      <w:r w:rsidR="007E3DF3" w:rsidRPr="007E3DF3">
        <w:rPr>
          <w:rFonts w:ascii="Calibri" w:hAnsi="Calibri" w:cs="Calibri"/>
        </w:rPr>
        <w:t xml:space="preserve"> con oltre 20 milioni di euro</w:t>
      </w:r>
      <w:r>
        <w:rPr>
          <w:rFonts w:ascii="Calibri" w:hAnsi="Calibri" w:cs="Calibri"/>
        </w:rPr>
        <w:t>,</w:t>
      </w:r>
      <w:r w:rsidR="007E3DF3" w:rsidRPr="007E3DF3">
        <w:rPr>
          <w:rFonts w:ascii="Calibri" w:hAnsi="Calibri" w:cs="Calibri"/>
        </w:rPr>
        <w:t xml:space="preserve"> </w:t>
      </w:r>
      <w:r>
        <w:rPr>
          <w:rFonts w:ascii="Calibri" w:hAnsi="Calibri" w:cs="Calibri"/>
        </w:rPr>
        <w:t>e</w:t>
      </w:r>
      <w:r w:rsidR="00492871">
        <w:rPr>
          <w:rFonts w:ascii="Calibri" w:hAnsi="Calibri" w:cs="Calibri"/>
        </w:rPr>
        <w:t xml:space="preserve"> </w:t>
      </w:r>
      <w:r w:rsidR="00481F32">
        <w:rPr>
          <w:rFonts w:ascii="Calibri" w:hAnsi="Calibri" w:cs="Calibri"/>
        </w:rPr>
        <w:t>in</w:t>
      </w:r>
      <w:r w:rsidR="00492871">
        <w:rPr>
          <w:rFonts w:ascii="Calibri" w:hAnsi="Calibri" w:cs="Calibri"/>
        </w:rPr>
        <w:t xml:space="preserve"> </w:t>
      </w:r>
      <w:r w:rsidR="007E3DF3" w:rsidRPr="007E3DF3">
        <w:rPr>
          <w:rFonts w:ascii="Calibri" w:hAnsi="Calibri" w:cs="Calibri"/>
        </w:rPr>
        <w:t>Canada (+</w:t>
      </w:r>
      <w:r w:rsidR="00247053">
        <w:rPr>
          <w:rFonts w:ascii="Calibri" w:hAnsi="Calibri" w:cs="Calibri"/>
        </w:rPr>
        <w:t>9 milioni</w:t>
      </w:r>
      <w:r w:rsidR="007E3DF3" w:rsidRPr="007E3DF3">
        <w:rPr>
          <w:rFonts w:ascii="Calibri" w:hAnsi="Calibri" w:cs="Calibri"/>
        </w:rPr>
        <w:t>)</w:t>
      </w:r>
      <w:r w:rsidR="00247053">
        <w:rPr>
          <w:rFonts w:ascii="Calibri" w:hAnsi="Calibri" w:cs="Calibri"/>
        </w:rPr>
        <w:t>, Brasile (+2,6 milioni)</w:t>
      </w:r>
      <w:r w:rsidR="007E3DF3" w:rsidRPr="007E3DF3">
        <w:rPr>
          <w:rFonts w:ascii="Calibri" w:hAnsi="Calibri" w:cs="Calibri"/>
        </w:rPr>
        <w:t xml:space="preserve"> e</w:t>
      </w:r>
      <w:r w:rsidR="00481F32">
        <w:rPr>
          <w:rFonts w:ascii="Calibri" w:hAnsi="Calibri" w:cs="Calibri"/>
        </w:rPr>
        <w:t>d</w:t>
      </w:r>
      <w:r w:rsidR="007E3DF3" w:rsidRPr="007E3DF3">
        <w:rPr>
          <w:rFonts w:ascii="Calibri" w:hAnsi="Calibri" w:cs="Calibri"/>
        </w:rPr>
        <w:t xml:space="preserve"> Emirati Arabi Uniti (</w:t>
      </w:r>
      <w:r w:rsidR="00247053">
        <w:rPr>
          <w:rFonts w:ascii="Calibri" w:hAnsi="Calibri" w:cs="Calibri"/>
        </w:rPr>
        <w:t>+2,1 milioni</w:t>
      </w:r>
      <w:r w:rsidR="007E3DF3" w:rsidRPr="007E3DF3">
        <w:rPr>
          <w:rFonts w:ascii="Calibri" w:hAnsi="Calibri" w:cs="Calibri"/>
        </w:rPr>
        <w:t>).</w:t>
      </w:r>
    </w:p>
    <w:p w14:paraId="150ECD05" w14:textId="77777777" w:rsidR="00CF30D2" w:rsidRDefault="00492871" w:rsidP="000A5B2F">
      <w:pPr>
        <w:jc w:val="both"/>
        <w:rPr>
          <w:rFonts w:ascii="Calibri" w:hAnsi="Calibri" w:cs="Calibri"/>
        </w:rPr>
      </w:pPr>
      <w:r w:rsidRPr="00492871">
        <w:rPr>
          <w:rFonts w:ascii="Calibri" w:hAnsi="Calibri" w:cs="Calibri"/>
        </w:rPr>
        <w:lastRenderedPageBreak/>
        <w:t xml:space="preserve">Da segnalare, tra i settori in contrazione, </w:t>
      </w:r>
      <w:r>
        <w:rPr>
          <w:rFonts w:ascii="Calibri" w:hAnsi="Calibri" w:cs="Calibri"/>
        </w:rPr>
        <w:t xml:space="preserve">anche </w:t>
      </w:r>
      <w:r w:rsidR="00C4644A">
        <w:rPr>
          <w:rFonts w:ascii="Calibri" w:hAnsi="Calibri" w:cs="Calibri"/>
        </w:rPr>
        <w:t>quello de</w:t>
      </w:r>
      <w:r w:rsidRPr="00492871">
        <w:rPr>
          <w:rFonts w:ascii="Calibri" w:hAnsi="Calibri" w:cs="Calibri"/>
        </w:rPr>
        <w:t xml:space="preserve">gli </w:t>
      </w:r>
      <w:r w:rsidRPr="0046087C">
        <w:rPr>
          <w:rFonts w:ascii="Calibri" w:hAnsi="Calibri" w:cs="Calibri"/>
          <w:b/>
          <w:bCs/>
          <w:i/>
          <w:iCs/>
        </w:rPr>
        <w:t>oli e grassi</w:t>
      </w:r>
      <w:r w:rsidR="00272319" w:rsidRPr="00272319">
        <w:rPr>
          <w:rFonts w:ascii="Calibri" w:hAnsi="Calibri" w:cs="Calibri"/>
        </w:rPr>
        <w:t>,</w:t>
      </w:r>
      <w:r w:rsidRPr="00272319">
        <w:rPr>
          <w:rFonts w:ascii="Calibri" w:hAnsi="Calibri" w:cs="Calibri"/>
        </w:rPr>
        <w:t xml:space="preserve"> </w:t>
      </w:r>
      <w:r w:rsidR="00272319" w:rsidRPr="00272319">
        <w:rPr>
          <w:rFonts w:ascii="Calibri" w:hAnsi="Calibri" w:cs="Calibri"/>
        </w:rPr>
        <w:t>sceso a 160 milioni di euro</w:t>
      </w:r>
      <w:r w:rsidR="00272319">
        <w:rPr>
          <w:rFonts w:ascii="Calibri" w:hAnsi="Calibri" w:cs="Calibri"/>
        </w:rPr>
        <w:t xml:space="preserve"> di export</w:t>
      </w:r>
      <w:r w:rsidR="00272319" w:rsidRPr="00272319">
        <w:rPr>
          <w:rFonts w:ascii="Calibri" w:hAnsi="Calibri" w:cs="Calibri"/>
        </w:rPr>
        <w:t xml:space="preserve"> segnando</w:t>
      </w:r>
      <w:r w:rsidRPr="00492871">
        <w:rPr>
          <w:rFonts w:ascii="Calibri" w:hAnsi="Calibri" w:cs="Calibri"/>
        </w:rPr>
        <w:t xml:space="preserve"> una diminuzione del 16,8%, pari </w:t>
      </w:r>
      <w:r w:rsidR="001C7D0C">
        <w:rPr>
          <w:rFonts w:ascii="Calibri" w:hAnsi="Calibri" w:cs="Calibri"/>
        </w:rPr>
        <w:t>a</w:t>
      </w:r>
      <w:r w:rsidRPr="00492871">
        <w:rPr>
          <w:rFonts w:ascii="Calibri" w:hAnsi="Calibri" w:cs="Calibri"/>
        </w:rPr>
        <w:t xml:space="preserve"> oltre 32 milioni </w:t>
      </w:r>
      <w:r w:rsidR="001C7D0C">
        <w:rPr>
          <w:rFonts w:ascii="Calibri" w:hAnsi="Calibri" w:cs="Calibri"/>
        </w:rPr>
        <w:t>in meno rispetto all’anno precedente</w:t>
      </w:r>
      <w:r>
        <w:rPr>
          <w:rFonts w:ascii="Calibri" w:hAnsi="Calibri" w:cs="Calibri"/>
        </w:rPr>
        <w:t>.</w:t>
      </w:r>
      <w:r w:rsidRPr="00492871">
        <w:rPr>
          <w:rFonts w:ascii="Calibri" w:hAnsi="Calibri" w:cs="Calibri"/>
        </w:rPr>
        <w:t xml:space="preserve"> Gli Stati Uniti, pur </w:t>
      </w:r>
      <w:r w:rsidR="00C4644A">
        <w:rPr>
          <w:rFonts w:ascii="Calibri" w:hAnsi="Calibri" w:cs="Calibri"/>
        </w:rPr>
        <w:t xml:space="preserve">avendo conservato il primo posto tra le </w:t>
      </w:r>
      <w:r w:rsidRPr="00492871">
        <w:rPr>
          <w:rFonts w:ascii="Calibri" w:hAnsi="Calibri" w:cs="Calibri"/>
        </w:rPr>
        <w:t>destinazion</w:t>
      </w:r>
      <w:r w:rsidR="00C4644A">
        <w:rPr>
          <w:rFonts w:ascii="Calibri" w:hAnsi="Calibri" w:cs="Calibri"/>
        </w:rPr>
        <w:t>i commerciali del settore</w:t>
      </w:r>
      <w:r w:rsidR="001C7D0C">
        <w:rPr>
          <w:rFonts w:ascii="Calibri" w:hAnsi="Calibri" w:cs="Calibri"/>
        </w:rPr>
        <w:t xml:space="preserve"> con quasi 76 milioni</w:t>
      </w:r>
      <w:r w:rsidRPr="00492871">
        <w:rPr>
          <w:rFonts w:ascii="Calibri" w:hAnsi="Calibri" w:cs="Calibri"/>
        </w:rPr>
        <w:t xml:space="preserve">, </w:t>
      </w:r>
      <w:r w:rsidR="00C4644A">
        <w:rPr>
          <w:rFonts w:ascii="Calibri" w:hAnsi="Calibri" w:cs="Calibri"/>
        </w:rPr>
        <w:t xml:space="preserve">hanno </w:t>
      </w:r>
      <w:r w:rsidRPr="00492871">
        <w:rPr>
          <w:rFonts w:ascii="Calibri" w:hAnsi="Calibri" w:cs="Calibri"/>
        </w:rPr>
        <w:t>mostra</w:t>
      </w:r>
      <w:r w:rsidR="00C4644A">
        <w:rPr>
          <w:rFonts w:ascii="Calibri" w:hAnsi="Calibri" w:cs="Calibri"/>
        </w:rPr>
        <w:t>to</w:t>
      </w:r>
      <w:r w:rsidRPr="00492871">
        <w:rPr>
          <w:rFonts w:ascii="Calibri" w:hAnsi="Calibri" w:cs="Calibri"/>
        </w:rPr>
        <w:t xml:space="preserve"> un calo dell’8,6%</w:t>
      </w:r>
      <w:r w:rsidR="001C7D0C">
        <w:rPr>
          <w:rFonts w:ascii="Calibri" w:hAnsi="Calibri" w:cs="Calibri"/>
        </w:rPr>
        <w:t xml:space="preserve"> (-7 milioni)</w:t>
      </w:r>
      <w:r w:rsidRPr="00492871">
        <w:rPr>
          <w:rFonts w:ascii="Calibri" w:hAnsi="Calibri" w:cs="Calibri"/>
        </w:rPr>
        <w:t xml:space="preserve">. </w:t>
      </w:r>
      <w:r w:rsidR="001C7D0C">
        <w:rPr>
          <w:rFonts w:ascii="Calibri" w:hAnsi="Calibri" w:cs="Calibri"/>
        </w:rPr>
        <w:t xml:space="preserve">In forte </w:t>
      </w:r>
      <w:r w:rsidR="00C4644A">
        <w:rPr>
          <w:rFonts w:ascii="Calibri" w:hAnsi="Calibri" w:cs="Calibri"/>
        </w:rPr>
        <w:t>flessione</w:t>
      </w:r>
      <w:r w:rsidR="001C7D0C">
        <w:rPr>
          <w:rFonts w:ascii="Calibri" w:hAnsi="Calibri" w:cs="Calibri"/>
        </w:rPr>
        <w:t xml:space="preserve"> a</w:t>
      </w:r>
      <w:r w:rsidRPr="00492871">
        <w:rPr>
          <w:rFonts w:ascii="Calibri" w:hAnsi="Calibri" w:cs="Calibri"/>
        </w:rPr>
        <w:t>nche</w:t>
      </w:r>
      <w:r w:rsidR="001C7D0C">
        <w:rPr>
          <w:rFonts w:ascii="Calibri" w:hAnsi="Calibri" w:cs="Calibri"/>
        </w:rPr>
        <w:t xml:space="preserve"> le vendite nel </w:t>
      </w:r>
      <w:r w:rsidRPr="00492871">
        <w:rPr>
          <w:rFonts w:ascii="Calibri" w:hAnsi="Calibri" w:cs="Calibri"/>
        </w:rPr>
        <w:t>Regno Unito</w:t>
      </w:r>
      <w:r w:rsidR="001C7D0C">
        <w:rPr>
          <w:rFonts w:ascii="Calibri" w:hAnsi="Calibri" w:cs="Calibri"/>
        </w:rPr>
        <w:t xml:space="preserve">, scese del </w:t>
      </w:r>
      <w:r w:rsidRPr="00492871">
        <w:rPr>
          <w:rFonts w:ascii="Calibri" w:hAnsi="Calibri" w:cs="Calibri"/>
        </w:rPr>
        <w:t>19,3%</w:t>
      </w:r>
      <w:r w:rsidR="001C7D0C">
        <w:rPr>
          <w:rFonts w:ascii="Calibri" w:hAnsi="Calibri" w:cs="Calibri"/>
        </w:rPr>
        <w:t xml:space="preserve"> a complessivi </w:t>
      </w:r>
      <w:r w:rsidRPr="00492871">
        <w:rPr>
          <w:rFonts w:ascii="Calibri" w:hAnsi="Calibri" w:cs="Calibri"/>
        </w:rPr>
        <w:t xml:space="preserve">30 milioni di euro. </w:t>
      </w:r>
      <w:r w:rsidR="001C7D0C">
        <w:rPr>
          <w:rFonts w:ascii="Calibri" w:hAnsi="Calibri" w:cs="Calibri"/>
        </w:rPr>
        <w:t xml:space="preserve">Anche altri </w:t>
      </w:r>
      <w:r w:rsidRPr="00492871">
        <w:rPr>
          <w:rFonts w:ascii="Calibri" w:hAnsi="Calibri" w:cs="Calibri"/>
        </w:rPr>
        <w:t xml:space="preserve">mercati </w:t>
      </w:r>
      <w:r w:rsidR="001C7D0C">
        <w:rPr>
          <w:rFonts w:ascii="Calibri" w:hAnsi="Calibri" w:cs="Calibri"/>
        </w:rPr>
        <w:t xml:space="preserve">tradizionalmente </w:t>
      </w:r>
      <w:r w:rsidRPr="00492871">
        <w:rPr>
          <w:rFonts w:ascii="Calibri" w:hAnsi="Calibri" w:cs="Calibri"/>
        </w:rPr>
        <w:t>importanti come Germania e Russia evidenziano diminuzioni</w:t>
      </w:r>
      <w:r w:rsidR="001C7D0C">
        <w:rPr>
          <w:rFonts w:ascii="Calibri" w:hAnsi="Calibri" w:cs="Calibri"/>
        </w:rPr>
        <w:t>,</w:t>
      </w:r>
      <w:r w:rsidRPr="00492871">
        <w:rPr>
          <w:rFonts w:ascii="Calibri" w:hAnsi="Calibri" w:cs="Calibri"/>
        </w:rPr>
        <w:t xml:space="preserve"> rispettivamente del 20% e 24%, confermando un trend generale di contrazione </w:t>
      </w:r>
      <w:r w:rsidR="00B57A07">
        <w:rPr>
          <w:rFonts w:ascii="Calibri" w:hAnsi="Calibri" w:cs="Calibri"/>
        </w:rPr>
        <w:t xml:space="preserve">per le </w:t>
      </w:r>
      <w:r w:rsidRPr="00492871">
        <w:rPr>
          <w:rFonts w:ascii="Calibri" w:hAnsi="Calibri" w:cs="Calibri"/>
        </w:rPr>
        <w:t>esportazioni del settore.</w:t>
      </w:r>
    </w:p>
    <w:p w14:paraId="73DBE46C" w14:textId="77777777" w:rsidR="002A6739" w:rsidRDefault="002A6739" w:rsidP="000A5B2F">
      <w:pPr>
        <w:jc w:val="both"/>
        <w:rPr>
          <w:rFonts w:ascii="Calibri" w:hAnsi="Calibri" w:cs="Calibri"/>
        </w:rPr>
      </w:pPr>
      <w:r w:rsidRPr="00D7161F">
        <w:rPr>
          <w:rFonts w:ascii="Calibri" w:hAnsi="Calibri" w:cs="Calibri"/>
        </w:rPr>
        <w:t xml:space="preserve">In </w:t>
      </w:r>
      <w:r w:rsidR="00492871" w:rsidRPr="00D7161F">
        <w:rPr>
          <w:rFonts w:ascii="Calibri" w:hAnsi="Calibri" w:cs="Calibri"/>
        </w:rPr>
        <w:t>diminuzione</w:t>
      </w:r>
      <w:r w:rsidR="00107A20" w:rsidRPr="00D7161F">
        <w:rPr>
          <w:rFonts w:ascii="Calibri" w:hAnsi="Calibri" w:cs="Calibri"/>
        </w:rPr>
        <w:t>, nel primo semestre,</w:t>
      </w:r>
      <w:r w:rsidRPr="00D7161F">
        <w:rPr>
          <w:rFonts w:ascii="Calibri" w:hAnsi="Calibri" w:cs="Calibri"/>
        </w:rPr>
        <w:t xml:space="preserve"> anche le vendite di </w:t>
      </w:r>
      <w:r w:rsidRPr="00D7161F">
        <w:rPr>
          <w:rFonts w:ascii="Calibri" w:hAnsi="Calibri" w:cs="Calibri"/>
          <w:b/>
          <w:bCs/>
          <w:i/>
          <w:iCs/>
        </w:rPr>
        <w:t>cablaggi e apparecchiature di cablaggio</w:t>
      </w:r>
      <w:r w:rsidRPr="00D7161F">
        <w:rPr>
          <w:rFonts w:ascii="Calibri" w:hAnsi="Calibri" w:cs="Calibri"/>
        </w:rPr>
        <w:t xml:space="preserve"> (</w:t>
      </w:r>
      <w:r w:rsidR="00544EC5">
        <w:rPr>
          <w:rFonts w:ascii="Calibri" w:hAnsi="Calibri" w:cs="Calibri"/>
        </w:rPr>
        <w:t>-</w:t>
      </w:r>
      <w:r w:rsidR="00D7161F" w:rsidRPr="00D7161F">
        <w:rPr>
          <w:rFonts w:ascii="Calibri" w:hAnsi="Calibri" w:cs="Calibri"/>
        </w:rPr>
        <w:t>4</w:t>
      </w:r>
      <w:r w:rsidRPr="00D7161F">
        <w:rPr>
          <w:rFonts w:ascii="Calibri" w:hAnsi="Calibri" w:cs="Calibri"/>
        </w:rPr>
        <w:t>,</w:t>
      </w:r>
      <w:r w:rsidR="00D7161F" w:rsidRPr="00D7161F">
        <w:rPr>
          <w:rFonts w:ascii="Calibri" w:hAnsi="Calibri" w:cs="Calibri"/>
        </w:rPr>
        <w:t>3</w:t>
      </w:r>
      <w:r w:rsidRPr="00D7161F">
        <w:rPr>
          <w:rFonts w:ascii="Calibri" w:hAnsi="Calibri" w:cs="Calibri"/>
        </w:rPr>
        <w:t xml:space="preserve">%) </w:t>
      </w:r>
      <w:r w:rsidR="00544EC5">
        <w:rPr>
          <w:rFonts w:ascii="Calibri" w:hAnsi="Calibri" w:cs="Calibri"/>
        </w:rPr>
        <w:t xml:space="preserve">scese </w:t>
      </w:r>
      <w:r w:rsidRPr="00D7161F">
        <w:rPr>
          <w:rFonts w:ascii="Calibri" w:hAnsi="Calibri" w:cs="Calibri"/>
        </w:rPr>
        <w:t>a quota 1</w:t>
      </w:r>
      <w:r w:rsidR="00D7161F" w:rsidRPr="00D7161F">
        <w:rPr>
          <w:rFonts w:ascii="Calibri" w:hAnsi="Calibri" w:cs="Calibri"/>
        </w:rPr>
        <w:t>6</w:t>
      </w:r>
      <w:r w:rsidR="00544EC5">
        <w:rPr>
          <w:rFonts w:ascii="Calibri" w:hAnsi="Calibri" w:cs="Calibri"/>
        </w:rPr>
        <w:t>3</w:t>
      </w:r>
      <w:r w:rsidRPr="00D7161F">
        <w:rPr>
          <w:rFonts w:ascii="Calibri" w:hAnsi="Calibri" w:cs="Calibri"/>
        </w:rPr>
        <w:t xml:space="preserve"> milioni di euro</w:t>
      </w:r>
      <w:r w:rsidR="009963B8">
        <w:rPr>
          <w:rFonts w:ascii="Calibri" w:hAnsi="Calibri" w:cs="Calibri"/>
        </w:rPr>
        <w:t xml:space="preserve">, </w:t>
      </w:r>
      <w:r w:rsidR="00544EC5">
        <w:rPr>
          <w:rFonts w:ascii="Calibri" w:hAnsi="Calibri" w:cs="Calibri"/>
        </w:rPr>
        <w:t xml:space="preserve">delle </w:t>
      </w:r>
      <w:r w:rsidR="009963B8" w:rsidRPr="0046087C">
        <w:rPr>
          <w:rFonts w:ascii="Calibri" w:hAnsi="Calibri" w:cs="Calibri"/>
          <w:b/>
          <w:bCs/>
          <w:i/>
          <w:iCs/>
        </w:rPr>
        <w:t>calzature</w:t>
      </w:r>
      <w:r w:rsidR="009963B8">
        <w:rPr>
          <w:rFonts w:ascii="Calibri" w:hAnsi="Calibri" w:cs="Calibri"/>
        </w:rPr>
        <w:t xml:space="preserve"> (-9,2%, 59 milioni di euro)</w:t>
      </w:r>
      <w:r w:rsidRPr="00D7161F">
        <w:rPr>
          <w:rFonts w:ascii="Calibri" w:hAnsi="Calibri" w:cs="Calibri"/>
        </w:rPr>
        <w:t xml:space="preserve"> e</w:t>
      </w:r>
      <w:r w:rsidR="00C4644A">
        <w:rPr>
          <w:rFonts w:ascii="Calibri" w:hAnsi="Calibri" w:cs="Calibri"/>
        </w:rPr>
        <w:t>,</w:t>
      </w:r>
      <w:r w:rsidRPr="00D7161F">
        <w:rPr>
          <w:rFonts w:ascii="Calibri" w:hAnsi="Calibri" w:cs="Calibri"/>
        </w:rPr>
        <w:t xml:space="preserve"> </w:t>
      </w:r>
      <w:r w:rsidR="00D7161F" w:rsidRPr="00D7161F">
        <w:rPr>
          <w:rFonts w:ascii="Calibri" w:hAnsi="Calibri" w:cs="Calibri"/>
        </w:rPr>
        <w:t xml:space="preserve">in </w:t>
      </w:r>
      <w:r w:rsidR="00B57A07">
        <w:rPr>
          <w:rFonts w:ascii="Calibri" w:hAnsi="Calibri" w:cs="Calibri"/>
        </w:rPr>
        <w:t>misura</w:t>
      </w:r>
      <w:r w:rsidR="00D7161F" w:rsidRPr="00D7161F">
        <w:rPr>
          <w:rFonts w:ascii="Calibri" w:hAnsi="Calibri" w:cs="Calibri"/>
        </w:rPr>
        <w:t xml:space="preserve"> meno rilevante</w:t>
      </w:r>
      <w:r w:rsidR="00C4644A">
        <w:rPr>
          <w:rFonts w:ascii="Calibri" w:hAnsi="Calibri" w:cs="Calibri"/>
        </w:rPr>
        <w:t>,</w:t>
      </w:r>
      <w:r w:rsidR="00D7161F" w:rsidRPr="00D7161F">
        <w:rPr>
          <w:rFonts w:ascii="Calibri" w:hAnsi="Calibri" w:cs="Calibri"/>
        </w:rPr>
        <w:t xml:space="preserve"> </w:t>
      </w:r>
      <w:r w:rsidR="00544EC5">
        <w:rPr>
          <w:rFonts w:ascii="Calibri" w:hAnsi="Calibri" w:cs="Calibri"/>
        </w:rPr>
        <w:t>d</w:t>
      </w:r>
      <w:r w:rsidR="00B57A07">
        <w:rPr>
          <w:rFonts w:ascii="Calibri" w:hAnsi="Calibri" w:cs="Calibri"/>
        </w:rPr>
        <w:t>egli</w:t>
      </w:r>
      <w:r w:rsidRPr="00D7161F">
        <w:rPr>
          <w:rFonts w:ascii="Calibri" w:hAnsi="Calibri" w:cs="Calibri"/>
        </w:rPr>
        <w:t xml:space="preserve"> </w:t>
      </w:r>
      <w:r w:rsidRPr="00D7161F">
        <w:rPr>
          <w:rFonts w:ascii="Calibri" w:hAnsi="Calibri" w:cs="Calibri"/>
          <w:b/>
          <w:bCs/>
          <w:i/>
          <w:iCs/>
        </w:rPr>
        <w:t xml:space="preserve">articoli in materie plastiche </w:t>
      </w:r>
      <w:r w:rsidRPr="00D7161F">
        <w:rPr>
          <w:rFonts w:ascii="Calibri" w:hAnsi="Calibri" w:cs="Calibri"/>
        </w:rPr>
        <w:t>(</w:t>
      </w:r>
      <w:r w:rsidR="00D7161F" w:rsidRPr="00D7161F">
        <w:rPr>
          <w:rFonts w:ascii="Calibri" w:hAnsi="Calibri" w:cs="Calibri"/>
        </w:rPr>
        <w:t>-0,8</w:t>
      </w:r>
      <w:r w:rsidRPr="00D7161F">
        <w:rPr>
          <w:rFonts w:ascii="Calibri" w:hAnsi="Calibri" w:cs="Calibri"/>
        </w:rPr>
        <w:t>%, 5</w:t>
      </w:r>
      <w:r w:rsidR="00544EC5">
        <w:rPr>
          <w:rFonts w:ascii="Calibri" w:hAnsi="Calibri" w:cs="Calibri"/>
        </w:rPr>
        <w:t>3</w:t>
      </w:r>
      <w:r w:rsidRPr="00D7161F">
        <w:rPr>
          <w:rFonts w:ascii="Calibri" w:hAnsi="Calibri" w:cs="Calibri"/>
        </w:rPr>
        <w:t xml:space="preserve"> milioni di euro</w:t>
      </w:r>
      <w:r w:rsidRPr="002A6739">
        <w:rPr>
          <w:rFonts w:ascii="Calibri" w:hAnsi="Calibri" w:cs="Calibri"/>
        </w:rPr>
        <w:t>)</w:t>
      </w:r>
      <w:r>
        <w:rPr>
          <w:rFonts w:ascii="Calibri" w:hAnsi="Calibri" w:cs="Calibri"/>
        </w:rPr>
        <w:t>.</w:t>
      </w:r>
    </w:p>
    <w:p w14:paraId="55D6F87F" w14:textId="41F8D71F" w:rsidR="009963B8" w:rsidRPr="003802E3" w:rsidRDefault="009963B8" w:rsidP="0086235A">
      <w:pPr>
        <w:spacing w:after="240"/>
        <w:jc w:val="both"/>
        <w:rPr>
          <w:rFonts w:ascii="Calibri" w:hAnsi="Calibri" w:cs="Calibri"/>
          <w:iCs/>
        </w:rPr>
      </w:pPr>
      <w:r>
        <w:rPr>
          <w:rFonts w:ascii="Calibri" w:hAnsi="Calibri" w:cs="Calibri"/>
          <w:iCs/>
        </w:rPr>
        <w:t>All’insegna della crescita</w:t>
      </w:r>
      <w:r w:rsidR="002A3587">
        <w:rPr>
          <w:rFonts w:ascii="Calibri" w:hAnsi="Calibri" w:cs="Calibri"/>
          <w:iCs/>
        </w:rPr>
        <w:t>,</w:t>
      </w:r>
      <w:r>
        <w:rPr>
          <w:rFonts w:ascii="Calibri" w:hAnsi="Calibri" w:cs="Calibri"/>
          <w:iCs/>
        </w:rPr>
        <w:t xml:space="preserve"> </w:t>
      </w:r>
      <w:r w:rsidR="002A3587">
        <w:rPr>
          <w:rFonts w:ascii="Calibri" w:hAnsi="Calibri" w:cs="Calibri"/>
          <w:iCs/>
        </w:rPr>
        <w:t>invece,</w:t>
      </w:r>
      <w:r>
        <w:rPr>
          <w:rFonts w:ascii="Calibri" w:hAnsi="Calibri" w:cs="Calibri"/>
          <w:iCs/>
        </w:rPr>
        <w:t xml:space="preserve"> </w:t>
      </w:r>
      <w:r w:rsidRPr="009963B8">
        <w:rPr>
          <w:rFonts w:ascii="Calibri" w:hAnsi="Calibri" w:cs="Calibri"/>
          <w:iCs/>
        </w:rPr>
        <w:t xml:space="preserve">l’export </w:t>
      </w:r>
      <w:r w:rsidRPr="0046087C">
        <w:rPr>
          <w:rFonts w:ascii="Calibri" w:hAnsi="Calibri" w:cs="Calibri"/>
          <w:i/>
        </w:rPr>
        <w:t xml:space="preserve">dei </w:t>
      </w:r>
      <w:r w:rsidRPr="0046087C">
        <w:rPr>
          <w:rFonts w:ascii="Calibri" w:hAnsi="Calibri" w:cs="Calibri"/>
          <w:b/>
          <w:bCs/>
          <w:i/>
        </w:rPr>
        <w:t>Metalli di base preziosi e altri metalli non ferrosi</w:t>
      </w:r>
      <w:r w:rsidR="00D30094" w:rsidRPr="00D30094">
        <w:rPr>
          <w:rFonts w:ascii="Calibri" w:hAnsi="Calibri" w:cs="Calibri"/>
          <w:i/>
        </w:rPr>
        <w:t>,</w:t>
      </w:r>
      <w:r w:rsidR="003802E3">
        <w:rPr>
          <w:rFonts w:ascii="Calibri" w:hAnsi="Calibri" w:cs="Calibri"/>
          <w:b/>
          <w:bCs/>
          <w:iCs/>
        </w:rPr>
        <w:t xml:space="preserve"> </w:t>
      </w:r>
      <w:r>
        <w:rPr>
          <w:rFonts w:ascii="Calibri" w:hAnsi="Calibri" w:cs="Calibri"/>
          <w:iCs/>
        </w:rPr>
        <w:t xml:space="preserve">che </w:t>
      </w:r>
      <w:r w:rsidRPr="009963B8">
        <w:rPr>
          <w:rFonts w:ascii="Calibri" w:hAnsi="Calibri" w:cs="Calibri"/>
          <w:iCs/>
        </w:rPr>
        <w:t xml:space="preserve">ha raggiunto un valore complessivo di </w:t>
      </w:r>
      <w:r>
        <w:rPr>
          <w:rFonts w:ascii="Calibri" w:hAnsi="Calibri" w:cs="Calibri"/>
          <w:iCs/>
        </w:rPr>
        <w:t xml:space="preserve">oltre </w:t>
      </w:r>
      <w:r w:rsidRPr="009963B8">
        <w:rPr>
          <w:rFonts w:ascii="Calibri" w:hAnsi="Calibri" w:cs="Calibri"/>
          <w:iCs/>
        </w:rPr>
        <w:t>133 milioni di euro, registrando un aumento del 3,1% rispetto al 2024 (+3,9 milioni di euro).</w:t>
      </w:r>
      <w:r w:rsidR="003802E3">
        <w:rPr>
          <w:rFonts w:ascii="Calibri" w:hAnsi="Calibri" w:cs="Calibri"/>
          <w:iCs/>
        </w:rPr>
        <w:t xml:space="preserve"> </w:t>
      </w:r>
      <w:r w:rsidRPr="009963B8">
        <w:rPr>
          <w:rFonts w:ascii="Calibri" w:hAnsi="Calibri" w:cs="Calibri"/>
          <w:iCs/>
        </w:rPr>
        <w:t xml:space="preserve">La Francia </w:t>
      </w:r>
      <w:r w:rsidR="005B7D56">
        <w:rPr>
          <w:rFonts w:ascii="Calibri" w:hAnsi="Calibri" w:cs="Calibri"/>
          <w:iCs/>
        </w:rPr>
        <w:t xml:space="preserve">è divenuta </w:t>
      </w:r>
      <w:r w:rsidR="00C16C90">
        <w:rPr>
          <w:rFonts w:ascii="Calibri" w:hAnsi="Calibri" w:cs="Calibri"/>
          <w:iCs/>
        </w:rPr>
        <w:t>il</w:t>
      </w:r>
      <w:r w:rsidRPr="009963B8">
        <w:rPr>
          <w:rFonts w:ascii="Calibri" w:hAnsi="Calibri" w:cs="Calibri"/>
          <w:iCs/>
        </w:rPr>
        <w:t xml:space="preserve"> primo mercato di destinazione con 31,9 milioni di euro, nonostante un calo del -12,9%</w:t>
      </w:r>
      <w:r w:rsidR="00C16C90">
        <w:rPr>
          <w:rFonts w:ascii="Calibri" w:hAnsi="Calibri" w:cs="Calibri"/>
          <w:iCs/>
        </w:rPr>
        <w:t>.</w:t>
      </w:r>
      <w:r w:rsidRPr="009963B8">
        <w:rPr>
          <w:rFonts w:ascii="Calibri" w:hAnsi="Calibri" w:cs="Calibri"/>
          <w:iCs/>
        </w:rPr>
        <w:t xml:space="preserve"> </w:t>
      </w:r>
      <w:r w:rsidR="00C16C90">
        <w:rPr>
          <w:rFonts w:ascii="Calibri" w:hAnsi="Calibri" w:cs="Calibri"/>
          <w:iCs/>
        </w:rPr>
        <w:t xml:space="preserve">A </w:t>
      </w:r>
      <w:r w:rsidRPr="009963B8">
        <w:rPr>
          <w:rFonts w:ascii="Calibri" w:hAnsi="Calibri" w:cs="Calibri"/>
          <w:iCs/>
        </w:rPr>
        <w:t>segui</w:t>
      </w:r>
      <w:r w:rsidR="00C16C90">
        <w:rPr>
          <w:rFonts w:ascii="Calibri" w:hAnsi="Calibri" w:cs="Calibri"/>
          <w:iCs/>
        </w:rPr>
        <w:t xml:space="preserve">re </w:t>
      </w:r>
      <w:r w:rsidRPr="009963B8">
        <w:rPr>
          <w:rFonts w:ascii="Calibri" w:hAnsi="Calibri" w:cs="Calibri"/>
          <w:iCs/>
        </w:rPr>
        <w:t xml:space="preserve">la Germania (29,8 milioni, -23,7%) e la Svizzera </w:t>
      </w:r>
      <w:r>
        <w:rPr>
          <w:rFonts w:ascii="Calibri" w:hAnsi="Calibri" w:cs="Calibri"/>
          <w:iCs/>
        </w:rPr>
        <w:t xml:space="preserve">in controtendenza </w:t>
      </w:r>
      <w:r w:rsidRPr="009963B8">
        <w:rPr>
          <w:rFonts w:ascii="Calibri" w:hAnsi="Calibri" w:cs="Calibri"/>
          <w:iCs/>
        </w:rPr>
        <w:t>con</w:t>
      </w:r>
      <w:r w:rsidR="003802E3">
        <w:rPr>
          <w:rFonts w:ascii="Calibri" w:hAnsi="Calibri" w:cs="Calibri"/>
          <w:iCs/>
        </w:rPr>
        <w:t xml:space="preserve"> una crescita del +6,4% per </w:t>
      </w:r>
      <w:r w:rsidRPr="009963B8">
        <w:rPr>
          <w:rFonts w:ascii="Calibri" w:hAnsi="Calibri" w:cs="Calibri"/>
          <w:iCs/>
        </w:rPr>
        <w:t>14,3 milioni</w:t>
      </w:r>
      <w:r w:rsidR="005B7D56">
        <w:rPr>
          <w:rFonts w:ascii="Calibri" w:hAnsi="Calibri" w:cs="Calibri"/>
          <w:iCs/>
        </w:rPr>
        <w:t xml:space="preserve"> di</w:t>
      </w:r>
      <w:r w:rsidR="003802E3">
        <w:rPr>
          <w:rFonts w:ascii="Calibri" w:hAnsi="Calibri" w:cs="Calibri"/>
          <w:iCs/>
        </w:rPr>
        <w:t xml:space="preserve"> vendite. </w:t>
      </w:r>
      <w:r w:rsidRPr="009963B8">
        <w:rPr>
          <w:rFonts w:ascii="Calibri" w:hAnsi="Calibri" w:cs="Calibri"/>
          <w:iCs/>
        </w:rPr>
        <w:t xml:space="preserve">Crescite significative </w:t>
      </w:r>
      <w:r w:rsidR="005B7D56">
        <w:rPr>
          <w:rFonts w:ascii="Calibri" w:hAnsi="Calibri" w:cs="Calibri"/>
          <w:iCs/>
        </w:rPr>
        <w:t xml:space="preserve">anche per </w:t>
      </w:r>
      <w:r w:rsidRPr="009963B8">
        <w:rPr>
          <w:rFonts w:ascii="Calibri" w:hAnsi="Calibri" w:cs="Calibri"/>
          <w:iCs/>
        </w:rPr>
        <w:t xml:space="preserve">Regno Unito (+284%), </w:t>
      </w:r>
      <w:r w:rsidR="003802E3">
        <w:rPr>
          <w:rFonts w:ascii="Calibri" w:hAnsi="Calibri" w:cs="Calibri"/>
          <w:iCs/>
        </w:rPr>
        <w:t xml:space="preserve">Repubblica </w:t>
      </w:r>
      <w:r w:rsidRPr="009963B8">
        <w:rPr>
          <w:rFonts w:ascii="Calibri" w:hAnsi="Calibri" w:cs="Calibri"/>
          <w:iCs/>
        </w:rPr>
        <w:t xml:space="preserve">Ceca (+147,6%) </w:t>
      </w:r>
      <w:r w:rsidRPr="003802E3">
        <w:rPr>
          <w:rFonts w:ascii="Calibri" w:hAnsi="Calibri" w:cs="Calibri"/>
          <w:iCs/>
        </w:rPr>
        <w:t>e</w:t>
      </w:r>
      <w:r w:rsidR="003802E3" w:rsidRPr="003802E3">
        <w:rPr>
          <w:rFonts w:ascii="Calibri" w:hAnsi="Calibri" w:cs="Calibri"/>
          <w:iCs/>
        </w:rPr>
        <w:t xml:space="preserve"> </w:t>
      </w:r>
      <w:r w:rsidRPr="003802E3">
        <w:rPr>
          <w:rFonts w:ascii="Calibri" w:hAnsi="Calibri" w:cs="Calibri"/>
          <w:iCs/>
        </w:rPr>
        <w:t>Paesi Bassi (+153,3</w:t>
      </w:r>
      <w:r w:rsidR="003802E3" w:rsidRPr="003802E3">
        <w:rPr>
          <w:rFonts w:ascii="Calibri" w:hAnsi="Calibri" w:cs="Calibri"/>
          <w:iCs/>
        </w:rPr>
        <w:t>%)</w:t>
      </w:r>
      <w:r w:rsidRPr="003802E3">
        <w:rPr>
          <w:rFonts w:ascii="Calibri" w:hAnsi="Calibri" w:cs="Calibri"/>
          <w:iCs/>
        </w:rPr>
        <w:t>.</w:t>
      </w:r>
      <w:r w:rsidR="003802E3" w:rsidRPr="003802E3">
        <w:rPr>
          <w:rFonts w:ascii="Calibri" w:hAnsi="Calibri" w:cs="Calibri"/>
          <w:iCs/>
        </w:rPr>
        <w:t xml:space="preserve"> </w:t>
      </w:r>
      <w:r w:rsidRPr="003802E3">
        <w:rPr>
          <w:rFonts w:ascii="Calibri" w:hAnsi="Calibri" w:cs="Calibri"/>
          <w:iCs/>
        </w:rPr>
        <w:t xml:space="preserve">Nel complesso il settore mostra una tenuta, con buone performance in mercati </w:t>
      </w:r>
      <w:r w:rsidR="00F6379F">
        <w:rPr>
          <w:rFonts w:ascii="Calibri" w:hAnsi="Calibri" w:cs="Calibri"/>
          <w:iCs/>
        </w:rPr>
        <w:t xml:space="preserve">europei </w:t>
      </w:r>
      <w:r w:rsidRPr="003802E3">
        <w:rPr>
          <w:rFonts w:ascii="Calibri" w:hAnsi="Calibri" w:cs="Calibri"/>
          <w:iCs/>
        </w:rPr>
        <w:t xml:space="preserve">selezionati nonostante la flessione </w:t>
      </w:r>
      <w:r w:rsidR="00F6379F">
        <w:rPr>
          <w:rFonts w:ascii="Calibri" w:hAnsi="Calibri" w:cs="Calibri"/>
          <w:iCs/>
        </w:rPr>
        <w:t xml:space="preserve">di alcuni partner </w:t>
      </w:r>
      <w:r w:rsidRPr="003802E3">
        <w:rPr>
          <w:rFonts w:ascii="Calibri" w:hAnsi="Calibri" w:cs="Calibri"/>
          <w:iCs/>
        </w:rPr>
        <w:t>storic</w:t>
      </w:r>
      <w:r w:rsidR="00F6379F">
        <w:rPr>
          <w:rFonts w:ascii="Calibri" w:hAnsi="Calibri" w:cs="Calibri"/>
          <w:iCs/>
        </w:rPr>
        <w:t>i</w:t>
      </w:r>
      <w:r w:rsidRPr="003802E3">
        <w:rPr>
          <w:rFonts w:ascii="Calibri" w:hAnsi="Calibri" w:cs="Calibri"/>
          <w:iCs/>
        </w:rPr>
        <w:t>.</w:t>
      </w:r>
    </w:p>
    <w:p w14:paraId="33080451" w14:textId="77777777" w:rsidR="002F426C" w:rsidRPr="00D54505" w:rsidRDefault="002F426C" w:rsidP="002F426C">
      <w:pPr>
        <w:rPr>
          <w:rFonts w:ascii="Calibri" w:hAnsi="Calibri"/>
          <w:b/>
          <w:szCs w:val="22"/>
        </w:rPr>
      </w:pPr>
      <w:r w:rsidRPr="00D54505">
        <w:rPr>
          <w:rFonts w:ascii="Calibri" w:hAnsi="Calibri"/>
          <w:b/>
          <w:szCs w:val="22"/>
        </w:rPr>
        <w:t>I mercati di destinazione</w:t>
      </w:r>
    </w:p>
    <w:p w14:paraId="559A6BA5" w14:textId="77777777" w:rsidR="00F6379F" w:rsidRDefault="00DF30BC" w:rsidP="00107A20">
      <w:pPr>
        <w:jc w:val="both"/>
        <w:rPr>
          <w:rFonts w:ascii="Calibri" w:hAnsi="Calibri" w:cs="Calibri"/>
          <w:iCs/>
        </w:rPr>
      </w:pPr>
      <w:r w:rsidRPr="00D54505">
        <w:rPr>
          <w:rFonts w:ascii="Calibri" w:hAnsi="Calibri" w:cs="Calibri"/>
          <w:iCs/>
        </w:rPr>
        <w:t xml:space="preserve">La </w:t>
      </w:r>
      <w:r w:rsidRPr="006D03D9">
        <w:rPr>
          <w:rFonts w:ascii="Calibri" w:hAnsi="Calibri" w:cs="Calibri"/>
          <w:b/>
          <w:bCs/>
          <w:iCs/>
        </w:rPr>
        <w:t>Francia</w:t>
      </w:r>
      <w:r w:rsidRPr="00D54505">
        <w:rPr>
          <w:rFonts w:ascii="Calibri" w:hAnsi="Calibri" w:cs="Calibri"/>
          <w:iCs/>
        </w:rPr>
        <w:t xml:space="preserve"> </w:t>
      </w:r>
      <w:r w:rsidR="00C16C90">
        <w:rPr>
          <w:rFonts w:ascii="Calibri" w:hAnsi="Calibri" w:cs="Calibri"/>
          <w:iCs/>
        </w:rPr>
        <w:t>è ancora</w:t>
      </w:r>
      <w:r w:rsidR="005A3AFF" w:rsidRPr="00D54505">
        <w:rPr>
          <w:rFonts w:ascii="Calibri" w:hAnsi="Calibri" w:cs="Calibri"/>
          <w:iCs/>
        </w:rPr>
        <w:t xml:space="preserve"> </w:t>
      </w:r>
      <w:r w:rsidRPr="00D54505">
        <w:rPr>
          <w:rFonts w:ascii="Calibri" w:hAnsi="Calibri" w:cs="Calibri"/>
          <w:iCs/>
        </w:rPr>
        <w:t>la prima destinazione</w:t>
      </w:r>
      <w:r w:rsidR="005A3AFF" w:rsidRPr="00D54505">
        <w:rPr>
          <w:rFonts w:ascii="Calibri" w:hAnsi="Calibri" w:cs="Calibri"/>
          <w:iCs/>
        </w:rPr>
        <w:t xml:space="preserve"> dei prodotti lucchesi</w:t>
      </w:r>
      <w:r w:rsidRPr="00D54505">
        <w:rPr>
          <w:rFonts w:ascii="Calibri" w:hAnsi="Calibri" w:cs="Calibri"/>
          <w:iCs/>
        </w:rPr>
        <w:t xml:space="preserve"> concentrando il</w:t>
      </w:r>
      <w:r w:rsidR="00107A20" w:rsidRPr="00D54505">
        <w:rPr>
          <w:rFonts w:ascii="Calibri" w:hAnsi="Calibri" w:cs="Calibri"/>
          <w:iCs/>
        </w:rPr>
        <w:t xml:space="preserve"> </w:t>
      </w:r>
      <w:r w:rsidRPr="00D54505">
        <w:rPr>
          <w:rFonts w:ascii="Calibri" w:hAnsi="Calibri" w:cs="Calibri"/>
          <w:iCs/>
        </w:rPr>
        <w:t>14,</w:t>
      </w:r>
      <w:r w:rsidR="008D0080" w:rsidRPr="00D54505">
        <w:rPr>
          <w:rFonts w:ascii="Calibri" w:hAnsi="Calibri" w:cs="Calibri"/>
          <w:iCs/>
        </w:rPr>
        <w:t>2</w:t>
      </w:r>
      <w:r w:rsidRPr="00D54505">
        <w:rPr>
          <w:rFonts w:ascii="Calibri" w:hAnsi="Calibri" w:cs="Calibri"/>
          <w:iCs/>
        </w:rPr>
        <w:t>% dell’export provinciale</w:t>
      </w:r>
      <w:r w:rsidR="0082261E" w:rsidRPr="00D54505">
        <w:rPr>
          <w:rFonts w:ascii="Calibri" w:hAnsi="Calibri" w:cs="Calibri"/>
          <w:iCs/>
        </w:rPr>
        <w:t>.</w:t>
      </w:r>
      <w:r w:rsidRPr="00D54505">
        <w:rPr>
          <w:rFonts w:ascii="Calibri" w:hAnsi="Calibri" w:cs="Calibri"/>
          <w:iCs/>
        </w:rPr>
        <w:t xml:space="preserve"> Le vendite </w:t>
      </w:r>
      <w:r w:rsidR="005A3AFF" w:rsidRPr="00D54505">
        <w:rPr>
          <w:rFonts w:ascii="Calibri" w:hAnsi="Calibri" w:cs="Calibri"/>
          <w:iCs/>
        </w:rPr>
        <w:t xml:space="preserve">nel paese d’oltralpe </w:t>
      </w:r>
      <w:r w:rsidRPr="00D54505">
        <w:rPr>
          <w:rFonts w:ascii="Calibri" w:hAnsi="Calibri" w:cs="Calibri"/>
          <w:iCs/>
        </w:rPr>
        <w:t xml:space="preserve">sono risultate </w:t>
      </w:r>
      <w:r w:rsidR="008D0080" w:rsidRPr="00D54505">
        <w:rPr>
          <w:rFonts w:ascii="Calibri" w:hAnsi="Calibri" w:cs="Calibri"/>
          <w:iCs/>
        </w:rPr>
        <w:t xml:space="preserve">tuttavia </w:t>
      </w:r>
      <w:r w:rsidRPr="00D54505">
        <w:rPr>
          <w:rFonts w:ascii="Calibri" w:hAnsi="Calibri" w:cs="Calibri"/>
          <w:iCs/>
        </w:rPr>
        <w:t xml:space="preserve">in </w:t>
      </w:r>
      <w:r w:rsidR="008D0080" w:rsidRPr="00D54505">
        <w:rPr>
          <w:rFonts w:ascii="Calibri" w:hAnsi="Calibri" w:cs="Calibri"/>
          <w:iCs/>
        </w:rPr>
        <w:t xml:space="preserve">diminuzione del 5% </w:t>
      </w:r>
      <w:r w:rsidR="00C16C90">
        <w:rPr>
          <w:rFonts w:ascii="Calibri" w:hAnsi="Calibri" w:cs="Calibri"/>
          <w:iCs/>
        </w:rPr>
        <w:t xml:space="preserve">e </w:t>
      </w:r>
      <w:r w:rsidR="008D0080" w:rsidRPr="00D54505">
        <w:rPr>
          <w:rFonts w:ascii="Calibri" w:hAnsi="Calibri" w:cs="Calibri"/>
          <w:iCs/>
        </w:rPr>
        <w:t>sce</w:t>
      </w:r>
      <w:r w:rsidR="00C16C90">
        <w:rPr>
          <w:rFonts w:ascii="Calibri" w:hAnsi="Calibri" w:cs="Calibri"/>
          <w:iCs/>
        </w:rPr>
        <w:t>se</w:t>
      </w:r>
      <w:r w:rsidR="008D0080" w:rsidRPr="00D54505">
        <w:rPr>
          <w:rFonts w:ascii="Calibri" w:hAnsi="Calibri" w:cs="Calibri"/>
          <w:iCs/>
        </w:rPr>
        <w:t xml:space="preserve"> a 394</w:t>
      </w:r>
      <w:r w:rsidRPr="00D54505">
        <w:rPr>
          <w:rFonts w:ascii="Calibri" w:hAnsi="Calibri" w:cs="Calibri"/>
          <w:iCs/>
        </w:rPr>
        <w:t xml:space="preserve"> milioni di euro</w:t>
      </w:r>
      <w:r w:rsidR="00013E6F" w:rsidRPr="00D54505">
        <w:rPr>
          <w:rFonts w:ascii="Calibri" w:hAnsi="Calibri" w:cs="Calibri"/>
          <w:iCs/>
        </w:rPr>
        <w:t xml:space="preserve"> dai 415 del pari semestre 2024</w:t>
      </w:r>
      <w:r w:rsidRPr="00D54505">
        <w:rPr>
          <w:rFonts w:ascii="Calibri" w:hAnsi="Calibri" w:cs="Calibri"/>
          <w:iCs/>
        </w:rPr>
        <w:t xml:space="preserve">. </w:t>
      </w:r>
    </w:p>
    <w:p w14:paraId="20207914" w14:textId="77777777" w:rsidR="000A5432" w:rsidRDefault="00F6379F" w:rsidP="000A5432">
      <w:pPr>
        <w:spacing w:after="240"/>
        <w:jc w:val="both"/>
        <w:rPr>
          <w:rFonts w:ascii="Calibri" w:hAnsi="Calibri" w:cs="Calibri"/>
          <w:iCs/>
        </w:rPr>
      </w:pPr>
      <w:r>
        <w:rPr>
          <w:rFonts w:ascii="Calibri" w:hAnsi="Calibri" w:cs="Calibri"/>
          <w:iCs/>
        </w:rPr>
        <w:t xml:space="preserve">In marginale crescita le vendite negli </w:t>
      </w:r>
      <w:r w:rsidRPr="006D03D9">
        <w:rPr>
          <w:rFonts w:ascii="Calibri" w:hAnsi="Calibri" w:cs="Calibri"/>
          <w:b/>
          <w:bCs/>
          <w:iCs/>
        </w:rPr>
        <w:t>Stati Uniti</w:t>
      </w:r>
      <w:r>
        <w:rPr>
          <w:rFonts w:ascii="Calibri" w:hAnsi="Calibri" w:cs="Calibri"/>
          <w:iCs/>
        </w:rPr>
        <w:t xml:space="preserve"> (+0,4%, </w:t>
      </w:r>
      <w:r w:rsidRPr="00D54505">
        <w:rPr>
          <w:rFonts w:ascii="Calibri" w:hAnsi="Calibri" w:cs="Calibri"/>
          <w:iCs/>
        </w:rPr>
        <w:t>oltre 27</w:t>
      </w:r>
      <w:r w:rsidR="00AB7049">
        <w:rPr>
          <w:rFonts w:ascii="Calibri" w:hAnsi="Calibri" w:cs="Calibri"/>
          <w:iCs/>
        </w:rPr>
        <w:t>1</w:t>
      </w:r>
      <w:r w:rsidRPr="00D54505">
        <w:rPr>
          <w:rFonts w:ascii="Calibri" w:hAnsi="Calibri" w:cs="Calibri"/>
          <w:iCs/>
        </w:rPr>
        <w:t xml:space="preserve"> milioni di euro)</w:t>
      </w:r>
      <w:r>
        <w:rPr>
          <w:rFonts w:ascii="Calibri" w:hAnsi="Calibri" w:cs="Calibri"/>
          <w:iCs/>
        </w:rPr>
        <w:t xml:space="preserve"> che </w:t>
      </w:r>
      <w:r w:rsidR="00911734">
        <w:rPr>
          <w:rFonts w:ascii="Calibri" w:hAnsi="Calibri" w:cs="Calibri"/>
          <w:iCs/>
        </w:rPr>
        <w:t xml:space="preserve">hanno </w:t>
      </w:r>
      <w:r>
        <w:rPr>
          <w:rFonts w:ascii="Calibri" w:hAnsi="Calibri" w:cs="Calibri"/>
          <w:iCs/>
        </w:rPr>
        <w:t>conquista</w:t>
      </w:r>
      <w:r w:rsidR="00911734">
        <w:rPr>
          <w:rFonts w:ascii="Calibri" w:hAnsi="Calibri" w:cs="Calibri"/>
          <w:iCs/>
        </w:rPr>
        <w:t>t</w:t>
      </w:r>
      <w:r>
        <w:rPr>
          <w:rFonts w:ascii="Calibri" w:hAnsi="Calibri" w:cs="Calibri"/>
          <w:iCs/>
        </w:rPr>
        <w:t xml:space="preserve">o la seconda posizione tra i partner commerciali della provincia di Lucca. Le vendite nel </w:t>
      </w:r>
      <w:r w:rsidRPr="006D03D9">
        <w:rPr>
          <w:rFonts w:ascii="Calibri" w:hAnsi="Calibri" w:cs="Calibri"/>
          <w:b/>
          <w:bCs/>
          <w:iCs/>
        </w:rPr>
        <w:t>Regno Unito</w:t>
      </w:r>
      <w:r>
        <w:rPr>
          <w:rFonts w:ascii="Calibri" w:hAnsi="Calibri" w:cs="Calibri"/>
          <w:iCs/>
        </w:rPr>
        <w:t xml:space="preserve"> </w:t>
      </w:r>
      <w:r w:rsidR="00911734">
        <w:rPr>
          <w:rFonts w:ascii="Calibri" w:hAnsi="Calibri" w:cs="Calibri"/>
          <w:iCs/>
        </w:rPr>
        <w:t xml:space="preserve">hanno invece </w:t>
      </w:r>
      <w:r>
        <w:rPr>
          <w:rFonts w:ascii="Calibri" w:hAnsi="Calibri" w:cs="Calibri"/>
          <w:iCs/>
        </w:rPr>
        <w:t>segna</w:t>
      </w:r>
      <w:r w:rsidR="00911734">
        <w:rPr>
          <w:rFonts w:ascii="Calibri" w:hAnsi="Calibri" w:cs="Calibri"/>
          <w:iCs/>
        </w:rPr>
        <w:t>to</w:t>
      </w:r>
      <w:r>
        <w:rPr>
          <w:rFonts w:ascii="Calibri" w:hAnsi="Calibri" w:cs="Calibri"/>
          <w:iCs/>
        </w:rPr>
        <w:t xml:space="preserve"> un forte aumento </w:t>
      </w:r>
      <w:r w:rsidRPr="00D54505">
        <w:rPr>
          <w:rFonts w:ascii="Calibri" w:hAnsi="Calibri" w:cs="Calibri"/>
          <w:iCs/>
        </w:rPr>
        <w:t>(+28,7%, 264 milioni di euro)</w:t>
      </w:r>
      <w:r>
        <w:rPr>
          <w:rFonts w:ascii="Calibri" w:hAnsi="Calibri" w:cs="Calibri"/>
          <w:iCs/>
        </w:rPr>
        <w:t xml:space="preserve"> superando </w:t>
      </w:r>
      <w:r w:rsidR="00911734">
        <w:rPr>
          <w:rFonts w:ascii="Calibri" w:hAnsi="Calibri" w:cs="Calibri"/>
          <w:iCs/>
        </w:rPr>
        <w:t xml:space="preserve">quelle verso </w:t>
      </w:r>
      <w:r>
        <w:rPr>
          <w:rFonts w:ascii="Calibri" w:hAnsi="Calibri" w:cs="Calibri"/>
          <w:iCs/>
        </w:rPr>
        <w:t xml:space="preserve">la </w:t>
      </w:r>
      <w:r w:rsidR="00DF30BC" w:rsidRPr="006D03D9">
        <w:rPr>
          <w:rFonts w:ascii="Calibri" w:hAnsi="Calibri" w:cs="Calibri"/>
          <w:b/>
          <w:bCs/>
          <w:iCs/>
        </w:rPr>
        <w:t>Germania</w:t>
      </w:r>
      <w:r w:rsidRPr="00F6379F">
        <w:rPr>
          <w:rFonts w:ascii="Calibri" w:hAnsi="Calibri" w:cs="Calibri"/>
          <w:iCs/>
        </w:rPr>
        <w:t xml:space="preserve"> (240 milioni)</w:t>
      </w:r>
      <w:r w:rsidR="00DF30BC" w:rsidRPr="00D54505">
        <w:rPr>
          <w:rFonts w:ascii="Calibri" w:hAnsi="Calibri" w:cs="Calibri"/>
          <w:iCs/>
        </w:rPr>
        <w:t xml:space="preserve"> </w:t>
      </w:r>
      <w:r w:rsidR="00013E6F" w:rsidRPr="00D54505">
        <w:rPr>
          <w:rFonts w:ascii="Calibri" w:hAnsi="Calibri" w:cs="Calibri"/>
          <w:iCs/>
        </w:rPr>
        <w:t>che ha perso il 3,3%</w:t>
      </w:r>
      <w:r>
        <w:rPr>
          <w:rFonts w:ascii="Calibri" w:hAnsi="Calibri" w:cs="Calibri"/>
          <w:iCs/>
        </w:rPr>
        <w:t xml:space="preserve"> risentendo ancora della </w:t>
      </w:r>
      <w:r w:rsidR="00107A20" w:rsidRPr="00D54505">
        <w:rPr>
          <w:rFonts w:ascii="Calibri" w:hAnsi="Calibri" w:cs="Calibri"/>
          <w:iCs/>
        </w:rPr>
        <w:t>recessione che la sta interessando</w:t>
      </w:r>
      <w:r>
        <w:rPr>
          <w:rFonts w:ascii="Calibri" w:hAnsi="Calibri" w:cs="Calibri"/>
          <w:iCs/>
        </w:rPr>
        <w:t xml:space="preserve">. L’export verso le </w:t>
      </w:r>
      <w:r w:rsidRPr="006D03D9">
        <w:rPr>
          <w:rFonts w:ascii="Calibri" w:hAnsi="Calibri" w:cs="Calibri"/>
          <w:b/>
          <w:bCs/>
          <w:iCs/>
        </w:rPr>
        <w:t>Isole Cayman</w:t>
      </w:r>
      <w:r w:rsidRPr="00D54505">
        <w:rPr>
          <w:rFonts w:ascii="Calibri" w:hAnsi="Calibri" w:cs="Calibri"/>
          <w:iCs/>
        </w:rPr>
        <w:t xml:space="preserve"> (-60%)</w:t>
      </w:r>
      <w:r>
        <w:rPr>
          <w:rFonts w:ascii="Calibri" w:hAnsi="Calibri" w:cs="Calibri"/>
          <w:iCs/>
        </w:rPr>
        <w:t xml:space="preserve"> è influenzato dal periodo di consegna e fatturazione dei natanti</w:t>
      </w:r>
      <w:r w:rsidR="00A44D90">
        <w:rPr>
          <w:rFonts w:ascii="Calibri" w:hAnsi="Calibri" w:cs="Calibri"/>
          <w:iCs/>
        </w:rPr>
        <w:t xml:space="preserve">, così come quello verso le </w:t>
      </w:r>
      <w:r w:rsidR="00A44D90" w:rsidRPr="006D03D9">
        <w:rPr>
          <w:rFonts w:ascii="Calibri" w:hAnsi="Calibri" w:cs="Calibri"/>
          <w:b/>
          <w:bCs/>
          <w:iCs/>
        </w:rPr>
        <w:t>Isole Marshall</w:t>
      </w:r>
      <w:r w:rsidR="00A44D90">
        <w:rPr>
          <w:rFonts w:ascii="Calibri" w:hAnsi="Calibri" w:cs="Calibri"/>
          <w:iCs/>
        </w:rPr>
        <w:t xml:space="preserve"> (+167%) e verso </w:t>
      </w:r>
      <w:r w:rsidR="00A44D90" w:rsidRPr="006D03D9">
        <w:rPr>
          <w:rFonts w:ascii="Calibri" w:hAnsi="Calibri" w:cs="Calibri"/>
          <w:b/>
          <w:bCs/>
          <w:iCs/>
        </w:rPr>
        <w:t>Malta</w:t>
      </w:r>
      <w:r w:rsidR="00A44D90">
        <w:rPr>
          <w:rFonts w:ascii="Calibri" w:hAnsi="Calibri" w:cs="Calibri"/>
          <w:iCs/>
        </w:rPr>
        <w:t xml:space="preserve"> (</w:t>
      </w:r>
      <w:r w:rsidR="00A44D90" w:rsidRPr="00A44D90">
        <w:rPr>
          <w:rFonts w:ascii="Calibri" w:hAnsi="Calibri" w:cs="Calibri"/>
          <w:iCs/>
        </w:rPr>
        <w:t>381,9%</w:t>
      </w:r>
      <w:r w:rsidR="00A44D90">
        <w:rPr>
          <w:rFonts w:ascii="Calibri" w:hAnsi="Calibri" w:cs="Calibri"/>
          <w:iCs/>
        </w:rPr>
        <w:t xml:space="preserve">). Sono cresciute le vendite in </w:t>
      </w:r>
      <w:r w:rsidR="00DF30BC" w:rsidRPr="006D03D9">
        <w:rPr>
          <w:rFonts w:ascii="Calibri" w:hAnsi="Calibri" w:cs="Calibri"/>
          <w:b/>
          <w:bCs/>
          <w:iCs/>
        </w:rPr>
        <w:t>Spagna</w:t>
      </w:r>
      <w:r w:rsidR="00DF30BC" w:rsidRPr="00D54505">
        <w:rPr>
          <w:rFonts w:ascii="Calibri" w:hAnsi="Calibri" w:cs="Calibri"/>
          <w:iCs/>
        </w:rPr>
        <w:t xml:space="preserve"> (</w:t>
      </w:r>
      <w:r w:rsidR="00107A20" w:rsidRPr="00D54505">
        <w:rPr>
          <w:rFonts w:ascii="Calibri" w:hAnsi="Calibri" w:cs="Calibri"/>
          <w:iCs/>
        </w:rPr>
        <w:t>+</w:t>
      </w:r>
      <w:r w:rsidR="00A44D90">
        <w:rPr>
          <w:rFonts w:ascii="Calibri" w:hAnsi="Calibri" w:cs="Calibri"/>
          <w:iCs/>
        </w:rPr>
        <w:t>7,2%</w:t>
      </w:r>
      <w:r w:rsidR="00DF30BC" w:rsidRPr="00D54505">
        <w:rPr>
          <w:rFonts w:ascii="Calibri" w:hAnsi="Calibri" w:cs="Calibri"/>
          <w:iCs/>
        </w:rPr>
        <w:t>)</w:t>
      </w:r>
      <w:r w:rsidR="00A44D90">
        <w:rPr>
          <w:rFonts w:ascii="Calibri" w:hAnsi="Calibri" w:cs="Calibri"/>
          <w:iCs/>
        </w:rPr>
        <w:t xml:space="preserve">, </w:t>
      </w:r>
      <w:r w:rsidR="00DF30BC" w:rsidRPr="006D03D9">
        <w:rPr>
          <w:rFonts w:ascii="Calibri" w:hAnsi="Calibri" w:cs="Calibri"/>
          <w:b/>
          <w:bCs/>
          <w:iCs/>
        </w:rPr>
        <w:t>Polonia</w:t>
      </w:r>
      <w:r w:rsidR="00013E6F" w:rsidRPr="0046087C">
        <w:rPr>
          <w:rFonts w:ascii="Calibri" w:hAnsi="Calibri" w:cs="Calibri"/>
          <w:iCs/>
        </w:rPr>
        <w:t xml:space="preserve"> </w:t>
      </w:r>
      <w:r w:rsidR="00013E6F" w:rsidRPr="00D54505">
        <w:rPr>
          <w:rFonts w:ascii="Calibri" w:hAnsi="Calibri" w:cs="Calibri"/>
          <w:iCs/>
        </w:rPr>
        <w:t>(+44,9%)</w:t>
      </w:r>
      <w:r w:rsidR="00A44D90">
        <w:rPr>
          <w:rFonts w:ascii="Calibri" w:hAnsi="Calibri" w:cs="Calibri"/>
          <w:iCs/>
        </w:rPr>
        <w:t xml:space="preserve"> e </w:t>
      </w:r>
      <w:r w:rsidR="00A44D90" w:rsidRPr="006D03D9">
        <w:rPr>
          <w:rFonts w:ascii="Calibri" w:hAnsi="Calibri" w:cs="Calibri"/>
          <w:b/>
          <w:bCs/>
          <w:iCs/>
        </w:rPr>
        <w:t>Belgio</w:t>
      </w:r>
      <w:r w:rsidR="00A44D90">
        <w:rPr>
          <w:rFonts w:ascii="Calibri" w:hAnsi="Calibri" w:cs="Calibri"/>
          <w:iCs/>
        </w:rPr>
        <w:t xml:space="preserve"> </w:t>
      </w:r>
      <w:r w:rsidR="00D54505" w:rsidRPr="00D54505">
        <w:rPr>
          <w:rFonts w:ascii="Calibri" w:hAnsi="Calibri" w:cs="Calibri"/>
          <w:iCs/>
        </w:rPr>
        <w:t>(+</w:t>
      </w:r>
      <w:r w:rsidR="00A44D90">
        <w:rPr>
          <w:rFonts w:ascii="Calibri" w:hAnsi="Calibri" w:cs="Calibri"/>
          <w:iCs/>
        </w:rPr>
        <w:t>1</w:t>
      </w:r>
      <w:r w:rsidR="00D54505" w:rsidRPr="00D54505">
        <w:rPr>
          <w:rFonts w:ascii="Calibri" w:hAnsi="Calibri" w:cs="Calibri"/>
          <w:iCs/>
        </w:rPr>
        <w:t>3</w:t>
      </w:r>
      <w:r w:rsidR="00A44D90">
        <w:rPr>
          <w:rFonts w:ascii="Calibri" w:hAnsi="Calibri" w:cs="Calibri"/>
          <w:iCs/>
        </w:rPr>
        <w:t>,2%</w:t>
      </w:r>
      <w:r w:rsidR="00D54505" w:rsidRPr="00D54505">
        <w:rPr>
          <w:rFonts w:ascii="Calibri" w:hAnsi="Calibri" w:cs="Calibri"/>
          <w:iCs/>
        </w:rPr>
        <w:t>).</w:t>
      </w:r>
    </w:p>
    <w:p w14:paraId="18D1A978" w14:textId="77777777" w:rsidR="000A5432" w:rsidRDefault="000A5432">
      <w:r>
        <w:br w:type="page"/>
      </w:r>
    </w:p>
    <w:tbl>
      <w:tblPr>
        <w:tblW w:w="8855" w:type="dxa"/>
        <w:tblLayout w:type="fixed"/>
        <w:tblCellMar>
          <w:left w:w="0" w:type="dxa"/>
          <w:right w:w="0" w:type="dxa"/>
        </w:tblCellMar>
        <w:tblLook w:val="04A0" w:firstRow="1" w:lastRow="0" w:firstColumn="1" w:lastColumn="0" w:noHBand="0" w:noVBand="1"/>
      </w:tblPr>
      <w:tblGrid>
        <w:gridCol w:w="2005"/>
        <w:gridCol w:w="1538"/>
        <w:gridCol w:w="1700"/>
        <w:gridCol w:w="1278"/>
        <w:gridCol w:w="1134"/>
        <w:gridCol w:w="989"/>
        <w:gridCol w:w="145"/>
        <w:gridCol w:w="66"/>
      </w:tblGrid>
      <w:tr w:rsidR="008D3100" w14:paraId="7D2F0C4C" w14:textId="77777777" w:rsidTr="005C0E30">
        <w:trPr>
          <w:trHeight w:val="283"/>
        </w:trPr>
        <w:tc>
          <w:tcPr>
            <w:tcW w:w="8855" w:type="dxa"/>
            <w:gridSpan w:val="8"/>
            <w:tcBorders>
              <w:top w:val="nil"/>
              <w:left w:val="nil"/>
              <w:bottom w:val="nil"/>
              <w:right w:val="nil"/>
            </w:tcBorders>
            <w:noWrap/>
            <w:tcMar>
              <w:top w:w="15" w:type="dxa"/>
              <w:left w:w="15" w:type="dxa"/>
              <w:bottom w:w="0" w:type="dxa"/>
              <w:right w:w="15" w:type="dxa"/>
            </w:tcMar>
            <w:vAlign w:val="center"/>
            <w:hideMark/>
          </w:tcPr>
          <w:p w14:paraId="12C726FA" w14:textId="06F723A3" w:rsidR="008D3100" w:rsidRDefault="008D3100" w:rsidP="00A35AEF">
            <w:pPr>
              <w:rPr>
                <w:sz w:val="20"/>
                <w:szCs w:val="20"/>
              </w:rPr>
            </w:pPr>
            <w:r>
              <w:lastRenderedPageBreak/>
              <w:br w:type="page"/>
            </w:r>
            <w:r>
              <w:rPr>
                <w:rFonts w:ascii="Calibri" w:hAnsi="Calibri" w:cs="Calibri"/>
                <w:iCs/>
              </w:rPr>
              <w:br w:type="page"/>
            </w:r>
            <w:r>
              <w:rPr>
                <w:rFonts w:ascii="Calibri" w:hAnsi="Calibri" w:cs="Calibri"/>
                <w:b/>
                <w:bCs/>
                <w:color w:val="000000"/>
                <w:sz w:val="20"/>
                <w:szCs w:val="20"/>
              </w:rPr>
              <w:t xml:space="preserve">I principali paesi </w:t>
            </w:r>
            <w:r w:rsidR="002551D2">
              <w:rPr>
                <w:rFonts w:ascii="Calibri" w:hAnsi="Calibri" w:cs="Calibri"/>
                <w:b/>
                <w:bCs/>
                <w:color w:val="000000"/>
                <w:sz w:val="20"/>
                <w:szCs w:val="20"/>
              </w:rPr>
              <w:t xml:space="preserve">di </w:t>
            </w:r>
            <w:r>
              <w:rPr>
                <w:rFonts w:ascii="Calibri" w:hAnsi="Calibri" w:cs="Calibri"/>
                <w:b/>
                <w:bCs/>
                <w:color w:val="000000"/>
                <w:sz w:val="20"/>
                <w:szCs w:val="20"/>
              </w:rPr>
              <w:t>destina</w:t>
            </w:r>
            <w:r w:rsidR="002551D2">
              <w:rPr>
                <w:rFonts w:ascii="Calibri" w:hAnsi="Calibri" w:cs="Calibri"/>
                <w:b/>
                <w:bCs/>
                <w:color w:val="000000"/>
                <w:sz w:val="20"/>
                <w:szCs w:val="20"/>
              </w:rPr>
              <w:t xml:space="preserve">zione </w:t>
            </w:r>
            <w:r>
              <w:rPr>
                <w:rFonts w:ascii="Calibri" w:hAnsi="Calibri" w:cs="Calibri"/>
                <w:b/>
                <w:bCs/>
                <w:color w:val="000000"/>
                <w:sz w:val="20"/>
                <w:szCs w:val="20"/>
              </w:rPr>
              <w:t>delle esportazioni della provincia di Lucca - I semestre 2025</w:t>
            </w:r>
          </w:p>
        </w:tc>
      </w:tr>
      <w:tr w:rsidR="0022419F" w14:paraId="55CBBB96" w14:textId="77777777" w:rsidTr="005C0E30">
        <w:trPr>
          <w:gridAfter w:val="1"/>
          <w:wAfter w:w="66" w:type="dxa"/>
          <w:trHeight w:val="283"/>
        </w:trPr>
        <w:tc>
          <w:tcPr>
            <w:tcW w:w="5243" w:type="dxa"/>
            <w:gridSpan w:val="3"/>
            <w:tcBorders>
              <w:top w:val="nil"/>
              <w:left w:val="nil"/>
              <w:bottom w:val="nil"/>
              <w:right w:val="nil"/>
            </w:tcBorders>
            <w:noWrap/>
            <w:tcMar>
              <w:top w:w="15" w:type="dxa"/>
              <w:left w:w="15" w:type="dxa"/>
              <w:bottom w:w="0" w:type="dxa"/>
              <w:right w:w="15" w:type="dxa"/>
            </w:tcMar>
            <w:vAlign w:val="center"/>
            <w:hideMark/>
          </w:tcPr>
          <w:p w14:paraId="10F7CAC1" w14:textId="77777777" w:rsidR="0022419F" w:rsidRDefault="0022419F" w:rsidP="00A35AEF">
            <w:pPr>
              <w:rPr>
                <w:rFonts w:ascii="Calibri" w:hAnsi="Calibri" w:cs="Calibri"/>
                <w:i/>
                <w:iCs/>
                <w:color w:val="000000"/>
                <w:sz w:val="20"/>
                <w:szCs w:val="20"/>
              </w:rPr>
            </w:pPr>
            <w:r>
              <w:rPr>
                <w:rFonts w:ascii="Calibri" w:hAnsi="Calibri" w:cs="Calibri"/>
                <w:i/>
                <w:iCs/>
                <w:color w:val="000000"/>
                <w:sz w:val="20"/>
                <w:szCs w:val="20"/>
              </w:rPr>
              <w:t>Valori assoluti in euro, var. % e contributi % alla crescita </w:t>
            </w:r>
          </w:p>
        </w:tc>
        <w:tc>
          <w:tcPr>
            <w:tcW w:w="1278" w:type="dxa"/>
            <w:tcBorders>
              <w:top w:val="nil"/>
              <w:left w:val="nil"/>
              <w:bottom w:val="nil"/>
              <w:right w:val="nil"/>
            </w:tcBorders>
            <w:noWrap/>
            <w:tcMar>
              <w:top w:w="15" w:type="dxa"/>
              <w:left w:w="15" w:type="dxa"/>
              <w:bottom w:w="0" w:type="dxa"/>
              <w:right w:w="15" w:type="dxa"/>
            </w:tcMar>
            <w:vAlign w:val="center"/>
            <w:hideMark/>
          </w:tcPr>
          <w:p w14:paraId="0D2A0D6E" w14:textId="77777777" w:rsidR="0022419F" w:rsidRDefault="0022419F" w:rsidP="00A35AEF">
            <w:pPr>
              <w:rPr>
                <w:rFonts w:ascii="Calibri" w:hAnsi="Calibri" w:cs="Calibri"/>
                <w:i/>
                <w:iCs/>
                <w:color w:val="000000"/>
                <w:sz w:val="20"/>
                <w:szCs w:val="20"/>
              </w:rPr>
            </w:pPr>
          </w:p>
        </w:tc>
        <w:tc>
          <w:tcPr>
            <w:tcW w:w="1134" w:type="dxa"/>
            <w:tcBorders>
              <w:top w:val="nil"/>
              <w:left w:val="nil"/>
              <w:bottom w:val="nil"/>
              <w:right w:val="nil"/>
            </w:tcBorders>
            <w:noWrap/>
            <w:tcMar>
              <w:top w:w="15" w:type="dxa"/>
              <w:left w:w="15" w:type="dxa"/>
              <w:bottom w:w="0" w:type="dxa"/>
              <w:right w:w="15" w:type="dxa"/>
            </w:tcMar>
            <w:vAlign w:val="center"/>
            <w:hideMark/>
          </w:tcPr>
          <w:p w14:paraId="2151FB19" w14:textId="77777777" w:rsidR="0022419F" w:rsidRDefault="0022419F" w:rsidP="00A35AEF">
            <w:pPr>
              <w:rPr>
                <w:sz w:val="20"/>
                <w:szCs w:val="20"/>
              </w:rPr>
            </w:pPr>
          </w:p>
        </w:tc>
        <w:tc>
          <w:tcPr>
            <w:tcW w:w="1134" w:type="dxa"/>
            <w:gridSpan w:val="2"/>
            <w:tcBorders>
              <w:top w:val="nil"/>
              <w:left w:val="nil"/>
              <w:bottom w:val="nil"/>
              <w:right w:val="nil"/>
            </w:tcBorders>
            <w:noWrap/>
            <w:tcMar>
              <w:top w:w="15" w:type="dxa"/>
              <w:left w:w="15" w:type="dxa"/>
              <w:bottom w:w="0" w:type="dxa"/>
              <w:right w:w="15" w:type="dxa"/>
            </w:tcMar>
            <w:vAlign w:val="center"/>
            <w:hideMark/>
          </w:tcPr>
          <w:p w14:paraId="611AA228" w14:textId="77777777" w:rsidR="0022419F" w:rsidRDefault="0022419F" w:rsidP="00A35AEF">
            <w:pPr>
              <w:rPr>
                <w:sz w:val="20"/>
                <w:szCs w:val="20"/>
              </w:rPr>
            </w:pPr>
          </w:p>
        </w:tc>
      </w:tr>
      <w:tr w:rsidR="007C4BFE" w14:paraId="11B132AC" w14:textId="77777777" w:rsidTr="005C0E30">
        <w:trPr>
          <w:gridAfter w:val="1"/>
          <w:wAfter w:w="66" w:type="dxa"/>
          <w:trHeight w:val="283"/>
        </w:trPr>
        <w:tc>
          <w:tcPr>
            <w:tcW w:w="2005" w:type="dxa"/>
            <w:vMerge w:val="restart"/>
            <w:tcBorders>
              <w:top w:val="single" w:sz="4" w:space="0" w:color="auto"/>
              <w:left w:val="nil"/>
              <w:bottom w:val="single" w:sz="4" w:space="0" w:color="000000"/>
              <w:right w:val="nil"/>
            </w:tcBorders>
            <w:noWrap/>
            <w:tcMar>
              <w:top w:w="15" w:type="dxa"/>
              <w:left w:w="15" w:type="dxa"/>
              <w:bottom w:w="0" w:type="dxa"/>
              <w:right w:w="15" w:type="dxa"/>
            </w:tcMar>
            <w:vAlign w:val="center"/>
            <w:hideMark/>
          </w:tcPr>
          <w:p w14:paraId="03E84848" w14:textId="77777777" w:rsidR="007C4BFE" w:rsidRDefault="007C4BFE" w:rsidP="00A35AEF">
            <w:pPr>
              <w:rPr>
                <w:rFonts w:ascii="Calibri" w:hAnsi="Calibri" w:cs="Calibri"/>
                <w:b/>
                <w:bCs/>
                <w:color w:val="000000"/>
                <w:sz w:val="20"/>
                <w:szCs w:val="20"/>
              </w:rPr>
            </w:pPr>
            <w:r>
              <w:rPr>
                <w:rFonts w:ascii="Calibri" w:hAnsi="Calibri" w:cs="Calibri"/>
                <w:b/>
                <w:bCs/>
                <w:color w:val="000000"/>
                <w:sz w:val="20"/>
                <w:szCs w:val="20"/>
              </w:rPr>
              <w:t>Settori di attività</w:t>
            </w:r>
          </w:p>
        </w:tc>
        <w:tc>
          <w:tcPr>
            <w:tcW w:w="3238" w:type="dxa"/>
            <w:gridSpan w:val="2"/>
            <w:tcBorders>
              <w:top w:val="single" w:sz="4" w:space="0" w:color="auto"/>
              <w:left w:val="nil"/>
              <w:bottom w:val="single" w:sz="4" w:space="0" w:color="auto"/>
              <w:right w:val="nil"/>
            </w:tcBorders>
            <w:noWrap/>
            <w:tcMar>
              <w:top w:w="15" w:type="dxa"/>
              <w:left w:w="15" w:type="dxa"/>
              <w:bottom w:w="0" w:type="dxa"/>
              <w:right w:w="15" w:type="dxa"/>
            </w:tcMar>
            <w:vAlign w:val="center"/>
            <w:hideMark/>
          </w:tcPr>
          <w:p w14:paraId="01299D05" w14:textId="77777777" w:rsidR="007C4BFE" w:rsidRDefault="007C4BFE" w:rsidP="00234F3A">
            <w:pPr>
              <w:jc w:val="center"/>
              <w:rPr>
                <w:rFonts w:ascii="Calibri" w:hAnsi="Calibri" w:cs="Calibri"/>
                <w:b/>
                <w:bCs/>
                <w:color w:val="000000"/>
                <w:sz w:val="20"/>
                <w:szCs w:val="20"/>
              </w:rPr>
            </w:pPr>
            <w:r>
              <w:rPr>
                <w:rFonts w:ascii="Calibri" w:hAnsi="Calibri" w:cs="Calibri"/>
                <w:b/>
                <w:bCs/>
                <w:color w:val="000000"/>
                <w:sz w:val="20"/>
                <w:szCs w:val="20"/>
              </w:rPr>
              <w:t>Valori assoluti in euro</w:t>
            </w:r>
          </w:p>
        </w:tc>
        <w:tc>
          <w:tcPr>
            <w:tcW w:w="1278" w:type="dxa"/>
            <w:vMerge w:val="restart"/>
            <w:tcBorders>
              <w:top w:val="single" w:sz="4" w:space="0" w:color="auto"/>
              <w:left w:val="nil"/>
              <w:right w:val="nil"/>
            </w:tcBorders>
            <w:noWrap/>
            <w:tcMar>
              <w:top w:w="15" w:type="dxa"/>
              <w:left w:w="15" w:type="dxa"/>
              <w:bottom w:w="0" w:type="dxa"/>
              <w:right w:w="15" w:type="dxa"/>
            </w:tcMar>
            <w:vAlign w:val="center"/>
            <w:hideMark/>
          </w:tcPr>
          <w:p w14:paraId="34797866" w14:textId="77777777" w:rsidR="007C4BFE" w:rsidRDefault="007C4BFE" w:rsidP="00234F3A">
            <w:pPr>
              <w:jc w:val="center"/>
              <w:rPr>
                <w:rFonts w:ascii="Calibri" w:hAnsi="Calibri" w:cs="Calibri"/>
                <w:b/>
                <w:bCs/>
                <w:color w:val="000000"/>
                <w:sz w:val="20"/>
                <w:szCs w:val="20"/>
              </w:rPr>
            </w:pPr>
            <w:r>
              <w:rPr>
                <w:rFonts w:ascii="Calibri" w:hAnsi="Calibri" w:cs="Calibri"/>
                <w:b/>
                <w:bCs/>
                <w:color w:val="000000"/>
                <w:sz w:val="20"/>
                <w:szCs w:val="20"/>
              </w:rPr>
              <w:t>Quota %</w:t>
            </w:r>
          </w:p>
        </w:tc>
        <w:tc>
          <w:tcPr>
            <w:tcW w:w="1134" w:type="dxa"/>
            <w:vMerge w:val="restart"/>
            <w:tcBorders>
              <w:top w:val="single" w:sz="4" w:space="0" w:color="auto"/>
              <w:left w:val="nil"/>
              <w:right w:val="nil"/>
            </w:tcBorders>
            <w:noWrap/>
            <w:tcMar>
              <w:top w:w="15" w:type="dxa"/>
              <w:left w:w="15" w:type="dxa"/>
              <w:bottom w:w="0" w:type="dxa"/>
              <w:right w:w="15" w:type="dxa"/>
            </w:tcMar>
            <w:vAlign w:val="center"/>
            <w:hideMark/>
          </w:tcPr>
          <w:p w14:paraId="330CA1A5" w14:textId="77777777" w:rsidR="007C4BFE" w:rsidRDefault="007C4BFE" w:rsidP="00234F3A">
            <w:pPr>
              <w:jc w:val="center"/>
              <w:rPr>
                <w:rFonts w:ascii="Calibri" w:hAnsi="Calibri" w:cs="Calibri"/>
                <w:b/>
                <w:bCs/>
                <w:color w:val="000000"/>
                <w:sz w:val="20"/>
                <w:szCs w:val="20"/>
              </w:rPr>
            </w:pPr>
            <w:r>
              <w:rPr>
                <w:rFonts w:ascii="Calibri" w:hAnsi="Calibri" w:cs="Calibri"/>
                <w:b/>
                <w:bCs/>
                <w:color w:val="000000"/>
                <w:sz w:val="20"/>
                <w:szCs w:val="20"/>
              </w:rPr>
              <w:t>Var. %</w:t>
            </w:r>
          </w:p>
        </w:tc>
        <w:tc>
          <w:tcPr>
            <w:tcW w:w="1134" w:type="dxa"/>
            <w:gridSpan w:val="2"/>
            <w:vMerge w:val="restart"/>
            <w:tcBorders>
              <w:top w:val="single" w:sz="4" w:space="0" w:color="auto"/>
              <w:left w:val="nil"/>
              <w:right w:val="nil"/>
            </w:tcBorders>
            <w:tcMar>
              <w:top w:w="15" w:type="dxa"/>
              <w:left w:w="15" w:type="dxa"/>
              <w:bottom w:w="0" w:type="dxa"/>
              <w:right w:w="15" w:type="dxa"/>
            </w:tcMar>
            <w:vAlign w:val="center"/>
            <w:hideMark/>
          </w:tcPr>
          <w:p w14:paraId="06A20BF4" w14:textId="77777777" w:rsidR="007C4BFE" w:rsidRDefault="007C4BFE" w:rsidP="00234F3A">
            <w:pPr>
              <w:jc w:val="center"/>
              <w:rPr>
                <w:rFonts w:ascii="Calibri" w:hAnsi="Calibri" w:cs="Calibri"/>
                <w:b/>
                <w:bCs/>
                <w:color w:val="000000"/>
                <w:sz w:val="20"/>
                <w:szCs w:val="20"/>
              </w:rPr>
            </w:pPr>
            <w:r>
              <w:rPr>
                <w:rFonts w:ascii="Calibri" w:hAnsi="Calibri" w:cs="Calibri"/>
                <w:b/>
                <w:bCs/>
                <w:color w:val="000000"/>
                <w:sz w:val="20"/>
                <w:szCs w:val="20"/>
              </w:rPr>
              <w:t>Contributo %</w:t>
            </w:r>
          </w:p>
        </w:tc>
      </w:tr>
      <w:tr w:rsidR="007C4BFE" w14:paraId="3EEFC090" w14:textId="77777777" w:rsidTr="005C0E30">
        <w:trPr>
          <w:gridAfter w:val="1"/>
          <w:wAfter w:w="66" w:type="dxa"/>
          <w:trHeight w:val="283"/>
        </w:trPr>
        <w:tc>
          <w:tcPr>
            <w:tcW w:w="2005" w:type="dxa"/>
            <w:vMerge/>
            <w:tcBorders>
              <w:top w:val="single" w:sz="4" w:space="0" w:color="auto"/>
              <w:left w:val="nil"/>
              <w:bottom w:val="single" w:sz="4" w:space="0" w:color="000000"/>
              <w:right w:val="nil"/>
            </w:tcBorders>
            <w:vAlign w:val="center"/>
            <w:hideMark/>
          </w:tcPr>
          <w:p w14:paraId="55F1B3F5" w14:textId="77777777" w:rsidR="007C4BFE" w:rsidRDefault="007C4BFE" w:rsidP="00A35AEF">
            <w:pPr>
              <w:rPr>
                <w:rFonts w:ascii="Calibri" w:hAnsi="Calibri" w:cs="Calibri"/>
                <w:b/>
                <w:bCs/>
                <w:color w:val="000000"/>
                <w:sz w:val="20"/>
                <w:szCs w:val="20"/>
              </w:rPr>
            </w:pPr>
          </w:p>
        </w:tc>
        <w:tc>
          <w:tcPr>
            <w:tcW w:w="1538" w:type="dxa"/>
            <w:tcBorders>
              <w:top w:val="nil"/>
              <w:left w:val="nil"/>
              <w:bottom w:val="single" w:sz="4" w:space="0" w:color="auto"/>
              <w:right w:val="nil"/>
            </w:tcBorders>
            <w:noWrap/>
            <w:tcMar>
              <w:top w:w="15" w:type="dxa"/>
              <w:left w:w="15" w:type="dxa"/>
              <w:bottom w:w="0" w:type="dxa"/>
              <w:right w:w="15" w:type="dxa"/>
            </w:tcMar>
            <w:vAlign w:val="center"/>
            <w:hideMark/>
          </w:tcPr>
          <w:p w14:paraId="34919A6E" w14:textId="77777777" w:rsidR="007C4BFE" w:rsidRDefault="007C4BFE" w:rsidP="00234F3A">
            <w:pPr>
              <w:jc w:val="center"/>
              <w:rPr>
                <w:rFonts w:ascii="Calibri" w:hAnsi="Calibri" w:cs="Calibri"/>
                <w:b/>
                <w:bCs/>
                <w:color w:val="000000"/>
                <w:sz w:val="20"/>
                <w:szCs w:val="20"/>
              </w:rPr>
            </w:pPr>
            <w:r>
              <w:rPr>
                <w:rFonts w:ascii="Calibri" w:hAnsi="Calibri" w:cs="Calibri"/>
                <w:b/>
                <w:bCs/>
                <w:color w:val="000000"/>
                <w:sz w:val="20"/>
                <w:szCs w:val="20"/>
              </w:rPr>
              <w:t xml:space="preserve">I </w:t>
            </w:r>
            <w:proofErr w:type="spellStart"/>
            <w:r>
              <w:rPr>
                <w:rFonts w:ascii="Calibri" w:hAnsi="Calibri" w:cs="Calibri"/>
                <w:b/>
                <w:bCs/>
                <w:color w:val="000000"/>
                <w:sz w:val="20"/>
                <w:szCs w:val="20"/>
              </w:rPr>
              <w:t>sem</w:t>
            </w:r>
            <w:proofErr w:type="spellEnd"/>
            <w:r>
              <w:rPr>
                <w:rFonts w:ascii="Calibri" w:hAnsi="Calibri" w:cs="Calibri"/>
                <w:b/>
                <w:bCs/>
                <w:color w:val="000000"/>
                <w:sz w:val="20"/>
                <w:szCs w:val="20"/>
              </w:rPr>
              <w:t xml:space="preserve"> 2024</w:t>
            </w:r>
          </w:p>
        </w:tc>
        <w:tc>
          <w:tcPr>
            <w:tcW w:w="1700" w:type="dxa"/>
            <w:tcBorders>
              <w:top w:val="nil"/>
              <w:left w:val="nil"/>
              <w:bottom w:val="single" w:sz="4" w:space="0" w:color="auto"/>
              <w:right w:val="nil"/>
            </w:tcBorders>
            <w:noWrap/>
            <w:tcMar>
              <w:top w:w="15" w:type="dxa"/>
              <w:left w:w="15" w:type="dxa"/>
              <w:bottom w:w="0" w:type="dxa"/>
              <w:right w:w="15" w:type="dxa"/>
            </w:tcMar>
            <w:vAlign w:val="center"/>
            <w:hideMark/>
          </w:tcPr>
          <w:p w14:paraId="50DE36A4" w14:textId="77777777" w:rsidR="007C4BFE" w:rsidRDefault="007C4BFE" w:rsidP="00234F3A">
            <w:pPr>
              <w:jc w:val="center"/>
              <w:rPr>
                <w:rFonts w:ascii="Calibri" w:hAnsi="Calibri" w:cs="Calibri"/>
                <w:b/>
                <w:bCs/>
                <w:color w:val="000000"/>
                <w:sz w:val="20"/>
                <w:szCs w:val="20"/>
              </w:rPr>
            </w:pPr>
            <w:r>
              <w:rPr>
                <w:rFonts w:ascii="Calibri" w:hAnsi="Calibri" w:cs="Calibri"/>
                <w:b/>
                <w:bCs/>
                <w:color w:val="000000"/>
                <w:sz w:val="20"/>
                <w:szCs w:val="20"/>
              </w:rPr>
              <w:t xml:space="preserve">I </w:t>
            </w:r>
            <w:proofErr w:type="spellStart"/>
            <w:r>
              <w:rPr>
                <w:rFonts w:ascii="Calibri" w:hAnsi="Calibri" w:cs="Calibri"/>
                <w:b/>
                <w:bCs/>
                <w:color w:val="000000"/>
                <w:sz w:val="20"/>
                <w:szCs w:val="20"/>
              </w:rPr>
              <w:t>sem</w:t>
            </w:r>
            <w:proofErr w:type="spellEnd"/>
            <w:r>
              <w:rPr>
                <w:rFonts w:ascii="Calibri" w:hAnsi="Calibri" w:cs="Calibri"/>
                <w:b/>
                <w:bCs/>
                <w:color w:val="000000"/>
                <w:sz w:val="20"/>
                <w:szCs w:val="20"/>
              </w:rPr>
              <w:t xml:space="preserve"> 2025</w:t>
            </w:r>
          </w:p>
        </w:tc>
        <w:tc>
          <w:tcPr>
            <w:tcW w:w="1278" w:type="dxa"/>
            <w:vMerge/>
            <w:tcBorders>
              <w:left w:val="nil"/>
              <w:bottom w:val="single" w:sz="4" w:space="0" w:color="000000"/>
              <w:right w:val="nil"/>
            </w:tcBorders>
            <w:vAlign w:val="center"/>
            <w:hideMark/>
          </w:tcPr>
          <w:p w14:paraId="77E312C2" w14:textId="77777777" w:rsidR="007C4BFE" w:rsidRDefault="007C4BFE" w:rsidP="00234F3A">
            <w:pPr>
              <w:jc w:val="center"/>
              <w:rPr>
                <w:rFonts w:ascii="Calibri" w:hAnsi="Calibri" w:cs="Calibri"/>
                <w:b/>
                <w:bCs/>
                <w:color w:val="000000"/>
                <w:sz w:val="20"/>
                <w:szCs w:val="20"/>
              </w:rPr>
            </w:pPr>
          </w:p>
        </w:tc>
        <w:tc>
          <w:tcPr>
            <w:tcW w:w="1134" w:type="dxa"/>
            <w:vMerge/>
            <w:tcBorders>
              <w:left w:val="nil"/>
              <w:bottom w:val="single" w:sz="4" w:space="0" w:color="000000"/>
              <w:right w:val="nil"/>
            </w:tcBorders>
            <w:vAlign w:val="center"/>
            <w:hideMark/>
          </w:tcPr>
          <w:p w14:paraId="5D538CDE" w14:textId="77777777" w:rsidR="007C4BFE" w:rsidRDefault="007C4BFE" w:rsidP="00234F3A">
            <w:pPr>
              <w:jc w:val="center"/>
              <w:rPr>
                <w:rFonts w:ascii="Calibri" w:hAnsi="Calibri" w:cs="Calibri"/>
                <w:b/>
                <w:bCs/>
                <w:color w:val="000000"/>
                <w:sz w:val="20"/>
                <w:szCs w:val="20"/>
              </w:rPr>
            </w:pPr>
          </w:p>
        </w:tc>
        <w:tc>
          <w:tcPr>
            <w:tcW w:w="1134" w:type="dxa"/>
            <w:gridSpan w:val="2"/>
            <w:vMerge/>
            <w:tcBorders>
              <w:left w:val="nil"/>
              <w:bottom w:val="single" w:sz="4" w:space="0" w:color="000000"/>
              <w:right w:val="nil"/>
            </w:tcBorders>
            <w:vAlign w:val="center"/>
            <w:hideMark/>
          </w:tcPr>
          <w:p w14:paraId="69500C2B" w14:textId="77777777" w:rsidR="007C4BFE" w:rsidRDefault="007C4BFE" w:rsidP="00234F3A">
            <w:pPr>
              <w:jc w:val="center"/>
              <w:rPr>
                <w:rFonts w:ascii="Calibri" w:hAnsi="Calibri" w:cs="Calibri"/>
                <w:b/>
                <w:bCs/>
                <w:color w:val="000000"/>
                <w:sz w:val="20"/>
                <w:szCs w:val="20"/>
              </w:rPr>
            </w:pPr>
          </w:p>
        </w:tc>
      </w:tr>
      <w:tr w:rsidR="0022419F" w14:paraId="52C99D53" w14:textId="77777777" w:rsidTr="005C0E30">
        <w:trPr>
          <w:gridAfter w:val="1"/>
          <w:wAfter w:w="66" w:type="dxa"/>
          <w:trHeight w:val="283"/>
        </w:trPr>
        <w:tc>
          <w:tcPr>
            <w:tcW w:w="2005" w:type="dxa"/>
            <w:tcBorders>
              <w:top w:val="nil"/>
              <w:left w:val="nil"/>
              <w:bottom w:val="nil"/>
              <w:right w:val="nil"/>
            </w:tcBorders>
            <w:noWrap/>
            <w:tcMar>
              <w:top w:w="15" w:type="dxa"/>
              <w:left w:w="15" w:type="dxa"/>
              <w:bottom w:w="0" w:type="dxa"/>
              <w:right w:w="15" w:type="dxa"/>
            </w:tcMar>
            <w:vAlign w:val="center"/>
            <w:hideMark/>
          </w:tcPr>
          <w:p w14:paraId="0EBB2038"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Francia</w:t>
            </w:r>
          </w:p>
        </w:tc>
        <w:tc>
          <w:tcPr>
            <w:tcW w:w="1538" w:type="dxa"/>
            <w:tcBorders>
              <w:top w:val="nil"/>
              <w:left w:val="nil"/>
              <w:bottom w:val="nil"/>
              <w:right w:val="nil"/>
            </w:tcBorders>
            <w:noWrap/>
            <w:tcMar>
              <w:top w:w="15" w:type="dxa"/>
              <w:left w:w="15" w:type="dxa"/>
              <w:bottom w:w="0" w:type="dxa"/>
              <w:right w:w="15" w:type="dxa"/>
            </w:tcMar>
            <w:vAlign w:val="center"/>
            <w:hideMark/>
          </w:tcPr>
          <w:p w14:paraId="3BCFB7E5"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414.715.068</w:t>
            </w:r>
          </w:p>
        </w:tc>
        <w:tc>
          <w:tcPr>
            <w:tcW w:w="1700" w:type="dxa"/>
            <w:tcBorders>
              <w:top w:val="nil"/>
              <w:left w:val="nil"/>
              <w:bottom w:val="nil"/>
              <w:right w:val="nil"/>
            </w:tcBorders>
            <w:noWrap/>
            <w:tcMar>
              <w:top w:w="15" w:type="dxa"/>
              <w:left w:w="15" w:type="dxa"/>
              <w:bottom w:w="0" w:type="dxa"/>
              <w:right w:w="15" w:type="dxa"/>
            </w:tcMar>
            <w:vAlign w:val="center"/>
            <w:hideMark/>
          </w:tcPr>
          <w:p w14:paraId="2ACEA4D5"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394.177.870</w:t>
            </w:r>
          </w:p>
        </w:tc>
        <w:tc>
          <w:tcPr>
            <w:tcW w:w="1278" w:type="dxa"/>
            <w:tcBorders>
              <w:top w:val="nil"/>
              <w:left w:val="nil"/>
              <w:bottom w:val="nil"/>
              <w:right w:val="nil"/>
            </w:tcBorders>
            <w:noWrap/>
            <w:tcMar>
              <w:top w:w="15" w:type="dxa"/>
              <w:left w:w="15" w:type="dxa"/>
              <w:bottom w:w="0" w:type="dxa"/>
              <w:right w:w="15" w:type="dxa"/>
            </w:tcMar>
            <w:vAlign w:val="center"/>
            <w:hideMark/>
          </w:tcPr>
          <w:p w14:paraId="549654A5"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14,2%</w:t>
            </w:r>
          </w:p>
        </w:tc>
        <w:tc>
          <w:tcPr>
            <w:tcW w:w="1134" w:type="dxa"/>
            <w:tcBorders>
              <w:top w:val="nil"/>
              <w:left w:val="nil"/>
              <w:bottom w:val="nil"/>
              <w:right w:val="nil"/>
            </w:tcBorders>
            <w:noWrap/>
            <w:tcMar>
              <w:top w:w="15" w:type="dxa"/>
              <w:left w:w="15" w:type="dxa"/>
              <w:bottom w:w="0" w:type="dxa"/>
              <w:right w:w="15" w:type="dxa"/>
            </w:tcMar>
            <w:vAlign w:val="center"/>
            <w:hideMark/>
          </w:tcPr>
          <w:p w14:paraId="263A32E8"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-5,0%</w:t>
            </w:r>
          </w:p>
        </w:tc>
        <w:tc>
          <w:tcPr>
            <w:tcW w:w="1134" w:type="dxa"/>
            <w:gridSpan w:val="2"/>
            <w:tcBorders>
              <w:top w:val="nil"/>
              <w:left w:val="nil"/>
              <w:bottom w:val="nil"/>
              <w:right w:val="nil"/>
            </w:tcBorders>
            <w:noWrap/>
            <w:tcMar>
              <w:top w:w="15" w:type="dxa"/>
              <w:left w:w="15" w:type="dxa"/>
              <w:bottom w:w="0" w:type="dxa"/>
              <w:right w:w="15" w:type="dxa"/>
            </w:tcMar>
            <w:vAlign w:val="center"/>
            <w:hideMark/>
          </w:tcPr>
          <w:p w14:paraId="21BFB684" w14:textId="77777777" w:rsidR="0022419F" w:rsidRDefault="0022419F" w:rsidP="00234F3A">
            <w:pPr>
              <w:jc w:val="center"/>
              <w:rPr>
                <w:rFonts w:ascii="Calibri" w:hAnsi="Calibri" w:cs="Calibri"/>
                <w:i/>
                <w:iCs/>
                <w:color w:val="000000"/>
                <w:sz w:val="20"/>
                <w:szCs w:val="20"/>
              </w:rPr>
            </w:pPr>
            <w:r>
              <w:rPr>
                <w:rFonts w:ascii="Calibri" w:hAnsi="Calibri" w:cs="Calibri"/>
                <w:i/>
                <w:iCs/>
                <w:color w:val="000000"/>
                <w:sz w:val="20"/>
                <w:szCs w:val="20"/>
              </w:rPr>
              <w:t>-0,7%</w:t>
            </w:r>
          </w:p>
        </w:tc>
      </w:tr>
      <w:tr w:rsidR="0022419F" w14:paraId="6F01D581" w14:textId="77777777" w:rsidTr="005C0E30">
        <w:trPr>
          <w:gridAfter w:val="1"/>
          <w:wAfter w:w="66" w:type="dxa"/>
          <w:trHeight w:val="283"/>
        </w:trPr>
        <w:tc>
          <w:tcPr>
            <w:tcW w:w="2005" w:type="dxa"/>
            <w:tcBorders>
              <w:top w:val="nil"/>
              <w:left w:val="nil"/>
              <w:bottom w:val="nil"/>
              <w:right w:val="nil"/>
            </w:tcBorders>
            <w:noWrap/>
            <w:tcMar>
              <w:top w:w="15" w:type="dxa"/>
              <w:left w:w="15" w:type="dxa"/>
              <w:bottom w:w="0" w:type="dxa"/>
              <w:right w:w="15" w:type="dxa"/>
            </w:tcMar>
            <w:vAlign w:val="center"/>
            <w:hideMark/>
          </w:tcPr>
          <w:p w14:paraId="1BA55BE9"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Stati Uniti</w:t>
            </w:r>
          </w:p>
        </w:tc>
        <w:tc>
          <w:tcPr>
            <w:tcW w:w="1538" w:type="dxa"/>
            <w:tcBorders>
              <w:top w:val="nil"/>
              <w:left w:val="nil"/>
              <w:bottom w:val="nil"/>
              <w:right w:val="nil"/>
            </w:tcBorders>
            <w:noWrap/>
            <w:tcMar>
              <w:top w:w="15" w:type="dxa"/>
              <w:left w:w="15" w:type="dxa"/>
              <w:bottom w:w="0" w:type="dxa"/>
              <w:right w:w="15" w:type="dxa"/>
            </w:tcMar>
            <w:vAlign w:val="center"/>
            <w:hideMark/>
          </w:tcPr>
          <w:p w14:paraId="31C3BC8F"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270.319.900</w:t>
            </w:r>
          </w:p>
        </w:tc>
        <w:tc>
          <w:tcPr>
            <w:tcW w:w="1700" w:type="dxa"/>
            <w:tcBorders>
              <w:top w:val="nil"/>
              <w:left w:val="nil"/>
              <w:bottom w:val="nil"/>
              <w:right w:val="nil"/>
            </w:tcBorders>
            <w:noWrap/>
            <w:tcMar>
              <w:top w:w="15" w:type="dxa"/>
              <w:left w:w="15" w:type="dxa"/>
              <w:bottom w:w="0" w:type="dxa"/>
              <w:right w:w="15" w:type="dxa"/>
            </w:tcMar>
            <w:vAlign w:val="center"/>
            <w:hideMark/>
          </w:tcPr>
          <w:p w14:paraId="3D25754B"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271.503.837</w:t>
            </w:r>
          </w:p>
        </w:tc>
        <w:tc>
          <w:tcPr>
            <w:tcW w:w="1278" w:type="dxa"/>
            <w:tcBorders>
              <w:top w:val="nil"/>
              <w:left w:val="nil"/>
              <w:bottom w:val="nil"/>
              <w:right w:val="nil"/>
            </w:tcBorders>
            <w:noWrap/>
            <w:tcMar>
              <w:top w:w="15" w:type="dxa"/>
              <w:left w:w="15" w:type="dxa"/>
              <w:bottom w:w="0" w:type="dxa"/>
              <w:right w:w="15" w:type="dxa"/>
            </w:tcMar>
            <w:vAlign w:val="center"/>
            <w:hideMark/>
          </w:tcPr>
          <w:p w14:paraId="611192B0"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9,8%</w:t>
            </w:r>
          </w:p>
        </w:tc>
        <w:tc>
          <w:tcPr>
            <w:tcW w:w="1134" w:type="dxa"/>
            <w:tcBorders>
              <w:top w:val="nil"/>
              <w:left w:val="nil"/>
              <w:bottom w:val="nil"/>
              <w:right w:val="nil"/>
            </w:tcBorders>
            <w:noWrap/>
            <w:tcMar>
              <w:top w:w="15" w:type="dxa"/>
              <w:left w:w="15" w:type="dxa"/>
              <w:bottom w:w="0" w:type="dxa"/>
              <w:right w:w="15" w:type="dxa"/>
            </w:tcMar>
            <w:vAlign w:val="center"/>
            <w:hideMark/>
          </w:tcPr>
          <w:p w14:paraId="7A355EF9"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0,4%</w:t>
            </w:r>
          </w:p>
        </w:tc>
        <w:tc>
          <w:tcPr>
            <w:tcW w:w="1134" w:type="dxa"/>
            <w:gridSpan w:val="2"/>
            <w:tcBorders>
              <w:top w:val="nil"/>
              <w:left w:val="nil"/>
              <w:bottom w:val="nil"/>
              <w:right w:val="nil"/>
            </w:tcBorders>
            <w:noWrap/>
            <w:tcMar>
              <w:top w:w="15" w:type="dxa"/>
              <w:left w:w="15" w:type="dxa"/>
              <w:bottom w:w="0" w:type="dxa"/>
              <w:right w:w="15" w:type="dxa"/>
            </w:tcMar>
            <w:vAlign w:val="center"/>
            <w:hideMark/>
          </w:tcPr>
          <w:p w14:paraId="6C896C04" w14:textId="77777777" w:rsidR="0022419F" w:rsidRDefault="0022419F" w:rsidP="00234F3A">
            <w:pPr>
              <w:jc w:val="center"/>
              <w:rPr>
                <w:rFonts w:ascii="Calibri" w:hAnsi="Calibri" w:cs="Calibri"/>
                <w:i/>
                <w:iCs/>
                <w:color w:val="000000"/>
                <w:sz w:val="20"/>
                <w:szCs w:val="20"/>
              </w:rPr>
            </w:pPr>
            <w:r>
              <w:rPr>
                <w:rFonts w:ascii="Calibri" w:hAnsi="Calibri" w:cs="Calibri"/>
                <w:i/>
                <w:iCs/>
                <w:color w:val="000000"/>
                <w:sz w:val="20"/>
                <w:szCs w:val="20"/>
              </w:rPr>
              <w:t>0,0%</w:t>
            </w:r>
          </w:p>
        </w:tc>
      </w:tr>
      <w:tr w:rsidR="0022419F" w14:paraId="6F613566" w14:textId="77777777" w:rsidTr="005C0E30">
        <w:trPr>
          <w:gridAfter w:val="1"/>
          <w:wAfter w:w="66" w:type="dxa"/>
          <w:trHeight w:val="283"/>
        </w:trPr>
        <w:tc>
          <w:tcPr>
            <w:tcW w:w="2005" w:type="dxa"/>
            <w:tcBorders>
              <w:top w:val="nil"/>
              <w:left w:val="nil"/>
              <w:bottom w:val="nil"/>
              <w:right w:val="nil"/>
            </w:tcBorders>
            <w:noWrap/>
            <w:tcMar>
              <w:top w:w="15" w:type="dxa"/>
              <w:left w:w="15" w:type="dxa"/>
              <w:bottom w:w="0" w:type="dxa"/>
              <w:right w:w="15" w:type="dxa"/>
            </w:tcMar>
            <w:vAlign w:val="center"/>
            <w:hideMark/>
          </w:tcPr>
          <w:p w14:paraId="3468A00A"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Regno Unito</w:t>
            </w:r>
          </w:p>
        </w:tc>
        <w:tc>
          <w:tcPr>
            <w:tcW w:w="1538" w:type="dxa"/>
            <w:tcBorders>
              <w:top w:val="nil"/>
              <w:left w:val="nil"/>
              <w:bottom w:val="nil"/>
              <w:right w:val="nil"/>
            </w:tcBorders>
            <w:noWrap/>
            <w:tcMar>
              <w:top w:w="15" w:type="dxa"/>
              <w:left w:w="15" w:type="dxa"/>
              <w:bottom w:w="0" w:type="dxa"/>
              <w:right w:w="15" w:type="dxa"/>
            </w:tcMar>
            <w:vAlign w:val="center"/>
            <w:hideMark/>
          </w:tcPr>
          <w:p w14:paraId="2CD061F2"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205.108.562</w:t>
            </w:r>
          </w:p>
        </w:tc>
        <w:tc>
          <w:tcPr>
            <w:tcW w:w="1700" w:type="dxa"/>
            <w:tcBorders>
              <w:top w:val="nil"/>
              <w:left w:val="nil"/>
              <w:bottom w:val="nil"/>
              <w:right w:val="nil"/>
            </w:tcBorders>
            <w:noWrap/>
            <w:tcMar>
              <w:top w:w="15" w:type="dxa"/>
              <w:left w:w="15" w:type="dxa"/>
              <w:bottom w:w="0" w:type="dxa"/>
              <w:right w:w="15" w:type="dxa"/>
            </w:tcMar>
            <w:vAlign w:val="center"/>
            <w:hideMark/>
          </w:tcPr>
          <w:p w14:paraId="514A513D"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264.028.333</w:t>
            </w:r>
          </w:p>
        </w:tc>
        <w:tc>
          <w:tcPr>
            <w:tcW w:w="1278" w:type="dxa"/>
            <w:tcBorders>
              <w:top w:val="nil"/>
              <w:left w:val="nil"/>
              <w:bottom w:val="nil"/>
              <w:right w:val="nil"/>
            </w:tcBorders>
            <w:noWrap/>
            <w:tcMar>
              <w:top w:w="15" w:type="dxa"/>
              <w:left w:w="15" w:type="dxa"/>
              <w:bottom w:w="0" w:type="dxa"/>
              <w:right w:w="15" w:type="dxa"/>
            </w:tcMar>
            <w:vAlign w:val="center"/>
            <w:hideMark/>
          </w:tcPr>
          <w:p w14:paraId="2B1B6036"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9,5%</w:t>
            </w:r>
          </w:p>
        </w:tc>
        <w:tc>
          <w:tcPr>
            <w:tcW w:w="1134" w:type="dxa"/>
            <w:tcBorders>
              <w:top w:val="nil"/>
              <w:left w:val="nil"/>
              <w:bottom w:val="nil"/>
              <w:right w:val="nil"/>
            </w:tcBorders>
            <w:noWrap/>
            <w:tcMar>
              <w:top w:w="15" w:type="dxa"/>
              <w:left w:w="15" w:type="dxa"/>
              <w:bottom w:w="0" w:type="dxa"/>
              <w:right w:w="15" w:type="dxa"/>
            </w:tcMar>
            <w:vAlign w:val="center"/>
            <w:hideMark/>
          </w:tcPr>
          <w:p w14:paraId="5446C34B"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28,7%</w:t>
            </w:r>
          </w:p>
        </w:tc>
        <w:tc>
          <w:tcPr>
            <w:tcW w:w="1134" w:type="dxa"/>
            <w:gridSpan w:val="2"/>
            <w:tcBorders>
              <w:top w:val="nil"/>
              <w:left w:val="nil"/>
              <w:bottom w:val="nil"/>
              <w:right w:val="nil"/>
            </w:tcBorders>
            <w:noWrap/>
            <w:tcMar>
              <w:top w:w="15" w:type="dxa"/>
              <w:left w:w="15" w:type="dxa"/>
              <w:bottom w:w="0" w:type="dxa"/>
              <w:right w:w="15" w:type="dxa"/>
            </w:tcMar>
            <w:vAlign w:val="center"/>
            <w:hideMark/>
          </w:tcPr>
          <w:p w14:paraId="39BEFF9E" w14:textId="77777777" w:rsidR="0022419F" w:rsidRDefault="0022419F" w:rsidP="00234F3A">
            <w:pPr>
              <w:jc w:val="center"/>
              <w:rPr>
                <w:rFonts w:ascii="Calibri" w:hAnsi="Calibri" w:cs="Calibri"/>
                <w:i/>
                <w:iCs/>
                <w:color w:val="000000"/>
                <w:sz w:val="20"/>
                <w:szCs w:val="20"/>
              </w:rPr>
            </w:pPr>
            <w:r>
              <w:rPr>
                <w:rFonts w:ascii="Calibri" w:hAnsi="Calibri" w:cs="Calibri"/>
                <w:i/>
                <w:iCs/>
                <w:color w:val="000000"/>
                <w:sz w:val="20"/>
                <w:szCs w:val="20"/>
              </w:rPr>
              <w:t>2,1%</w:t>
            </w:r>
          </w:p>
        </w:tc>
      </w:tr>
      <w:tr w:rsidR="0022419F" w14:paraId="5B98373A" w14:textId="77777777" w:rsidTr="005C0E30">
        <w:trPr>
          <w:gridAfter w:val="1"/>
          <w:wAfter w:w="66" w:type="dxa"/>
          <w:trHeight w:val="283"/>
        </w:trPr>
        <w:tc>
          <w:tcPr>
            <w:tcW w:w="2005" w:type="dxa"/>
            <w:tcBorders>
              <w:top w:val="nil"/>
              <w:left w:val="nil"/>
              <w:bottom w:val="nil"/>
              <w:right w:val="nil"/>
            </w:tcBorders>
            <w:noWrap/>
            <w:tcMar>
              <w:top w:w="15" w:type="dxa"/>
              <w:left w:w="15" w:type="dxa"/>
              <w:bottom w:w="0" w:type="dxa"/>
              <w:right w:w="15" w:type="dxa"/>
            </w:tcMar>
            <w:vAlign w:val="center"/>
            <w:hideMark/>
          </w:tcPr>
          <w:p w14:paraId="7F4A848F"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Germania</w:t>
            </w:r>
          </w:p>
        </w:tc>
        <w:tc>
          <w:tcPr>
            <w:tcW w:w="1538" w:type="dxa"/>
            <w:tcBorders>
              <w:top w:val="nil"/>
              <w:left w:val="nil"/>
              <w:bottom w:val="nil"/>
              <w:right w:val="nil"/>
            </w:tcBorders>
            <w:noWrap/>
            <w:tcMar>
              <w:top w:w="15" w:type="dxa"/>
              <w:left w:w="15" w:type="dxa"/>
              <w:bottom w:w="0" w:type="dxa"/>
              <w:right w:w="15" w:type="dxa"/>
            </w:tcMar>
            <w:vAlign w:val="center"/>
            <w:hideMark/>
          </w:tcPr>
          <w:p w14:paraId="68CC618D"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248.717.587</w:t>
            </w:r>
          </w:p>
        </w:tc>
        <w:tc>
          <w:tcPr>
            <w:tcW w:w="1700" w:type="dxa"/>
            <w:tcBorders>
              <w:top w:val="nil"/>
              <w:left w:val="nil"/>
              <w:bottom w:val="nil"/>
              <w:right w:val="nil"/>
            </w:tcBorders>
            <w:noWrap/>
            <w:tcMar>
              <w:top w:w="15" w:type="dxa"/>
              <w:left w:w="15" w:type="dxa"/>
              <w:bottom w:w="0" w:type="dxa"/>
              <w:right w:w="15" w:type="dxa"/>
            </w:tcMar>
            <w:vAlign w:val="center"/>
            <w:hideMark/>
          </w:tcPr>
          <w:p w14:paraId="03C744F4"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240.470.150</w:t>
            </w:r>
          </w:p>
        </w:tc>
        <w:tc>
          <w:tcPr>
            <w:tcW w:w="1278" w:type="dxa"/>
            <w:tcBorders>
              <w:top w:val="nil"/>
              <w:left w:val="nil"/>
              <w:bottom w:val="nil"/>
              <w:right w:val="nil"/>
            </w:tcBorders>
            <w:noWrap/>
            <w:tcMar>
              <w:top w:w="15" w:type="dxa"/>
              <w:left w:w="15" w:type="dxa"/>
              <w:bottom w:w="0" w:type="dxa"/>
              <w:right w:w="15" w:type="dxa"/>
            </w:tcMar>
            <w:vAlign w:val="center"/>
            <w:hideMark/>
          </w:tcPr>
          <w:p w14:paraId="0EACF93E"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8,6%</w:t>
            </w:r>
          </w:p>
        </w:tc>
        <w:tc>
          <w:tcPr>
            <w:tcW w:w="1134" w:type="dxa"/>
            <w:tcBorders>
              <w:top w:val="nil"/>
              <w:left w:val="nil"/>
              <w:bottom w:val="nil"/>
              <w:right w:val="nil"/>
            </w:tcBorders>
            <w:noWrap/>
            <w:tcMar>
              <w:top w:w="15" w:type="dxa"/>
              <w:left w:w="15" w:type="dxa"/>
              <w:bottom w:w="0" w:type="dxa"/>
              <w:right w:w="15" w:type="dxa"/>
            </w:tcMar>
            <w:vAlign w:val="center"/>
            <w:hideMark/>
          </w:tcPr>
          <w:p w14:paraId="1CE286A2"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-3,3%</w:t>
            </w:r>
          </w:p>
        </w:tc>
        <w:tc>
          <w:tcPr>
            <w:tcW w:w="1134" w:type="dxa"/>
            <w:gridSpan w:val="2"/>
            <w:tcBorders>
              <w:top w:val="nil"/>
              <w:left w:val="nil"/>
              <w:bottom w:val="nil"/>
              <w:right w:val="nil"/>
            </w:tcBorders>
            <w:noWrap/>
            <w:tcMar>
              <w:top w:w="15" w:type="dxa"/>
              <w:left w:w="15" w:type="dxa"/>
              <w:bottom w:w="0" w:type="dxa"/>
              <w:right w:w="15" w:type="dxa"/>
            </w:tcMar>
            <w:vAlign w:val="center"/>
            <w:hideMark/>
          </w:tcPr>
          <w:p w14:paraId="3953B6CA" w14:textId="77777777" w:rsidR="0022419F" w:rsidRDefault="0022419F" w:rsidP="00234F3A">
            <w:pPr>
              <w:jc w:val="center"/>
              <w:rPr>
                <w:rFonts w:ascii="Calibri" w:hAnsi="Calibri" w:cs="Calibri"/>
                <w:i/>
                <w:iCs/>
                <w:color w:val="000000"/>
                <w:sz w:val="20"/>
                <w:szCs w:val="20"/>
              </w:rPr>
            </w:pPr>
            <w:r>
              <w:rPr>
                <w:rFonts w:ascii="Calibri" w:hAnsi="Calibri" w:cs="Calibri"/>
                <w:i/>
                <w:iCs/>
                <w:color w:val="000000"/>
                <w:sz w:val="20"/>
                <w:szCs w:val="20"/>
              </w:rPr>
              <w:t>-0,3%</w:t>
            </w:r>
          </w:p>
        </w:tc>
      </w:tr>
      <w:tr w:rsidR="0022419F" w14:paraId="2AD8E7CF" w14:textId="77777777" w:rsidTr="005C0E30">
        <w:trPr>
          <w:gridAfter w:val="1"/>
          <w:wAfter w:w="66" w:type="dxa"/>
          <w:trHeight w:val="283"/>
        </w:trPr>
        <w:tc>
          <w:tcPr>
            <w:tcW w:w="2005" w:type="dxa"/>
            <w:tcBorders>
              <w:top w:val="nil"/>
              <w:left w:val="nil"/>
              <w:bottom w:val="nil"/>
              <w:right w:val="nil"/>
            </w:tcBorders>
            <w:noWrap/>
            <w:tcMar>
              <w:top w:w="15" w:type="dxa"/>
              <w:left w:w="15" w:type="dxa"/>
              <w:bottom w:w="0" w:type="dxa"/>
              <w:right w:w="15" w:type="dxa"/>
            </w:tcMar>
            <w:vAlign w:val="center"/>
            <w:hideMark/>
          </w:tcPr>
          <w:p w14:paraId="798B8FB9"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Isole Cayman</w:t>
            </w:r>
          </w:p>
        </w:tc>
        <w:tc>
          <w:tcPr>
            <w:tcW w:w="1538" w:type="dxa"/>
            <w:tcBorders>
              <w:top w:val="nil"/>
              <w:left w:val="nil"/>
              <w:bottom w:val="nil"/>
              <w:right w:val="nil"/>
            </w:tcBorders>
            <w:noWrap/>
            <w:tcMar>
              <w:top w:w="15" w:type="dxa"/>
              <w:left w:w="15" w:type="dxa"/>
              <w:bottom w:w="0" w:type="dxa"/>
              <w:right w:w="15" w:type="dxa"/>
            </w:tcMar>
            <w:vAlign w:val="center"/>
            <w:hideMark/>
          </w:tcPr>
          <w:p w14:paraId="7A159C5F"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305.940.666</w:t>
            </w:r>
          </w:p>
        </w:tc>
        <w:tc>
          <w:tcPr>
            <w:tcW w:w="1700" w:type="dxa"/>
            <w:tcBorders>
              <w:top w:val="nil"/>
              <w:left w:val="nil"/>
              <w:bottom w:val="nil"/>
              <w:right w:val="nil"/>
            </w:tcBorders>
            <w:noWrap/>
            <w:tcMar>
              <w:top w:w="15" w:type="dxa"/>
              <w:left w:w="15" w:type="dxa"/>
              <w:bottom w:w="0" w:type="dxa"/>
              <w:right w:w="15" w:type="dxa"/>
            </w:tcMar>
            <w:vAlign w:val="center"/>
            <w:hideMark/>
          </w:tcPr>
          <w:p w14:paraId="2A1CE592"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120.224.333</w:t>
            </w:r>
          </w:p>
        </w:tc>
        <w:tc>
          <w:tcPr>
            <w:tcW w:w="1278" w:type="dxa"/>
            <w:tcBorders>
              <w:top w:val="nil"/>
              <w:left w:val="nil"/>
              <w:bottom w:val="nil"/>
              <w:right w:val="nil"/>
            </w:tcBorders>
            <w:noWrap/>
            <w:tcMar>
              <w:top w:w="15" w:type="dxa"/>
              <w:left w:w="15" w:type="dxa"/>
              <w:bottom w:w="0" w:type="dxa"/>
              <w:right w:w="15" w:type="dxa"/>
            </w:tcMar>
            <w:vAlign w:val="center"/>
            <w:hideMark/>
          </w:tcPr>
          <w:p w14:paraId="319FCBA9"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4,3%</w:t>
            </w:r>
          </w:p>
        </w:tc>
        <w:tc>
          <w:tcPr>
            <w:tcW w:w="1134" w:type="dxa"/>
            <w:tcBorders>
              <w:top w:val="nil"/>
              <w:left w:val="nil"/>
              <w:bottom w:val="nil"/>
              <w:right w:val="nil"/>
            </w:tcBorders>
            <w:noWrap/>
            <w:tcMar>
              <w:top w:w="15" w:type="dxa"/>
              <w:left w:w="15" w:type="dxa"/>
              <w:bottom w:w="0" w:type="dxa"/>
              <w:right w:w="15" w:type="dxa"/>
            </w:tcMar>
            <w:vAlign w:val="center"/>
            <w:hideMark/>
          </w:tcPr>
          <w:p w14:paraId="5A54E005"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-60,7%</w:t>
            </w:r>
          </w:p>
        </w:tc>
        <w:tc>
          <w:tcPr>
            <w:tcW w:w="1134" w:type="dxa"/>
            <w:gridSpan w:val="2"/>
            <w:tcBorders>
              <w:top w:val="nil"/>
              <w:left w:val="nil"/>
              <w:bottom w:val="nil"/>
              <w:right w:val="nil"/>
            </w:tcBorders>
            <w:noWrap/>
            <w:tcMar>
              <w:top w:w="15" w:type="dxa"/>
              <w:left w:w="15" w:type="dxa"/>
              <w:bottom w:w="0" w:type="dxa"/>
              <w:right w:w="15" w:type="dxa"/>
            </w:tcMar>
            <w:vAlign w:val="center"/>
            <w:hideMark/>
          </w:tcPr>
          <w:p w14:paraId="0523008E" w14:textId="77777777" w:rsidR="0022419F" w:rsidRDefault="0022419F" w:rsidP="00234F3A">
            <w:pPr>
              <w:jc w:val="center"/>
              <w:rPr>
                <w:rFonts w:ascii="Calibri" w:hAnsi="Calibri" w:cs="Calibri"/>
                <w:i/>
                <w:iCs/>
                <w:color w:val="000000"/>
                <w:sz w:val="20"/>
                <w:szCs w:val="20"/>
              </w:rPr>
            </w:pPr>
            <w:r>
              <w:rPr>
                <w:rFonts w:ascii="Calibri" w:hAnsi="Calibri" w:cs="Calibri"/>
                <w:i/>
                <w:iCs/>
                <w:color w:val="000000"/>
                <w:sz w:val="20"/>
                <w:szCs w:val="20"/>
              </w:rPr>
              <w:t>-6,6%</w:t>
            </w:r>
          </w:p>
        </w:tc>
      </w:tr>
      <w:tr w:rsidR="0022419F" w14:paraId="107A1C7C" w14:textId="77777777" w:rsidTr="005C0E30">
        <w:trPr>
          <w:gridAfter w:val="1"/>
          <w:wAfter w:w="66" w:type="dxa"/>
          <w:trHeight w:val="283"/>
        </w:trPr>
        <w:tc>
          <w:tcPr>
            <w:tcW w:w="2005" w:type="dxa"/>
            <w:tcBorders>
              <w:top w:val="nil"/>
              <w:left w:val="nil"/>
              <w:bottom w:val="nil"/>
              <w:right w:val="nil"/>
            </w:tcBorders>
            <w:noWrap/>
            <w:tcMar>
              <w:top w:w="15" w:type="dxa"/>
              <w:left w:w="15" w:type="dxa"/>
              <w:bottom w:w="0" w:type="dxa"/>
              <w:right w:w="15" w:type="dxa"/>
            </w:tcMar>
            <w:vAlign w:val="center"/>
            <w:hideMark/>
          </w:tcPr>
          <w:p w14:paraId="5E41A7B8"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Spagna</w:t>
            </w:r>
          </w:p>
        </w:tc>
        <w:tc>
          <w:tcPr>
            <w:tcW w:w="1538" w:type="dxa"/>
            <w:tcBorders>
              <w:top w:val="nil"/>
              <w:left w:val="nil"/>
              <w:bottom w:val="nil"/>
              <w:right w:val="nil"/>
            </w:tcBorders>
            <w:noWrap/>
            <w:tcMar>
              <w:top w:w="15" w:type="dxa"/>
              <w:left w:w="15" w:type="dxa"/>
              <w:bottom w:w="0" w:type="dxa"/>
              <w:right w:w="15" w:type="dxa"/>
            </w:tcMar>
            <w:vAlign w:val="center"/>
            <w:hideMark/>
          </w:tcPr>
          <w:p w14:paraId="17CC2E8A"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104.689.134</w:t>
            </w:r>
          </w:p>
        </w:tc>
        <w:tc>
          <w:tcPr>
            <w:tcW w:w="1700" w:type="dxa"/>
            <w:tcBorders>
              <w:top w:val="nil"/>
              <w:left w:val="nil"/>
              <w:bottom w:val="nil"/>
              <w:right w:val="nil"/>
            </w:tcBorders>
            <w:noWrap/>
            <w:tcMar>
              <w:top w:w="15" w:type="dxa"/>
              <w:left w:w="15" w:type="dxa"/>
              <w:bottom w:w="0" w:type="dxa"/>
              <w:right w:w="15" w:type="dxa"/>
            </w:tcMar>
            <w:vAlign w:val="center"/>
            <w:hideMark/>
          </w:tcPr>
          <w:p w14:paraId="0F221ECE"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112.266.840</w:t>
            </w:r>
          </w:p>
        </w:tc>
        <w:tc>
          <w:tcPr>
            <w:tcW w:w="1278" w:type="dxa"/>
            <w:tcBorders>
              <w:top w:val="nil"/>
              <w:left w:val="nil"/>
              <w:bottom w:val="nil"/>
              <w:right w:val="nil"/>
            </w:tcBorders>
            <w:noWrap/>
            <w:tcMar>
              <w:top w:w="15" w:type="dxa"/>
              <w:left w:w="15" w:type="dxa"/>
              <w:bottom w:w="0" w:type="dxa"/>
              <w:right w:w="15" w:type="dxa"/>
            </w:tcMar>
            <w:vAlign w:val="center"/>
            <w:hideMark/>
          </w:tcPr>
          <w:p w14:paraId="2B0480EE"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4,0%</w:t>
            </w:r>
          </w:p>
        </w:tc>
        <w:tc>
          <w:tcPr>
            <w:tcW w:w="1134" w:type="dxa"/>
            <w:tcBorders>
              <w:top w:val="nil"/>
              <w:left w:val="nil"/>
              <w:bottom w:val="nil"/>
              <w:right w:val="nil"/>
            </w:tcBorders>
            <w:noWrap/>
            <w:tcMar>
              <w:top w:w="15" w:type="dxa"/>
              <w:left w:w="15" w:type="dxa"/>
              <w:bottom w:w="0" w:type="dxa"/>
              <w:right w:w="15" w:type="dxa"/>
            </w:tcMar>
            <w:vAlign w:val="center"/>
            <w:hideMark/>
          </w:tcPr>
          <w:p w14:paraId="66D2F7DC"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7,2%</w:t>
            </w:r>
          </w:p>
        </w:tc>
        <w:tc>
          <w:tcPr>
            <w:tcW w:w="1134" w:type="dxa"/>
            <w:gridSpan w:val="2"/>
            <w:tcBorders>
              <w:top w:val="nil"/>
              <w:left w:val="nil"/>
              <w:bottom w:val="nil"/>
              <w:right w:val="nil"/>
            </w:tcBorders>
            <w:noWrap/>
            <w:tcMar>
              <w:top w:w="15" w:type="dxa"/>
              <w:left w:w="15" w:type="dxa"/>
              <w:bottom w:w="0" w:type="dxa"/>
              <w:right w:w="15" w:type="dxa"/>
            </w:tcMar>
            <w:vAlign w:val="center"/>
            <w:hideMark/>
          </w:tcPr>
          <w:p w14:paraId="467BA51D" w14:textId="77777777" w:rsidR="0022419F" w:rsidRDefault="0022419F" w:rsidP="00234F3A">
            <w:pPr>
              <w:jc w:val="center"/>
              <w:rPr>
                <w:rFonts w:ascii="Calibri" w:hAnsi="Calibri" w:cs="Calibri"/>
                <w:i/>
                <w:iCs/>
                <w:color w:val="000000"/>
                <w:sz w:val="20"/>
                <w:szCs w:val="20"/>
              </w:rPr>
            </w:pPr>
            <w:r>
              <w:rPr>
                <w:rFonts w:ascii="Calibri" w:hAnsi="Calibri" w:cs="Calibri"/>
                <w:i/>
                <w:iCs/>
                <w:color w:val="000000"/>
                <w:sz w:val="20"/>
                <w:szCs w:val="20"/>
              </w:rPr>
              <w:t>0,3%</w:t>
            </w:r>
          </w:p>
        </w:tc>
      </w:tr>
      <w:tr w:rsidR="0022419F" w14:paraId="7B434F18" w14:textId="77777777" w:rsidTr="005C0E30">
        <w:trPr>
          <w:gridAfter w:val="1"/>
          <w:wAfter w:w="66" w:type="dxa"/>
          <w:trHeight w:val="283"/>
        </w:trPr>
        <w:tc>
          <w:tcPr>
            <w:tcW w:w="2005" w:type="dxa"/>
            <w:tcBorders>
              <w:top w:val="nil"/>
              <w:left w:val="nil"/>
              <w:bottom w:val="nil"/>
              <w:right w:val="nil"/>
            </w:tcBorders>
            <w:noWrap/>
            <w:tcMar>
              <w:top w:w="15" w:type="dxa"/>
              <w:left w:w="15" w:type="dxa"/>
              <w:bottom w:w="0" w:type="dxa"/>
              <w:right w:w="15" w:type="dxa"/>
            </w:tcMar>
            <w:vAlign w:val="center"/>
            <w:hideMark/>
          </w:tcPr>
          <w:p w14:paraId="37A37772"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Isole Marshall</w:t>
            </w:r>
          </w:p>
        </w:tc>
        <w:tc>
          <w:tcPr>
            <w:tcW w:w="1538" w:type="dxa"/>
            <w:tcBorders>
              <w:top w:val="nil"/>
              <w:left w:val="nil"/>
              <w:bottom w:val="nil"/>
              <w:right w:val="nil"/>
            </w:tcBorders>
            <w:noWrap/>
            <w:tcMar>
              <w:top w:w="15" w:type="dxa"/>
              <w:left w:w="15" w:type="dxa"/>
              <w:bottom w:w="0" w:type="dxa"/>
              <w:right w:w="15" w:type="dxa"/>
            </w:tcMar>
            <w:vAlign w:val="center"/>
            <w:hideMark/>
          </w:tcPr>
          <w:p w14:paraId="152A2550"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37.297.526</w:t>
            </w:r>
          </w:p>
        </w:tc>
        <w:tc>
          <w:tcPr>
            <w:tcW w:w="1700" w:type="dxa"/>
            <w:tcBorders>
              <w:top w:val="nil"/>
              <w:left w:val="nil"/>
              <w:bottom w:val="nil"/>
              <w:right w:val="nil"/>
            </w:tcBorders>
            <w:noWrap/>
            <w:tcMar>
              <w:top w:w="15" w:type="dxa"/>
              <w:left w:w="15" w:type="dxa"/>
              <w:bottom w:w="0" w:type="dxa"/>
              <w:right w:w="15" w:type="dxa"/>
            </w:tcMar>
            <w:vAlign w:val="center"/>
            <w:hideMark/>
          </w:tcPr>
          <w:p w14:paraId="0CE619D3"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99.590.320</w:t>
            </w:r>
          </w:p>
        </w:tc>
        <w:tc>
          <w:tcPr>
            <w:tcW w:w="1278" w:type="dxa"/>
            <w:tcBorders>
              <w:top w:val="nil"/>
              <w:left w:val="nil"/>
              <w:bottom w:val="nil"/>
              <w:right w:val="nil"/>
            </w:tcBorders>
            <w:noWrap/>
            <w:tcMar>
              <w:top w:w="15" w:type="dxa"/>
              <w:left w:w="15" w:type="dxa"/>
              <w:bottom w:w="0" w:type="dxa"/>
              <w:right w:w="15" w:type="dxa"/>
            </w:tcMar>
            <w:vAlign w:val="center"/>
            <w:hideMark/>
          </w:tcPr>
          <w:p w14:paraId="72796A1F"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3,6%</w:t>
            </w:r>
          </w:p>
        </w:tc>
        <w:tc>
          <w:tcPr>
            <w:tcW w:w="1134" w:type="dxa"/>
            <w:tcBorders>
              <w:top w:val="nil"/>
              <w:left w:val="nil"/>
              <w:bottom w:val="nil"/>
              <w:right w:val="nil"/>
            </w:tcBorders>
            <w:noWrap/>
            <w:tcMar>
              <w:top w:w="15" w:type="dxa"/>
              <w:left w:w="15" w:type="dxa"/>
              <w:bottom w:w="0" w:type="dxa"/>
              <w:right w:w="15" w:type="dxa"/>
            </w:tcMar>
            <w:vAlign w:val="center"/>
            <w:hideMark/>
          </w:tcPr>
          <w:p w14:paraId="36E9297D"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167,0%</w:t>
            </w:r>
          </w:p>
        </w:tc>
        <w:tc>
          <w:tcPr>
            <w:tcW w:w="1134" w:type="dxa"/>
            <w:gridSpan w:val="2"/>
            <w:tcBorders>
              <w:top w:val="nil"/>
              <w:left w:val="nil"/>
              <w:bottom w:val="nil"/>
              <w:right w:val="nil"/>
            </w:tcBorders>
            <w:noWrap/>
            <w:tcMar>
              <w:top w:w="15" w:type="dxa"/>
              <w:left w:w="15" w:type="dxa"/>
              <w:bottom w:w="0" w:type="dxa"/>
              <w:right w:w="15" w:type="dxa"/>
            </w:tcMar>
            <w:vAlign w:val="center"/>
            <w:hideMark/>
          </w:tcPr>
          <w:p w14:paraId="29E96E90" w14:textId="77777777" w:rsidR="0022419F" w:rsidRDefault="0022419F" w:rsidP="00234F3A">
            <w:pPr>
              <w:jc w:val="center"/>
              <w:rPr>
                <w:rFonts w:ascii="Calibri" w:hAnsi="Calibri" w:cs="Calibri"/>
                <w:i/>
                <w:iCs/>
                <w:color w:val="000000"/>
                <w:sz w:val="20"/>
                <w:szCs w:val="20"/>
              </w:rPr>
            </w:pPr>
            <w:r>
              <w:rPr>
                <w:rFonts w:ascii="Calibri" w:hAnsi="Calibri" w:cs="Calibri"/>
                <w:i/>
                <w:iCs/>
                <w:color w:val="000000"/>
                <w:sz w:val="20"/>
                <w:szCs w:val="20"/>
              </w:rPr>
              <w:t>2,2%</w:t>
            </w:r>
          </w:p>
        </w:tc>
      </w:tr>
      <w:tr w:rsidR="0022419F" w14:paraId="7910E131" w14:textId="77777777" w:rsidTr="005C0E30">
        <w:trPr>
          <w:gridAfter w:val="1"/>
          <w:wAfter w:w="66" w:type="dxa"/>
          <w:trHeight w:val="283"/>
        </w:trPr>
        <w:tc>
          <w:tcPr>
            <w:tcW w:w="2005" w:type="dxa"/>
            <w:tcBorders>
              <w:top w:val="nil"/>
              <w:left w:val="nil"/>
              <w:bottom w:val="nil"/>
              <w:right w:val="nil"/>
            </w:tcBorders>
            <w:noWrap/>
            <w:tcMar>
              <w:top w:w="15" w:type="dxa"/>
              <w:left w:w="15" w:type="dxa"/>
              <w:bottom w:w="0" w:type="dxa"/>
              <w:right w:w="15" w:type="dxa"/>
            </w:tcMar>
            <w:vAlign w:val="center"/>
            <w:hideMark/>
          </w:tcPr>
          <w:p w14:paraId="603E422E"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Polonia</w:t>
            </w:r>
          </w:p>
        </w:tc>
        <w:tc>
          <w:tcPr>
            <w:tcW w:w="1538" w:type="dxa"/>
            <w:tcBorders>
              <w:top w:val="nil"/>
              <w:left w:val="nil"/>
              <w:bottom w:val="nil"/>
              <w:right w:val="nil"/>
            </w:tcBorders>
            <w:noWrap/>
            <w:tcMar>
              <w:top w:w="15" w:type="dxa"/>
              <w:left w:w="15" w:type="dxa"/>
              <w:bottom w:w="0" w:type="dxa"/>
              <w:right w:w="15" w:type="dxa"/>
            </w:tcMar>
            <w:vAlign w:val="center"/>
            <w:hideMark/>
          </w:tcPr>
          <w:p w14:paraId="4F7DBF4B"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58.958.539</w:t>
            </w:r>
          </w:p>
        </w:tc>
        <w:tc>
          <w:tcPr>
            <w:tcW w:w="1700" w:type="dxa"/>
            <w:tcBorders>
              <w:top w:val="nil"/>
              <w:left w:val="nil"/>
              <w:bottom w:val="nil"/>
              <w:right w:val="nil"/>
            </w:tcBorders>
            <w:noWrap/>
            <w:tcMar>
              <w:top w:w="15" w:type="dxa"/>
              <w:left w:w="15" w:type="dxa"/>
              <w:bottom w:w="0" w:type="dxa"/>
              <w:right w:w="15" w:type="dxa"/>
            </w:tcMar>
            <w:vAlign w:val="center"/>
            <w:hideMark/>
          </w:tcPr>
          <w:p w14:paraId="26207F42"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85.435.127</w:t>
            </w:r>
          </w:p>
        </w:tc>
        <w:tc>
          <w:tcPr>
            <w:tcW w:w="1278" w:type="dxa"/>
            <w:tcBorders>
              <w:top w:val="nil"/>
              <w:left w:val="nil"/>
              <w:bottom w:val="nil"/>
              <w:right w:val="nil"/>
            </w:tcBorders>
            <w:noWrap/>
            <w:tcMar>
              <w:top w:w="15" w:type="dxa"/>
              <w:left w:w="15" w:type="dxa"/>
              <w:bottom w:w="0" w:type="dxa"/>
              <w:right w:w="15" w:type="dxa"/>
            </w:tcMar>
            <w:vAlign w:val="center"/>
            <w:hideMark/>
          </w:tcPr>
          <w:p w14:paraId="47BEC6BE"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3,1%</w:t>
            </w:r>
          </w:p>
        </w:tc>
        <w:tc>
          <w:tcPr>
            <w:tcW w:w="1134" w:type="dxa"/>
            <w:tcBorders>
              <w:top w:val="nil"/>
              <w:left w:val="nil"/>
              <w:bottom w:val="nil"/>
              <w:right w:val="nil"/>
            </w:tcBorders>
            <w:noWrap/>
            <w:tcMar>
              <w:top w:w="15" w:type="dxa"/>
              <w:left w:w="15" w:type="dxa"/>
              <w:bottom w:w="0" w:type="dxa"/>
              <w:right w:w="15" w:type="dxa"/>
            </w:tcMar>
            <w:vAlign w:val="center"/>
            <w:hideMark/>
          </w:tcPr>
          <w:p w14:paraId="7CDB309A"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44,9%</w:t>
            </w:r>
          </w:p>
        </w:tc>
        <w:tc>
          <w:tcPr>
            <w:tcW w:w="1134" w:type="dxa"/>
            <w:gridSpan w:val="2"/>
            <w:tcBorders>
              <w:top w:val="nil"/>
              <w:left w:val="nil"/>
              <w:bottom w:val="nil"/>
              <w:right w:val="nil"/>
            </w:tcBorders>
            <w:noWrap/>
            <w:tcMar>
              <w:top w:w="15" w:type="dxa"/>
              <w:left w:w="15" w:type="dxa"/>
              <w:bottom w:w="0" w:type="dxa"/>
              <w:right w:w="15" w:type="dxa"/>
            </w:tcMar>
            <w:vAlign w:val="center"/>
            <w:hideMark/>
          </w:tcPr>
          <w:p w14:paraId="7FE46C04" w14:textId="77777777" w:rsidR="0022419F" w:rsidRDefault="0022419F" w:rsidP="00234F3A">
            <w:pPr>
              <w:jc w:val="center"/>
              <w:rPr>
                <w:rFonts w:ascii="Calibri" w:hAnsi="Calibri" w:cs="Calibri"/>
                <w:i/>
                <w:iCs/>
                <w:color w:val="000000"/>
                <w:sz w:val="20"/>
                <w:szCs w:val="20"/>
              </w:rPr>
            </w:pPr>
            <w:r>
              <w:rPr>
                <w:rFonts w:ascii="Calibri" w:hAnsi="Calibri" w:cs="Calibri"/>
                <w:i/>
                <w:iCs/>
                <w:color w:val="000000"/>
                <w:sz w:val="20"/>
                <w:szCs w:val="20"/>
              </w:rPr>
              <w:t>0,9%</w:t>
            </w:r>
          </w:p>
        </w:tc>
      </w:tr>
      <w:tr w:rsidR="0022419F" w14:paraId="212F5526" w14:textId="77777777" w:rsidTr="005C0E30">
        <w:trPr>
          <w:gridAfter w:val="1"/>
          <w:wAfter w:w="66" w:type="dxa"/>
          <w:trHeight w:val="283"/>
        </w:trPr>
        <w:tc>
          <w:tcPr>
            <w:tcW w:w="2005" w:type="dxa"/>
            <w:tcBorders>
              <w:top w:val="nil"/>
              <w:left w:val="nil"/>
              <w:bottom w:val="nil"/>
              <w:right w:val="nil"/>
            </w:tcBorders>
            <w:noWrap/>
            <w:tcMar>
              <w:top w:w="15" w:type="dxa"/>
              <w:left w:w="15" w:type="dxa"/>
              <w:bottom w:w="0" w:type="dxa"/>
              <w:right w:w="15" w:type="dxa"/>
            </w:tcMar>
            <w:vAlign w:val="center"/>
            <w:hideMark/>
          </w:tcPr>
          <w:p w14:paraId="179C0BDD"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Belgio</w:t>
            </w:r>
          </w:p>
        </w:tc>
        <w:tc>
          <w:tcPr>
            <w:tcW w:w="1538" w:type="dxa"/>
            <w:tcBorders>
              <w:top w:val="nil"/>
              <w:left w:val="nil"/>
              <w:bottom w:val="nil"/>
              <w:right w:val="nil"/>
            </w:tcBorders>
            <w:noWrap/>
            <w:tcMar>
              <w:top w:w="15" w:type="dxa"/>
              <w:left w:w="15" w:type="dxa"/>
              <w:bottom w:w="0" w:type="dxa"/>
              <w:right w:w="15" w:type="dxa"/>
            </w:tcMar>
            <w:vAlign w:val="center"/>
            <w:hideMark/>
          </w:tcPr>
          <w:p w14:paraId="587FE8E3"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65.822.041</w:t>
            </w:r>
          </w:p>
        </w:tc>
        <w:tc>
          <w:tcPr>
            <w:tcW w:w="1700" w:type="dxa"/>
            <w:tcBorders>
              <w:top w:val="nil"/>
              <w:left w:val="nil"/>
              <w:bottom w:val="nil"/>
              <w:right w:val="nil"/>
            </w:tcBorders>
            <w:noWrap/>
            <w:tcMar>
              <w:top w:w="15" w:type="dxa"/>
              <w:left w:w="15" w:type="dxa"/>
              <w:bottom w:w="0" w:type="dxa"/>
              <w:right w:w="15" w:type="dxa"/>
            </w:tcMar>
            <w:vAlign w:val="center"/>
            <w:hideMark/>
          </w:tcPr>
          <w:p w14:paraId="3E1630DF"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74.496.374</w:t>
            </w:r>
          </w:p>
        </w:tc>
        <w:tc>
          <w:tcPr>
            <w:tcW w:w="1278" w:type="dxa"/>
            <w:tcBorders>
              <w:top w:val="nil"/>
              <w:left w:val="nil"/>
              <w:bottom w:val="nil"/>
              <w:right w:val="nil"/>
            </w:tcBorders>
            <w:noWrap/>
            <w:tcMar>
              <w:top w:w="15" w:type="dxa"/>
              <w:left w:w="15" w:type="dxa"/>
              <w:bottom w:w="0" w:type="dxa"/>
              <w:right w:w="15" w:type="dxa"/>
            </w:tcMar>
            <w:vAlign w:val="center"/>
            <w:hideMark/>
          </w:tcPr>
          <w:p w14:paraId="745D9DC5"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2,7%</w:t>
            </w:r>
          </w:p>
        </w:tc>
        <w:tc>
          <w:tcPr>
            <w:tcW w:w="1134" w:type="dxa"/>
            <w:tcBorders>
              <w:top w:val="nil"/>
              <w:left w:val="nil"/>
              <w:bottom w:val="nil"/>
              <w:right w:val="nil"/>
            </w:tcBorders>
            <w:noWrap/>
            <w:tcMar>
              <w:top w:w="15" w:type="dxa"/>
              <w:left w:w="15" w:type="dxa"/>
              <w:bottom w:w="0" w:type="dxa"/>
              <w:right w:w="15" w:type="dxa"/>
            </w:tcMar>
            <w:vAlign w:val="center"/>
            <w:hideMark/>
          </w:tcPr>
          <w:p w14:paraId="467A88B3"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13,2%</w:t>
            </w:r>
          </w:p>
        </w:tc>
        <w:tc>
          <w:tcPr>
            <w:tcW w:w="1134" w:type="dxa"/>
            <w:gridSpan w:val="2"/>
            <w:tcBorders>
              <w:top w:val="nil"/>
              <w:left w:val="nil"/>
              <w:bottom w:val="nil"/>
              <w:right w:val="nil"/>
            </w:tcBorders>
            <w:noWrap/>
            <w:tcMar>
              <w:top w:w="15" w:type="dxa"/>
              <w:left w:w="15" w:type="dxa"/>
              <w:bottom w:w="0" w:type="dxa"/>
              <w:right w:w="15" w:type="dxa"/>
            </w:tcMar>
            <w:vAlign w:val="center"/>
            <w:hideMark/>
          </w:tcPr>
          <w:p w14:paraId="65DB17DD" w14:textId="77777777" w:rsidR="0022419F" w:rsidRDefault="0022419F" w:rsidP="00234F3A">
            <w:pPr>
              <w:jc w:val="center"/>
              <w:rPr>
                <w:rFonts w:ascii="Calibri" w:hAnsi="Calibri" w:cs="Calibri"/>
                <w:i/>
                <w:iCs/>
                <w:color w:val="000000"/>
                <w:sz w:val="20"/>
                <w:szCs w:val="20"/>
              </w:rPr>
            </w:pPr>
            <w:r>
              <w:rPr>
                <w:rFonts w:ascii="Calibri" w:hAnsi="Calibri" w:cs="Calibri"/>
                <w:i/>
                <w:iCs/>
                <w:color w:val="000000"/>
                <w:sz w:val="20"/>
                <w:szCs w:val="20"/>
              </w:rPr>
              <w:t>0,3%</w:t>
            </w:r>
          </w:p>
        </w:tc>
      </w:tr>
      <w:tr w:rsidR="0022419F" w14:paraId="48201BF4" w14:textId="77777777" w:rsidTr="005C0E30">
        <w:trPr>
          <w:gridAfter w:val="1"/>
          <w:wAfter w:w="66" w:type="dxa"/>
          <w:trHeight w:val="283"/>
        </w:trPr>
        <w:tc>
          <w:tcPr>
            <w:tcW w:w="2005" w:type="dxa"/>
            <w:tcBorders>
              <w:top w:val="nil"/>
              <w:left w:val="nil"/>
              <w:bottom w:val="nil"/>
              <w:right w:val="nil"/>
            </w:tcBorders>
            <w:noWrap/>
            <w:tcMar>
              <w:top w:w="15" w:type="dxa"/>
              <w:left w:w="15" w:type="dxa"/>
              <w:bottom w:w="0" w:type="dxa"/>
              <w:right w:w="15" w:type="dxa"/>
            </w:tcMar>
            <w:vAlign w:val="center"/>
            <w:hideMark/>
          </w:tcPr>
          <w:p w14:paraId="2FE260CE"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Svizzera</w:t>
            </w:r>
          </w:p>
        </w:tc>
        <w:tc>
          <w:tcPr>
            <w:tcW w:w="1538" w:type="dxa"/>
            <w:tcBorders>
              <w:top w:val="nil"/>
              <w:left w:val="nil"/>
              <w:bottom w:val="nil"/>
              <w:right w:val="nil"/>
            </w:tcBorders>
            <w:noWrap/>
            <w:tcMar>
              <w:top w:w="15" w:type="dxa"/>
              <w:left w:w="15" w:type="dxa"/>
              <w:bottom w:w="0" w:type="dxa"/>
              <w:right w:w="15" w:type="dxa"/>
            </w:tcMar>
            <w:vAlign w:val="center"/>
            <w:hideMark/>
          </w:tcPr>
          <w:p w14:paraId="1AA89C0D"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72.880.699</w:t>
            </w:r>
          </w:p>
        </w:tc>
        <w:tc>
          <w:tcPr>
            <w:tcW w:w="1700" w:type="dxa"/>
            <w:tcBorders>
              <w:top w:val="nil"/>
              <w:left w:val="nil"/>
              <w:bottom w:val="nil"/>
              <w:right w:val="nil"/>
            </w:tcBorders>
            <w:noWrap/>
            <w:tcMar>
              <w:top w:w="15" w:type="dxa"/>
              <w:left w:w="15" w:type="dxa"/>
              <w:bottom w:w="0" w:type="dxa"/>
              <w:right w:w="15" w:type="dxa"/>
            </w:tcMar>
            <w:vAlign w:val="center"/>
            <w:hideMark/>
          </w:tcPr>
          <w:p w14:paraId="517750B3"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71.637.388</w:t>
            </w:r>
          </w:p>
        </w:tc>
        <w:tc>
          <w:tcPr>
            <w:tcW w:w="1278" w:type="dxa"/>
            <w:tcBorders>
              <w:top w:val="nil"/>
              <w:left w:val="nil"/>
              <w:bottom w:val="nil"/>
              <w:right w:val="nil"/>
            </w:tcBorders>
            <w:noWrap/>
            <w:tcMar>
              <w:top w:w="15" w:type="dxa"/>
              <w:left w:w="15" w:type="dxa"/>
              <w:bottom w:w="0" w:type="dxa"/>
              <w:right w:w="15" w:type="dxa"/>
            </w:tcMar>
            <w:vAlign w:val="center"/>
            <w:hideMark/>
          </w:tcPr>
          <w:p w14:paraId="695FC2C9"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2,6%</w:t>
            </w:r>
          </w:p>
        </w:tc>
        <w:tc>
          <w:tcPr>
            <w:tcW w:w="1134" w:type="dxa"/>
            <w:tcBorders>
              <w:top w:val="nil"/>
              <w:left w:val="nil"/>
              <w:bottom w:val="nil"/>
              <w:right w:val="nil"/>
            </w:tcBorders>
            <w:noWrap/>
            <w:tcMar>
              <w:top w:w="15" w:type="dxa"/>
              <w:left w:w="15" w:type="dxa"/>
              <w:bottom w:w="0" w:type="dxa"/>
              <w:right w:w="15" w:type="dxa"/>
            </w:tcMar>
            <w:vAlign w:val="center"/>
            <w:hideMark/>
          </w:tcPr>
          <w:p w14:paraId="19C0781B"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-1,7%</w:t>
            </w:r>
          </w:p>
        </w:tc>
        <w:tc>
          <w:tcPr>
            <w:tcW w:w="1134" w:type="dxa"/>
            <w:gridSpan w:val="2"/>
            <w:tcBorders>
              <w:top w:val="nil"/>
              <w:left w:val="nil"/>
              <w:bottom w:val="nil"/>
              <w:right w:val="nil"/>
            </w:tcBorders>
            <w:noWrap/>
            <w:tcMar>
              <w:top w:w="15" w:type="dxa"/>
              <w:left w:w="15" w:type="dxa"/>
              <w:bottom w:w="0" w:type="dxa"/>
              <w:right w:w="15" w:type="dxa"/>
            </w:tcMar>
            <w:vAlign w:val="center"/>
            <w:hideMark/>
          </w:tcPr>
          <w:p w14:paraId="07CC6A8B" w14:textId="77777777" w:rsidR="0022419F" w:rsidRDefault="0022419F" w:rsidP="00234F3A">
            <w:pPr>
              <w:jc w:val="center"/>
              <w:rPr>
                <w:rFonts w:ascii="Calibri" w:hAnsi="Calibri" w:cs="Calibri"/>
                <w:i/>
                <w:iCs/>
                <w:color w:val="000000"/>
                <w:sz w:val="20"/>
                <w:szCs w:val="20"/>
              </w:rPr>
            </w:pPr>
            <w:r>
              <w:rPr>
                <w:rFonts w:ascii="Calibri" w:hAnsi="Calibri" w:cs="Calibri"/>
                <w:i/>
                <w:iCs/>
                <w:color w:val="000000"/>
                <w:sz w:val="20"/>
                <w:szCs w:val="20"/>
              </w:rPr>
              <w:t>0,0%</w:t>
            </w:r>
          </w:p>
        </w:tc>
      </w:tr>
      <w:tr w:rsidR="0022419F" w14:paraId="63D6F360" w14:textId="77777777" w:rsidTr="005C0E30">
        <w:trPr>
          <w:gridAfter w:val="1"/>
          <w:wAfter w:w="66" w:type="dxa"/>
          <w:trHeight w:val="283"/>
        </w:trPr>
        <w:tc>
          <w:tcPr>
            <w:tcW w:w="2005" w:type="dxa"/>
            <w:tcBorders>
              <w:top w:val="nil"/>
              <w:left w:val="nil"/>
              <w:bottom w:val="nil"/>
              <w:right w:val="nil"/>
            </w:tcBorders>
            <w:noWrap/>
            <w:tcMar>
              <w:top w:w="15" w:type="dxa"/>
              <w:left w:w="15" w:type="dxa"/>
              <w:bottom w:w="0" w:type="dxa"/>
              <w:right w:w="15" w:type="dxa"/>
            </w:tcMar>
            <w:vAlign w:val="center"/>
            <w:hideMark/>
          </w:tcPr>
          <w:p w14:paraId="12DD4818"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Paesi Bassi</w:t>
            </w:r>
          </w:p>
        </w:tc>
        <w:tc>
          <w:tcPr>
            <w:tcW w:w="1538" w:type="dxa"/>
            <w:tcBorders>
              <w:top w:val="nil"/>
              <w:left w:val="nil"/>
              <w:bottom w:val="nil"/>
              <w:right w:val="nil"/>
            </w:tcBorders>
            <w:noWrap/>
            <w:tcMar>
              <w:top w:w="15" w:type="dxa"/>
              <w:left w:w="15" w:type="dxa"/>
              <w:bottom w:w="0" w:type="dxa"/>
              <w:right w:w="15" w:type="dxa"/>
            </w:tcMar>
            <w:vAlign w:val="center"/>
            <w:hideMark/>
          </w:tcPr>
          <w:p w14:paraId="4E237C23"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58.425.726</w:t>
            </w:r>
          </w:p>
        </w:tc>
        <w:tc>
          <w:tcPr>
            <w:tcW w:w="1700" w:type="dxa"/>
            <w:tcBorders>
              <w:top w:val="nil"/>
              <w:left w:val="nil"/>
              <w:bottom w:val="nil"/>
              <w:right w:val="nil"/>
            </w:tcBorders>
            <w:noWrap/>
            <w:tcMar>
              <w:top w:w="15" w:type="dxa"/>
              <w:left w:w="15" w:type="dxa"/>
              <w:bottom w:w="0" w:type="dxa"/>
              <w:right w:w="15" w:type="dxa"/>
            </w:tcMar>
            <w:vAlign w:val="center"/>
            <w:hideMark/>
          </w:tcPr>
          <w:p w14:paraId="425E2621"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68.854.690</w:t>
            </w:r>
          </w:p>
        </w:tc>
        <w:tc>
          <w:tcPr>
            <w:tcW w:w="1278" w:type="dxa"/>
            <w:tcBorders>
              <w:top w:val="nil"/>
              <w:left w:val="nil"/>
              <w:bottom w:val="nil"/>
              <w:right w:val="nil"/>
            </w:tcBorders>
            <w:noWrap/>
            <w:tcMar>
              <w:top w:w="15" w:type="dxa"/>
              <w:left w:w="15" w:type="dxa"/>
              <w:bottom w:w="0" w:type="dxa"/>
              <w:right w:w="15" w:type="dxa"/>
            </w:tcMar>
            <w:vAlign w:val="center"/>
            <w:hideMark/>
          </w:tcPr>
          <w:p w14:paraId="30E98A8B"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2,5%</w:t>
            </w:r>
          </w:p>
        </w:tc>
        <w:tc>
          <w:tcPr>
            <w:tcW w:w="1134" w:type="dxa"/>
            <w:tcBorders>
              <w:top w:val="nil"/>
              <w:left w:val="nil"/>
              <w:bottom w:val="nil"/>
              <w:right w:val="nil"/>
            </w:tcBorders>
            <w:noWrap/>
            <w:tcMar>
              <w:top w:w="15" w:type="dxa"/>
              <w:left w:w="15" w:type="dxa"/>
              <w:bottom w:w="0" w:type="dxa"/>
              <w:right w:w="15" w:type="dxa"/>
            </w:tcMar>
            <w:vAlign w:val="center"/>
            <w:hideMark/>
          </w:tcPr>
          <w:p w14:paraId="0A74C613"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17,8%</w:t>
            </w:r>
          </w:p>
        </w:tc>
        <w:tc>
          <w:tcPr>
            <w:tcW w:w="1134" w:type="dxa"/>
            <w:gridSpan w:val="2"/>
            <w:tcBorders>
              <w:top w:val="nil"/>
              <w:left w:val="nil"/>
              <w:bottom w:val="nil"/>
              <w:right w:val="nil"/>
            </w:tcBorders>
            <w:noWrap/>
            <w:tcMar>
              <w:top w:w="15" w:type="dxa"/>
              <w:left w:w="15" w:type="dxa"/>
              <w:bottom w:w="0" w:type="dxa"/>
              <w:right w:w="15" w:type="dxa"/>
            </w:tcMar>
            <w:vAlign w:val="center"/>
            <w:hideMark/>
          </w:tcPr>
          <w:p w14:paraId="3CDF76A2" w14:textId="77777777" w:rsidR="0022419F" w:rsidRDefault="0022419F" w:rsidP="00234F3A">
            <w:pPr>
              <w:jc w:val="center"/>
              <w:rPr>
                <w:rFonts w:ascii="Calibri" w:hAnsi="Calibri" w:cs="Calibri"/>
                <w:i/>
                <w:iCs/>
                <w:color w:val="000000"/>
                <w:sz w:val="20"/>
                <w:szCs w:val="20"/>
              </w:rPr>
            </w:pPr>
            <w:r>
              <w:rPr>
                <w:rFonts w:ascii="Calibri" w:hAnsi="Calibri" w:cs="Calibri"/>
                <w:i/>
                <w:iCs/>
                <w:color w:val="000000"/>
                <w:sz w:val="20"/>
                <w:szCs w:val="20"/>
              </w:rPr>
              <w:t>0,4%</w:t>
            </w:r>
          </w:p>
        </w:tc>
      </w:tr>
      <w:tr w:rsidR="0022419F" w14:paraId="4E6CBD0A" w14:textId="77777777" w:rsidTr="005C0E30">
        <w:trPr>
          <w:gridAfter w:val="1"/>
          <w:wAfter w:w="66" w:type="dxa"/>
          <w:trHeight w:val="283"/>
        </w:trPr>
        <w:tc>
          <w:tcPr>
            <w:tcW w:w="2005" w:type="dxa"/>
            <w:tcBorders>
              <w:top w:val="nil"/>
              <w:left w:val="nil"/>
              <w:bottom w:val="nil"/>
              <w:right w:val="nil"/>
            </w:tcBorders>
            <w:noWrap/>
            <w:tcMar>
              <w:top w:w="15" w:type="dxa"/>
              <w:left w:w="15" w:type="dxa"/>
              <w:bottom w:w="0" w:type="dxa"/>
              <w:right w:w="15" w:type="dxa"/>
            </w:tcMar>
            <w:vAlign w:val="center"/>
            <w:hideMark/>
          </w:tcPr>
          <w:p w14:paraId="48439180"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Malta</w:t>
            </w:r>
          </w:p>
        </w:tc>
        <w:tc>
          <w:tcPr>
            <w:tcW w:w="1538" w:type="dxa"/>
            <w:tcBorders>
              <w:top w:val="nil"/>
              <w:left w:val="nil"/>
              <w:bottom w:val="nil"/>
              <w:right w:val="nil"/>
            </w:tcBorders>
            <w:noWrap/>
            <w:tcMar>
              <w:top w:w="15" w:type="dxa"/>
              <w:left w:w="15" w:type="dxa"/>
              <w:bottom w:w="0" w:type="dxa"/>
              <w:right w:w="15" w:type="dxa"/>
            </w:tcMar>
            <w:vAlign w:val="center"/>
            <w:hideMark/>
          </w:tcPr>
          <w:p w14:paraId="6331BD5B"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12.697.118</w:t>
            </w:r>
          </w:p>
        </w:tc>
        <w:tc>
          <w:tcPr>
            <w:tcW w:w="1700" w:type="dxa"/>
            <w:tcBorders>
              <w:top w:val="nil"/>
              <w:left w:val="nil"/>
              <w:bottom w:val="nil"/>
              <w:right w:val="nil"/>
            </w:tcBorders>
            <w:noWrap/>
            <w:tcMar>
              <w:top w:w="15" w:type="dxa"/>
              <w:left w:w="15" w:type="dxa"/>
              <w:bottom w:w="0" w:type="dxa"/>
              <w:right w:w="15" w:type="dxa"/>
            </w:tcMar>
            <w:vAlign w:val="center"/>
            <w:hideMark/>
          </w:tcPr>
          <w:p w14:paraId="063A2E71"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61.185.573</w:t>
            </w:r>
          </w:p>
        </w:tc>
        <w:tc>
          <w:tcPr>
            <w:tcW w:w="1278" w:type="dxa"/>
            <w:tcBorders>
              <w:top w:val="nil"/>
              <w:left w:val="nil"/>
              <w:bottom w:val="nil"/>
              <w:right w:val="nil"/>
            </w:tcBorders>
            <w:noWrap/>
            <w:tcMar>
              <w:top w:w="15" w:type="dxa"/>
              <w:left w:w="15" w:type="dxa"/>
              <w:bottom w:w="0" w:type="dxa"/>
              <w:right w:w="15" w:type="dxa"/>
            </w:tcMar>
            <w:vAlign w:val="center"/>
            <w:hideMark/>
          </w:tcPr>
          <w:p w14:paraId="01146B7D"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2,2%</w:t>
            </w:r>
          </w:p>
        </w:tc>
        <w:tc>
          <w:tcPr>
            <w:tcW w:w="1134" w:type="dxa"/>
            <w:tcBorders>
              <w:top w:val="nil"/>
              <w:left w:val="nil"/>
              <w:bottom w:val="nil"/>
              <w:right w:val="nil"/>
            </w:tcBorders>
            <w:noWrap/>
            <w:tcMar>
              <w:top w:w="15" w:type="dxa"/>
              <w:left w:w="15" w:type="dxa"/>
              <w:bottom w:w="0" w:type="dxa"/>
              <w:right w:w="15" w:type="dxa"/>
            </w:tcMar>
            <w:vAlign w:val="center"/>
            <w:hideMark/>
          </w:tcPr>
          <w:p w14:paraId="076C4400"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381,9%</w:t>
            </w:r>
          </w:p>
        </w:tc>
        <w:tc>
          <w:tcPr>
            <w:tcW w:w="1134" w:type="dxa"/>
            <w:gridSpan w:val="2"/>
            <w:tcBorders>
              <w:top w:val="nil"/>
              <w:left w:val="nil"/>
              <w:bottom w:val="nil"/>
              <w:right w:val="nil"/>
            </w:tcBorders>
            <w:noWrap/>
            <w:tcMar>
              <w:top w:w="15" w:type="dxa"/>
              <w:left w:w="15" w:type="dxa"/>
              <w:bottom w:w="0" w:type="dxa"/>
              <w:right w:w="15" w:type="dxa"/>
            </w:tcMar>
            <w:vAlign w:val="center"/>
            <w:hideMark/>
          </w:tcPr>
          <w:p w14:paraId="5F796035" w14:textId="77777777" w:rsidR="0022419F" w:rsidRDefault="0022419F" w:rsidP="00234F3A">
            <w:pPr>
              <w:jc w:val="center"/>
              <w:rPr>
                <w:rFonts w:ascii="Calibri" w:hAnsi="Calibri" w:cs="Calibri"/>
                <w:i/>
                <w:iCs/>
                <w:color w:val="000000"/>
                <w:sz w:val="20"/>
                <w:szCs w:val="20"/>
              </w:rPr>
            </w:pPr>
            <w:r>
              <w:rPr>
                <w:rFonts w:ascii="Calibri" w:hAnsi="Calibri" w:cs="Calibri"/>
                <w:i/>
                <w:iCs/>
                <w:color w:val="000000"/>
                <w:sz w:val="20"/>
                <w:szCs w:val="20"/>
              </w:rPr>
              <w:t>1,7%</w:t>
            </w:r>
          </w:p>
        </w:tc>
      </w:tr>
      <w:tr w:rsidR="0022419F" w14:paraId="613A4FD4" w14:textId="77777777" w:rsidTr="005C0E30">
        <w:trPr>
          <w:gridAfter w:val="1"/>
          <w:wAfter w:w="66" w:type="dxa"/>
          <w:trHeight w:val="283"/>
        </w:trPr>
        <w:tc>
          <w:tcPr>
            <w:tcW w:w="2005" w:type="dxa"/>
            <w:tcBorders>
              <w:top w:val="nil"/>
              <w:left w:val="nil"/>
              <w:bottom w:val="nil"/>
              <w:right w:val="nil"/>
            </w:tcBorders>
            <w:noWrap/>
            <w:tcMar>
              <w:top w:w="15" w:type="dxa"/>
              <w:left w:w="15" w:type="dxa"/>
              <w:bottom w:w="0" w:type="dxa"/>
              <w:right w:w="15" w:type="dxa"/>
            </w:tcMar>
            <w:vAlign w:val="center"/>
            <w:hideMark/>
          </w:tcPr>
          <w:p w14:paraId="3C9CFA74"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Austria</w:t>
            </w:r>
          </w:p>
        </w:tc>
        <w:tc>
          <w:tcPr>
            <w:tcW w:w="1538" w:type="dxa"/>
            <w:tcBorders>
              <w:top w:val="nil"/>
              <w:left w:val="nil"/>
              <w:bottom w:val="nil"/>
              <w:right w:val="nil"/>
            </w:tcBorders>
            <w:noWrap/>
            <w:tcMar>
              <w:top w:w="15" w:type="dxa"/>
              <w:left w:w="15" w:type="dxa"/>
              <w:bottom w:w="0" w:type="dxa"/>
              <w:right w:w="15" w:type="dxa"/>
            </w:tcMar>
            <w:vAlign w:val="center"/>
            <w:hideMark/>
          </w:tcPr>
          <w:p w14:paraId="6D411B77"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36.656.418</w:t>
            </w:r>
          </w:p>
        </w:tc>
        <w:tc>
          <w:tcPr>
            <w:tcW w:w="1700" w:type="dxa"/>
            <w:tcBorders>
              <w:top w:val="nil"/>
              <w:left w:val="nil"/>
              <w:bottom w:val="nil"/>
              <w:right w:val="nil"/>
            </w:tcBorders>
            <w:noWrap/>
            <w:tcMar>
              <w:top w:w="15" w:type="dxa"/>
              <w:left w:w="15" w:type="dxa"/>
              <w:bottom w:w="0" w:type="dxa"/>
              <w:right w:w="15" w:type="dxa"/>
            </w:tcMar>
            <w:vAlign w:val="center"/>
            <w:hideMark/>
          </w:tcPr>
          <w:p w14:paraId="75C79093"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56.132.520</w:t>
            </w:r>
          </w:p>
        </w:tc>
        <w:tc>
          <w:tcPr>
            <w:tcW w:w="1278" w:type="dxa"/>
            <w:tcBorders>
              <w:top w:val="nil"/>
              <w:left w:val="nil"/>
              <w:bottom w:val="nil"/>
              <w:right w:val="nil"/>
            </w:tcBorders>
            <w:noWrap/>
            <w:tcMar>
              <w:top w:w="15" w:type="dxa"/>
              <w:left w:w="15" w:type="dxa"/>
              <w:bottom w:w="0" w:type="dxa"/>
              <w:right w:w="15" w:type="dxa"/>
            </w:tcMar>
            <w:vAlign w:val="center"/>
            <w:hideMark/>
          </w:tcPr>
          <w:p w14:paraId="04024A6C"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2,0%</w:t>
            </w:r>
          </w:p>
        </w:tc>
        <w:tc>
          <w:tcPr>
            <w:tcW w:w="1134" w:type="dxa"/>
            <w:tcBorders>
              <w:top w:val="nil"/>
              <w:left w:val="nil"/>
              <w:bottom w:val="nil"/>
              <w:right w:val="nil"/>
            </w:tcBorders>
            <w:noWrap/>
            <w:tcMar>
              <w:top w:w="15" w:type="dxa"/>
              <w:left w:w="15" w:type="dxa"/>
              <w:bottom w:w="0" w:type="dxa"/>
              <w:right w:w="15" w:type="dxa"/>
            </w:tcMar>
            <w:vAlign w:val="center"/>
            <w:hideMark/>
          </w:tcPr>
          <w:p w14:paraId="66EDBDD1"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53,1%</w:t>
            </w:r>
          </w:p>
        </w:tc>
        <w:tc>
          <w:tcPr>
            <w:tcW w:w="1134" w:type="dxa"/>
            <w:gridSpan w:val="2"/>
            <w:tcBorders>
              <w:top w:val="nil"/>
              <w:left w:val="nil"/>
              <w:bottom w:val="nil"/>
              <w:right w:val="nil"/>
            </w:tcBorders>
            <w:noWrap/>
            <w:tcMar>
              <w:top w:w="15" w:type="dxa"/>
              <w:left w:w="15" w:type="dxa"/>
              <w:bottom w:w="0" w:type="dxa"/>
              <w:right w:w="15" w:type="dxa"/>
            </w:tcMar>
            <w:vAlign w:val="center"/>
            <w:hideMark/>
          </w:tcPr>
          <w:p w14:paraId="4997D7B0" w14:textId="77777777" w:rsidR="0022419F" w:rsidRDefault="0022419F" w:rsidP="00234F3A">
            <w:pPr>
              <w:jc w:val="center"/>
              <w:rPr>
                <w:rFonts w:ascii="Calibri" w:hAnsi="Calibri" w:cs="Calibri"/>
                <w:i/>
                <w:iCs/>
                <w:color w:val="000000"/>
                <w:sz w:val="20"/>
                <w:szCs w:val="20"/>
              </w:rPr>
            </w:pPr>
            <w:r>
              <w:rPr>
                <w:rFonts w:ascii="Calibri" w:hAnsi="Calibri" w:cs="Calibri"/>
                <w:i/>
                <w:iCs/>
                <w:color w:val="000000"/>
                <w:sz w:val="20"/>
                <w:szCs w:val="20"/>
              </w:rPr>
              <w:t>0,7%</w:t>
            </w:r>
          </w:p>
        </w:tc>
      </w:tr>
      <w:tr w:rsidR="0022419F" w14:paraId="42F09636" w14:textId="77777777" w:rsidTr="005C0E30">
        <w:trPr>
          <w:gridAfter w:val="1"/>
          <w:wAfter w:w="66" w:type="dxa"/>
          <w:trHeight w:val="283"/>
        </w:trPr>
        <w:tc>
          <w:tcPr>
            <w:tcW w:w="2005" w:type="dxa"/>
            <w:tcBorders>
              <w:top w:val="nil"/>
              <w:left w:val="nil"/>
              <w:bottom w:val="nil"/>
              <w:right w:val="nil"/>
            </w:tcBorders>
            <w:noWrap/>
            <w:tcMar>
              <w:top w:w="15" w:type="dxa"/>
              <w:left w:w="15" w:type="dxa"/>
              <w:bottom w:w="0" w:type="dxa"/>
              <w:right w:w="15" w:type="dxa"/>
            </w:tcMar>
            <w:vAlign w:val="center"/>
            <w:hideMark/>
          </w:tcPr>
          <w:p w14:paraId="15157081"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Messico</w:t>
            </w:r>
          </w:p>
        </w:tc>
        <w:tc>
          <w:tcPr>
            <w:tcW w:w="1538" w:type="dxa"/>
            <w:tcBorders>
              <w:top w:val="nil"/>
              <w:left w:val="nil"/>
              <w:bottom w:val="nil"/>
              <w:right w:val="nil"/>
            </w:tcBorders>
            <w:noWrap/>
            <w:tcMar>
              <w:top w:w="15" w:type="dxa"/>
              <w:left w:w="15" w:type="dxa"/>
              <w:bottom w:w="0" w:type="dxa"/>
              <w:right w:w="15" w:type="dxa"/>
            </w:tcMar>
            <w:vAlign w:val="center"/>
            <w:hideMark/>
          </w:tcPr>
          <w:p w14:paraId="7289BB55"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84.401.581</w:t>
            </w:r>
          </w:p>
        </w:tc>
        <w:tc>
          <w:tcPr>
            <w:tcW w:w="1700" w:type="dxa"/>
            <w:tcBorders>
              <w:top w:val="nil"/>
              <w:left w:val="nil"/>
              <w:bottom w:val="nil"/>
              <w:right w:val="nil"/>
            </w:tcBorders>
            <w:noWrap/>
            <w:tcMar>
              <w:top w:w="15" w:type="dxa"/>
              <w:left w:w="15" w:type="dxa"/>
              <w:bottom w:w="0" w:type="dxa"/>
              <w:right w:w="15" w:type="dxa"/>
            </w:tcMar>
            <w:vAlign w:val="center"/>
            <w:hideMark/>
          </w:tcPr>
          <w:p w14:paraId="28E4AE1B"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47.496.009</w:t>
            </w:r>
          </w:p>
        </w:tc>
        <w:tc>
          <w:tcPr>
            <w:tcW w:w="1278" w:type="dxa"/>
            <w:tcBorders>
              <w:top w:val="nil"/>
              <w:left w:val="nil"/>
              <w:bottom w:val="nil"/>
              <w:right w:val="nil"/>
            </w:tcBorders>
            <w:noWrap/>
            <w:tcMar>
              <w:top w:w="15" w:type="dxa"/>
              <w:left w:w="15" w:type="dxa"/>
              <w:bottom w:w="0" w:type="dxa"/>
              <w:right w:w="15" w:type="dxa"/>
            </w:tcMar>
            <w:vAlign w:val="center"/>
            <w:hideMark/>
          </w:tcPr>
          <w:p w14:paraId="67F80FF5"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1,7%</w:t>
            </w:r>
          </w:p>
        </w:tc>
        <w:tc>
          <w:tcPr>
            <w:tcW w:w="1134" w:type="dxa"/>
            <w:tcBorders>
              <w:top w:val="nil"/>
              <w:left w:val="nil"/>
              <w:bottom w:val="nil"/>
              <w:right w:val="nil"/>
            </w:tcBorders>
            <w:noWrap/>
            <w:tcMar>
              <w:top w:w="15" w:type="dxa"/>
              <w:left w:w="15" w:type="dxa"/>
              <w:bottom w:w="0" w:type="dxa"/>
              <w:right w:w="15" w:type="dxa"/>
            </w:tcMar>
            <w:vAlign w:val="center"/>
            <w:hideMark/>
          </w:tcPr>
          <w:p w14:paraId="32891527"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-43,7%</w:t>
            </w:r>
          </w:p>
        </w:tc>
        <w:tc>
          <w:tcPr>
            <w:tcW w:w="1134" w:type="dxa"/>
            <w:gridSpan w:val="2"/>
            <w:tcBorders>
              <w:top w:val="nil"/>
              <w:left w:val="nil"/>
              <w:bottom w:val="nil"/>
              <w:right w:val="nil"/>
            </w:tcBorders>
            <w:noWrap/>
            <w:tcMar>
              <w:top w:w="15" w:type="dxa"/>
              <w:left w:w="15" w:type="dxa"/>
              <w:bottom w:w="0" w:type="dxa"/>
              <w:right w:w="15" w:type="dxa"/>
            </w:tcMar>
            <w:vAlign w:val="center"/>
            <w:hideMark/>
          </w:tcPr>
          <w:p w14:paraId="4FFD4944" w14:textId="77777777" w:rsidR="0022419F" w:rsidRDefault="0022419F" w:rsidP="00234F3A">
            <w:pPr>
              <w:jc w:val="center"/>
              <w:rPr>
                <w:rFonts w:ascii="Calibri" w:hAnsi="Calibri" w:cs="Calibri"/>
                <w:i/>
                <w:iCs/>
                <w:color w:val="000000"/>
                <w:sz w:val="20"/>
                <w:szCs w:val="20"/>
              </w:rPr>
            </w:pPr>
            <w:r>
              <w:rPr>
                <w:rFonts w:ascii="Calibri" w:hAnsi="Calibri" w:cs="Calibri"/>
                <w:i/>
                <w:iCs/>
                <w:color w:val="000000"/>
                <w:sz w:val="20"/>
                <w:szCs w:val="20"/>
              </w:rPr>
              <w:t>-1,3%</w:t>
            </w:r>
          </w:p>
        </w:tc>
      </w:tr>
      <w:tr w:rsidR="0022419F" w14:paraId="34EAF6F7" w14:textId="77777777" w:rsidTr="005C0E30">
        <w:trPr>
          <w:gridAfter w:val="1"/>
          <w:wAfter w:w="66" w:type="dxa"/>
          <w:trHeight w:val="283"/>
        </w:trPr>
        <w:tc>
          <w:tcPr>
            <w:tcW w:w="2005" w:type="dxa"/>
            <w:tcBorders>
              <w:top w:val="nil"/>
              <w:left w:val="nil"/>
              <w:bottom w:val="nil"/>
              <w:right w:val="nil"/>
            </w:tcBorders>
            <w:noWrap/>
            <w:tcMar>
              <w:top w:w="15" w:type="dxa"/>
              <w:left w:w="15" w:type="dxa"/>
              <w:bottom w:w="0" w:type="dxa"/>
              <w:right w:w="15" w:type="dxa"/>
            </w:tcMar>
            <w:vAlign w:val="center"/>
            <w:hideMark/>
          </w:tcPr>
          <w:p w14:paraId="22BF6DA9"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Grecia</w:t>
            </w:r>
          </w:p>
        </w:tc>
        <w:tc>
          <w:tcPr>
            <w:tcW w:w="1538" w:type="dxa"/>
            <w:tcBorders>
              <w:top w:val="nil"/>
              <w:left w:val="nil"/>
              <w:bottom w:val="nil"/>
              <w:right w:val="nil"/>
            </w:tcBorders>
            <w:noWrap/>
            <w:tcMar>
              <w:top w:w="15" w:type="dxa"/>
              <w:left w:w="15" w:type="dxa"/>
              <w:bottom w:w="0" w:type="dxa"/>
              <w:right w:w="15" w:type="dxa"/>
            </w:tcMar>
            <w:vAlign w:val="center"/>
            <w:hideMark/>
          </w:tcPr>
          <w:p w14:paraId="24DEB048"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34.153.568</w:t>
            </w:r>
          </w:p>
        </w:tc>
        <w:tc>
          <w:tcPr>
            <w:tcW w:w="1700" w:type="dxa"/>
            <w:tcBorders>
              <w:top w:val="nil"/>
              <w:left w:val="nil"/>
              <w:bottom w:val="nil"/>
              <w:right w:val="nil"/>
            </w:tcBorders>
            <w:noWrap/>
            <w:tcMar>
              <w:top w:w="15" w:type="dxa"/>
              <w:left w:w="15" w:type="dxa"/>
              <w:bottom w:w="0" w:type="dxa"/>
              <w:right w:w="15" w:type="dxa"/>
            </w:tcMar>
            <w:vAlign w:val="center"/>
            <w:hideMark/>
          </w:tcPr>
          <w:p w14:paraId="0E1D835D"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44.270.807</w:t>
            </w:r>
          </w:p>
        </w:tc>
        <w:tc>
          <w:tcPr>
            <w:tcW w:w="1278" w:type="dxa"/>
            <w:tcBorders>
              <w:top w:val="nil"/>
              <w:left w:val="nil"/>
              <w:bottom w:val="nil"/>
              <w:right w:val="nil"/>
            </w:tcBorders>
            <w:noWrap/>
            <w:tcMar>
              <w:top w:w="15" w:type="dxa"/>
              <w:left w:w="15" w:type="dxa"/>
              <w:bottom w:w="0" w:type="dxa"/>
              <w:right w:w="15" w:type="dxa"/>
            </w:tcMar>
            <w:vAlign w:val="center"/>
            <w:hideMark/>
          </w:tcPr>
          <w:p w14:paraId="1D454C05"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1,6%</w:t>
            </w:r>
          </w:p>
        </w:tc>
        <w:tc>
          <w:tcPr>
            <w:tcW w:w="1134" w:type="dxa"/>
            <w:tcBorders>
              <w:top w:val="nil"/>
              <w:left w:val="nil"/>
              <w:bottom w:val="nil"/>
              <w:right w:val="nil"/>
            </w:tcBorders>
            <w:noWrap/>
            <w:tcMar>
              <w:top w:w="15" w:type="dxa"/>
              <w:left w:w="15" w:type="dxa"/>
              <w:bottom w:w="0" w:type="dxa"/>
              <w:right w:w="15" w:type="dxa"/>
            </w:tcMar>
            <w:vAlign w:val="center"/>
            <w:hideMark/>
          </w:tcPr>
          <w:p w14:paraId="06822F5E"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29,6%</w:t>
            </w:r>
          </w:p>
        </w:tc>
        <w:tc>
          <w:tcPr>
            <w:tcW w:w="1134" w:type="dxa"/>
            <w:gridSpan w:val="2"/>
            <w:tcBorders>
              <w:top w:val="nil"/>
              <w:left w:val="nil"/>
              <w:bottom w:val="nil"/>
              <w:right w:val="nil"/>
            </w:tcBorders>
            <w:noWrap/>
            <w:tcMar>
              <w:top w:w="15" w:type="dxa"/>
              <w:left w:w="15" w:type="dxa"/>
              <w:bottom w:w="0" w:type="dxa"/>
              <w:right w:w="15" w:type="dxa"/>
            </w:tcMar>
            <w:vAlign w:val="center"/>
            <w:hideMark/>
          </w:tcPr>
          <w:p w14:paraId="4B5FCA91" w14:textId="77777777" w:rsidR="0022419F" w:rsidRDefault="0022419F" w:rsidP="00234F3A">
            <w:pPr>
              <w:jc w:val="center"/>
              <w:rPr>
                <w:rFonts w:ascii="Calibri" w:hAnsi="Calibri" w:cs="Calibri"/>
                <w:i/>
                <w:iCs/>
                <w:color w:val="000000"/>
                <w:sz w:val="20"/>
                <w:szCs w:val="20"/>
              </w:rPr>
            </w:pPr>
            <w:r>
              <w:rPr>
                <w:rFonts w:ascii="Calibri" w:hAnsi="Calibri" w:cs="Calibri"/>
                <w:i/>
                <w:iCs/>
                <w:color w:val="000000"/>
                <w:sz w:val="20"/>
                <w:szCs w:val="20"/>
              </w:rPr>
              <w:t>0,4%</w:t>
            </w:r>
          </w:p>
        </w:tc>
      </w:tr>
      <w:tr w:rsidR="0022419F" w14:paraId="62458FEB" w14:textId="77777777" w:rsidTr="005C0E30">
        <w:trPr>
          <w:gridAfter w:val="1"/>
          <w:wAfter w:w="66" w:type="dxa"/>
          <w:trHeight w:val="283"/>
        </w:trPr>
        <w:tc>
          <w:tcPr>
            <w:tcW w:w="2005" w:type="dxa"/>
            <w:tcBorders>
              <w:top w:val="nil"/>
              <w:left w:val="nil"/>
              <w:bottom w:val="nil"/>
              <w:right w:val="nil"/>
            </w:tcBorders>
            <w:noWrap/>
            <w:tcMar>
              <w:top w:w="15" w:type="dxa"/>
              <w:left w:w="15" w:type="dxa"/>
              <w:bottom w:w="0" w:type="dxa"/>
              <w:right w:w="15" w:type="dxa"/>
            </w:tcMar>
            <w:vAlign w:val="center"/>
            <w:hideMark/>
          </w:tcPr>
          <w:p w14:paraId="351136DA" w14:textId="77777777" w:rsidR="0022419F" w:rsidRDefault="0022419F" w:rsidP="00A35AEF">
            <w:pPr>
              <w:rPr>
                <w:rFonts w:ascii="Calibri" w:hAnsi="Calibri" w:cs="Calibri"/>
                <w:sz w:val="20"/>
                <w:szCs w:val="20"/>
              </w:rPr>
            </w:pPr>
            <w:r>
              <w:rPr>
                <w:rFonts w:ascii="Calibri" w:hAnsi="Calibri" w:cs="Calibri"/>
                <w:sz w:val="20"/>
                <w:szCs w:val="20"/>
              </w:rPr>
              <w:t>Altro</w:t>
            </w:r>
          </w:p>
        </w:tc>
        <w:tc>
          <w:tcPr>
            <w:tcW w:w="1538" w:type="dxa"/>
            <w:tcBorders>
              <w:top w:val="nil"/>
              <w:left w:val="nil"/>
              <w:bottom w:val="nil"/>
              <w:right w:val="nil"/>
            </w:tcBorders>
            <w:noWrap/>
            <w:tcMar>
              <w:top w:w="15" w:type="dxa"/>
              <w:left w:w="15" w:type="dxa"/>
              <w:bottom w:w="0" w:type="dxa"/>
              <w:right w:w="15" w:type="dxa"/>
            </w:tcMar>
            <w:vAlign w:val="center"/>
            <w:hideMark/>
          </w:tcPr>
          <w:p w14:paraId="707209DB" w14:textId="77777777" w:rsidR="0022419F" w:rsidRDefault="0022419F" w:rsidP="00234F3A">
            <w:pPr>
              <w:jc w:val="center"/>
              <w:rPr>
                <w:rFonts w:ascii="Calibri" w:hAnsi="Calibri" w:cs="Calibri"/>
                <w:sz w:val="20"/>
                <w:szCs w:val="20"/>
              </w:rPr>
            </w:pPr>
            <w:r>
              <w:rPr>
                <w:rFonts w:ascii="Calibri" w:hAnsi="Calibri" w:cs="Calibri"/>
                <w:sz w:val="20"/>
                <w:szCs w:val="20"/>
              </w:rPr>
              <w:t>821.458.704</w:t>
            </w:r>
          </w:p>
        </w:tc>
        <w:tc>
          <w:tcPr>
            <w:tcW w:w="1700" w:type="dxa"/>
            <w:tcBorders>
              <w:top w:val="nil"/>
              <w:left w:val="nil"/>
              <w:bottom w:val="nil"/>
              <w:right w:val="nil"/>
            </w:tcBorders>
            <w:noWrap/>
            <w:tcMar>
              <w:top w:w="15" w:type="dxa"/>
              <w:left w:w="15" w:type="dxa"/>
              <w:bottom w:w="0" w:type="dxa"/>
              <w:right w:w="15" w:type="dxa"/>
            </w:tcMar>
            <w:vAlign w:val="center"/>
            <w:hideMark/>
          </w:tcPr>
          <w:p w14:paraId="61F10D65" w14:textId="77777777" w:rsidR="0022419F" w:rsidRDefault="0022419F" w:rsidP="00234F3A">
            <w:pPr>
              <w:jc w:val="center"/>
              <w:rPr>
                <w:rFonts w:ascii="Calibri" w:hAnsi="Calibri" w:cs="Calibri"/>
                <w:sz w:val="20"/>
                <w:szCs w:val="20"/>
              </w:rPr>
            </w:pPr>
            <w:r>
              <w:rPr>
                <w:rFonts w:ascii="Calibri" w:hAnsi="Calibri" w:cs="Calibri"/>
                <w:sz w:val="20"/>
                <w:szCs w:val="20"/>
              </w:rPr>
              <w:t>771.889.765</w:t>
            </w:r>
          </w:p>
        </w:tc>
        <w:tc>
          <w:tcPr>
            <w:tcW w:w="1278" w:type="dxa"/>
            <w:tcBorders>
              <w:top w:val="nil"/>
              <w:left w:val="nil"/>
              <w:bottom w:val="nil"/>
              <w:right w:val="nil"/>
            </w:tcBorders>
            <w:noWrap/>
            <w:tcMar>
              <w:top w:w="15" w:type="dxa"/>
              <w:left w:w="15" w:type="dxa"/>
              <w:bottom w:w="0" w:type="dxa"/>
              <w:right w:w="15" w:type="dxa"/>
            </w:tcMar>
            <w:vAlign w:val="center"/>
            <w:hideMark/>
          </w:tcPr>
          <w:p w14:paraId="779BB8D3" w14:textId="77777777" w:rsidR="0022419F" w:rsidRDefault="0022419F" w:rsidP="00234F3A">
            <w:pPr>
              <w:jc w:val="center"/>
              <w:rPr>
                <w:rFonts w:ascii="Calibri" w:hAnsi="Calibri" w:cs="Calibri"/>
                <w:sz w:val="20"/>
                <w:szCs w:val="20"/>
              </w:rPr>
            </w:pPr>
            <w:r>
              <w:rPr>
                <w:rFonts w:ascii="Calibri" w:hAnsi="Calibri" w:cs="Calibri"/>
                <w:sz w:val="20"/>
                <w:szCs w:val="20"/>
              </w:rPr>
              <w:t>27,7%</w:t>
            </w:r>
          </w:p>
        </w:tc>
        <w:tc>
          <w:tcPr>
            <w:tcW w:w="1134" w:type="dxa"/>
            <w:tcBorders>
              <w:top w:val="nil"/>
              <w:left w:val="nil"/>
              <w:bottom w:val="nil"/>
              <w:right w:val="nil"/>
            </w:tcBorders>
            <w:noWrap/>
            <w:tcMar>
              <w:top w:w="15" w:type="dxa"/>
              <w:left w:w="15" w:type="dxa"/>
              <w:bottom w:w="0" w:type="dxa"/>
              <w:right w:w="15" w:type="dxa"/>
            </w:tcMar>
            <w:vAlign w:val="center"/>
            <w:hideMark/>
          </w:tcPr>
          <w:p w14:paraId="2C0E6E64" w14:textId="77777777" w:rsidR="0022419F" w:rsidRDefault="0022419F" w:rsidP="00234F3A">
            <w:pPr>
              <w:jc w:val="center"/>
              <w:rPr>
                <w:rFonts w:ascii="Calibri" w:hAnsi="Calibri" w:cs="Calibri"/>
                <w:sz w:val="20"/>
                <w:szCs w:val="20"/>
              </w:rPr>
            </w:pPr>
            <w:r>
              <w:rPr>
                <w:rFonts w:ascii="Calibri" w:hAnsi="Calibri" w:cs="Calibri"/>
                <w:sz w:val="20"/>
                <w:szCs w:val="20"/>
              </w:rPr>
              <w:t>-6,0%</w:t>
            </w:r>
          </w:p>
        </w:tc>
        <w:tc>
          <w:tcPr>
            <w:tcW w:w="1134" w:type="dxa"/>
            <w:gridSpan w:val="2"/>
            <w:tcBorders>
              <w:top w:val="nil"/>
              <w:left w:val="nil"/>
              <w:bottom w:val="nil"/>
              <w:right w:val="nil"/>
            </w:tcBorders>
            <w:noWrap/>
            <w:tcMar>
              <w:top w:w="15" w:type="dxa"/>
              <w:left w:w="15" w:type="dxa"/>
              <w:bottom w:w="0" w:type="dxa"/>
              <w:right w:w="15" w:type="dxa"/>
            </w:tcMar>
            <w:vAlign w:val="center"/>
            <w:hideMark/>
          </w:tcPr>
          <w:p w14:paraId="40ADAFFF" w14:textId="77777777" w:rsidR="0022419F" w:rsidRDefault="0022419F" w:rsidP="00234F3A">
            <w:pPr>
              <w:jc w:val="center"/>
              <w:rPr>
                <w:rFonts w:ascii="Calibri" w:hAnsi="Calibri" w:cs="Calibri"/>
                <w:i/>
                <w:iCs/>
                <w:sz w:val="20"/>
                <w:szCs w:val="20"/>
              </w:rPr>
            </w:pPr>
            <w:r>
              <w:rPr>
                <w:rFonts w:ascii="Calibri" w:hAnsi="Calibri" w:cs="Calibri"/>
                <w:i/>
                <w:iCs/>
                <w:sz w:val="20"/>
                <w:szCs w:val="20"/>
              </w:rPr>
              <w:t>-1,8%</w:t>
            </w:r>
          </w:p>
        </w:tc>
      </w:tr>
      <w:tr w:rsidR="0022419F" w14:paraId="271DEF7C" w14:textId="77777777" w:rsidTr="005C0E30">
        <w:trPr>
          <w:gridAfter w:val="1"/>
          <w:wAfter w:w="66" w:type="dxa"/>
          <w:trHeight w:val="283"/>
        </w:trPr>
        <w:tc>
          <w:tcPr>
            <w:tcW w:w="2005" w:type="dxa"/>
            <w:tcBorders>
              <w:top w:val="single" w:sz="4" w:space="0" w:color="auto"/>
              <w:left w:val="nil"/>
              <w:bottom w:val="single" w:sz="4" w:space="0" w:color="auto"/>
              <w:right w:val="nil"/>
            </w:tcBorders>
            <w:noWrap/>
            <w:tcMar>
              <w:top w:w="15" w:type="dxa"/>
              <w:left w:w="15" w:type="dxa"/>
              <w:bottom w:w="0" w:type="dxa"/>
              <w:right w:w="15" w:type="dxa"/>
            </w:tcMar>
            <w:vAlign w:val="center"/>
            <w:hideMark/>
          </w:tcPr>
          <w:p w14:paraId="21AF12C0" w14:textId="77777777" w:rsidR="0022419F" w:rsidRDefault="0022419F" w:rsidP="00A35AEF">
            <w:pPr>
              <w:rPr>
                <w:rFonts w:ascii="Calibri" w:hAnsi="Calibri" w:cs="Calibri"/>
                <w:b/>
                <w:bCs/>
                <w:sz w:val="20"/>
                <w:szCs w:val="20"/>
              </w:rPr>
            </w:pPr>
            <w:r>
              <w:rPr>
                <w:rFonts w:ascii="Calibri" w:hAnsi="Calibri" w:cs="Calibri"/>
                <w:b/>
                <w:bCs/>
                <w:sz w:val="20"/>
                <w:szCs w:val="20"/>
              </w:rPr>
              <w:t>Totale</w:t>
            </w:r>
          </w:p>
        </w:tc>
        <w:tc>
          <w:tcPr>
            <w:tcW w:w="1538" w:type="dxa"/>
            <w:tcBorders>
              <w:top w:val="single" w:sz="4" w:space="0" w:color="auto"/>
              <w:left w:val="nil"/>
              <w:bottom w:val="single" w:sz="4" w:space="0" w:color="auto"/>
              <w:right w:val="nil"/>
            </w:tcBorders>
            <w:noWrap/>
            <w:tcMar>
              <w:top w:w="15" w:type="dxa"/>
              <w:left w:w="15" w:type="dxa"/>
              <w:bottom w:w="0" w:type="dxa"/>
              <w:right w:w="15" w:type="dxa"/>
            </w:tcMar>
            <w:vAlign w:val="center"/>
            <w:hideMark/>
          </w:tcPr>
          <w:p w14:paraId="546F0433" w14:textId="77777777" w:rsidR="0022419F" w:rsidRDefault="0022419F" w:rsidP="00234F3A">
            <w:pPr>
              <w:jc w:val="center"/>
              <w:rPr>
                <w:rFonts w:ascii="Calibri" w:hAnsi="Calibri" w:cs="Calibri"/>
                <w:b/>
                <w:bCs/>
                <w:sz w:val="20"/>
                <w:szCs w:val="20"/>
              </w:rPr>
            </w:pPr>
            <w:r>
              <w:rPr>
                <w:rFonts w:ascii="Calibri" w:hAnsi="Calibri" w:cs="Calibri"/>
                <w:b/>
                <w:bCs/>
                <w:sz w:val="20"/>
                <w:szCs w:val="20"/>
              </w:rPr>
              <w:t>2.832.242.837</w:t>
            </w:r>
          </w:p>
        </w:tc>
        <w:tc>
          <w:tcPr>
            <w:tcW w:w="1700" w:type="dxa"/>
            <w:tcBorders>
              <w:top w:val="single" w:sz="4" w:space="0" w:color="auto"/>
              <w:left w:val="nil"/>
              <w:bottom w:val="single" w:sz="4" w:space="0" w:color="auto"/>
              <w:right w:val="nil"/>
            </w:tcBorders>
            <w:noWrap/>
            <w:tcMar>
              <w:top w:w="15" w:type="dxa"/>
              <w:left w:w="15" w:type="dxa"/>
              <w:bottom w:w="0" w:type="dxa"/>
              <w:right w:w="15" w:type="dxa"/>
            </w:tcMar>
            <w:vAlign w:val="center"/>
            <w:hideMark/>
          </w:tcPr>
          <w:p w14:paraId="4200F810" w14:textId="77777777" w:rsidR="0022419F" w:rsidRDefault="0022419F" w:rsidP="00234F3A">
            <w:pPr>
              <w:jc w:val="center"/>
              <w:rPr>
                <w:rFonts w:ascii="Calibri" w:hAnsi="Calibri" w:cs="Calibri"/>
                <w:b/>
                <w:bCs/>
                <w:sz w:val="20"/>
                <w:szCs w:val="20"/>
              </w:rPr>
            </w:pPr>
            <w:r>
              <w:rPr>
                <w:rFonts w:ascii="Calibri" w:hAnsi="Calibri" w:cs="Calibri"/>
                <w:b/>
                <w:bCs/>
                <w:sz w:val="20"/>
                <w:szCs w:val="20"/>
              </w:rPr>
              <w:t>2.783.659.936</w:t>
            </w:r>
          </w:p>
        </w:tc>
        <w:tc>
          <w:tcPr>
            <w:tcW w:w="1278" w:type="dxa"/>
            <w:tcBorders>
              <w:top w:val="single" w:sz="4" w:space="0" w:color="auto"/>
              <w:left w:val="nil"/>
              <w:bottom w:val="single" w:sz="4" w:space="0" w:color="auto"/>
              <w:right w:val="nil"/>
            </w:tcBorders>
            <w:noWrap/>
            <w:tcMar>
              <w:top w:w="15" w:type="dxa"/>
              <w:left w:w="15" w:type="dxa"/>
              <w:bottom w:w="0" w:type="dxa"/>
              <w:right w:w="15" w:type="dxa"/>
            </w:tcMar>
            <w:vAlign w:val="center"/>
            <w:hideMark/>
          </w:tcPr>
          <w:p w14:paraId="3A3947FE" w14:textId="77777777" w:rsidR="0022419F" w:rsidRDefault="0022419F" w:rsidP="00234F3A">
            <w:pPr>
              <w:jc w:val="center"/>
              <w:rPr>
                <w:rFonts w:ascii="Calibri" w:hAnsi="Calibri" w:cs="Calibri"/>
                <w:b/>
                <w:bCs/>
                <w:sz w:val="20"/>
                <w:szCs w:val="20"/>
              </w:rPr>
            </w:pPr>
            <w:r>
              <w:rPr>
                <w:rFonts w:ascii="Calibri" w:hAnsi="Calibri" w:cs="Calibri"/>
                <w:b/>
                <w:bCs/>
                <w:sz w:val="20"/>
                <w:szCs w:val="20"/>
              </w:rPr>
              <w:t>100,0%</w:t>
            </w:r>
          </w:p>
        </w:tc>
        <w:tc>
          <w:tcPr>
            <w:tcW w:w="1134" w:type="dxa"/>
            <w:tcBorders>
              <w:top w:val="single" w:sz="4" w:space="0" w:color="auto"/>
              <w:left w:val="nil"/>
              <w:bottom w:val="single" w:sz="4" w:space="0" w:color="auto"/>
              <w:right w:val="nil"/>
            </w:tcBorders>
            <w:noWrap/>
            <w:tcMar>
              <w:top w:w="15" w:type="dxa"/>
              <w:left w:w="15" w:type="dxa"/>
              <w:bottom w:w="0" w:type="dxa"/>
              <w:right w:w="15" w:type="dxa"/>
            </w:tcMar>
            <w:vAlign w:val="center"/>
            <w:hideMark/>
          </w:tcPr>
          <w:p w14:paraId="428BAE5E" w14:textId="77777777" w:rsidR="0022419F" w:rsidRDefault="0022419F" w:rsidP="00234F3A">
            <w:pPr>
              <w:jc w:val="center"/>
              <w:rPr>
                <w:rFonts w:ascii="Calibri" w:hAnsi="Calibri" w:cs="Calibri"/>
                <w:b/>
                <w:bCs/>
                <w:sz w:val="20"/>
                <w:szCs w:val="20"/>
              </w:rPr>
            </w:pPr>
            <w:r>
              <w:rPr>
                <w:rFonts w:ascii="Calibri" w:hAnsi="Calibri" w:cs="Calibri"/>
                <w:b/>
                <w:bCs/>
                <w:sz w:val="20"/>
                <w:szCs w:val="20"/>
              </w:rPr>
              <w:t>-1,7%</w:t>
            </w:r>
          </w:p>
        </w:tc>
        <w:tc>
          <w:tcPr>
            <w:tcW w:w="1134" w:type="dxa"/>
            <w:gridSpan w:val="2"/>
            <w:tcBorders>
              <w:top w:val="single" w:sz="4" w:space="0" w:color="auto"/>
              <w:left w:val="nil"/>
              <w:bottom w:val="single" w:sz="4" w:space="0" w:color="auto"/>
              <w:right w:val="nil"/>
            </w:tcBorders>
            <w:noWrap/>
            <w:tcMar>
              <w:top w:w="15" w:type="dxa"/>
              <w:left w:w="15" w:type="dxa"/>
              <w:bottom w:w="0" w:type="dxa"/>
              <w:right w:w="15" w:type="dxa"/>
            </w:tcMar>
            <w:vAlign w:val="center"/>
            <w:hideMark/>
          </w:tcPr>
          <w:p w14:paraId="03AD36DA" w14:textId="77777777" w:rsidR="0022419F" w:rsidRDefault="0022419F" w:rsidP="00234F3A">
            <w:pPr>
              <w:jc w:val="center"/>
              <w:rPr>
                <w:rFonts w:ascii="Calibri" w:hAnsi="Calibri" w:cs="Calibri"/>
                <w:b/>
                <w:bCs/>
                <w:i/>
                <w:iCs/>
                <w:sz w:val="20"/>
                <w:szCs w:val="20"/>
              </w:rPr>
            </w:pPr>
            <w:r>
              <w:rPr>
                <w:rFonts w:ascii="Calibri" w:hAnsi="Calibri" w:cs="Calibri"/>
                <w:b/>
                <w:bCs/>
                <w:i/>
                <w:iCs/>
                <w:sz w:val="20"/>
                <w:szCs w:val="20"/>
              </w:rPr>
              <w:t>-1,7%</w:t>
            </w:r>
          </w:p>
        </w:tc>
      </w:tr>
      <w:tr w:rsidR="007C4BFE" w14:paraId="3FD61F2A" w14:textId="77777777" w:rsidTr="005C0E30">
        <w:trPr>
          <w:gridAfter w:val="2"/>
          <w:wAfter w:w="211" w:type="dxa"/>
          <w:trHeight w:val="283"/>
        </w:trPr>
        <w:tc>
          <w:tcPr>
            <w:tcW w:w="8644" w:type="dxa"/>
            <w:gridSpan w:val="6"/>
            <w:tcBorders>
              <w:top w:val="nil"/>
              <w:left w:val="nil"/>
              <w:bottom w:val="nil"/>
            </w:tcBorders>
            <w:noWrap/>
            <w:tcMar>
              <w:top w:w="15" w:type="dxa"/>
              <w:left w:w="15" w:type="dxa"/>
              <w:bottom w:w="0" w:type="dxa"/>
              <w:right w:w="15" w:type="dxa"/>
            </w:tcMar>
            <w:vAlign w:val="center"/>
            <w:hideMark/>
          </w:tcPr>
          <w:p w14:paraId="42793AEB" w14:textId="0F3948F5" w:rsidR="007C4BFE" w:rsidRDefault="007C4BFE" w:rsidP="00A35AEF">
            <w:pPr>
              <w:rPr>
                <w:rFonts w:ascii="Calibri" w:hAnsi="Calibri" w:cs="Calibri"/>
                <w:i/>
                <w:iCs/>
                <w:color w:val="000000"/>
                <w:sz w:val="20"/>
                <w:szCs w:val="20"/>
              </w:rPr>
            </w:pPr>
            <w:r>
              <w:rPr>
                <w:rFonts w:ascii="Calibri" w:hAnsi="Calibri" w:cs="Calibri"/>
                <w:i/>
                <w:iCs/>
                <w:color w:val="000000"/>
                <w:sz w:val="20"/>
                <w:szCs w:val="20"/>
              </w:rPr>
              <w:t>Fonte: Elaborazioni Camera di Commercio Toscana Nord-Ovest -ISR su dati Istat (dati provvisori)</w:t>
            </w:r>
          </w:p>
        </w:tc>
      </w:tr>
    </w:tbl>
    <w:p w14:paraId="1D64BA2E" w14:textId="77777777" w:rsidR="002F426C" w:rsidRPr="00F360D1" w:rsidRDefault="00F6379F" w:rsidP="00234F3A">
      <w:pPr>
        <w:tabs>
          <w:tab w:val="left" w:pos="1845"/>
        </w:tabs>
        <w:spacing w:after="240"/>
        <w:rPr>
          <w:rFonts w:ascii="Calibri" w:hAnsi="Calibri" w:cs="Calibri"/>
          <w:b/>
          <w:bCs/>
          <w:sz w:val="28"/>
          <w:szCs w:val="28"/>
        </w:rPr>
      </w:pPr>
      <w:r>
        <w:rPr>
          <w:rFonts w:ascii="Calibri" w:hAnsi="Calibri" w:cs="Calibri"/>
          <w:b/>
          <w:bCs/>
          <w:sz w:val="28"/>
          <w:szCs w:val="28"/>
        </w:rPr>
        <w:br w:type="page"/>
      </w:r>
      <w:r w:rsidR="002F426C" w:rsidRPr="00F360D1">
        <w:rPr>
          <w:rFonts w:ascii="Calibri" w:hAnsi="Calibri" w:cs="Calibri"/>
          <w:b/>
          <w:bCs/>
          <w:sz w:val="28"/>
          <w:szCs w:val="28"/>
        </w:rPr>
        <w:lastRenderedPageBreak/>
        <w:t>L’ANDAMENTO DELL’EXPORT DELLA PROVINCIA DI MASSA-CARRARA</w:t>
      </w:r>
    </w:p>
    <w:p w14:paraId="3C4730B5" w14:textId="77777777" w:rsidR="002F426C" w:rsidRPr="00F360D1" w:rsidRDefault="002F426C" w:rsidP="002F426C">
      <w:pPr>
        <w:pBdr>
          <w:top w:val="nil"/>
          <w:left w:val="nil"/>
          <w:bottom w:val="nil"/>
          <w:right w:val="nil"/>
          <w:between w:val="nil"/>
        </w:pBdr>
        <w:rPr>
          <w:rFonts w:ascii="Calibri" w:hAnsi="Calibri"/>
          <w:b/>
        </w:rPr>
      </w:pPr>
      <w:r w:rsidRPr="00F360D1">
        <w:rPr>
          <w:rFonts w:ascii="Calibri" w:hAnsi="Calibri"/>
          <w:b/>
        </w:rPr>
        <w:t>L’andamento generale</w:t>
      </w:r>
    </w:p>
    <w:p w14:paraId="122459DC" w14:textId="77777777" w:rsidR="009B5F0F" w:rsidRPr="009B5F0F" w:rsidRDefault="009B5F0F" w:rsidP="009B5F0F">
      <w:pPr>
        <w:pStyle w:val="Corpotesto"/>
        <w:jc w:val="both"/>
        <w:rPr>
          <w:rFonts w:ascii="Calibri" w:hAnsi="Calibri"/>
          <w:iCs/>
          <w:sz w:val="24"/>
          <w:lang w:val="it-IT"/>
        </w:rPr>
      </w:pPr>
      <w:r w:rsidRPr="009B5F0F">
        <w:rPr>
          <w:rFonts w:ascii="Calibri" w:hAnsi="Calibri"/>
          <w:iCs/>
          <w:sz w:val="24"/>
          <w:lang w:val="it-IT"/>
        </w:rPr>
        <w:t xml:space="preserve">I dati relativi al primo semestre 2025 </w:t>
      </w:r>
      <w:r w:rsidR="00EC6009">
        <w:rPr>
          <w:rFonts w:ascii="Calibri" w:hAnsi="Calibri"/>
          <w:iCs/>
          <w:sz w:val="24"/>
          <w:lang w:val="it-IT"/>
        </w:rPr>
        <w:t xml:space="preserve">hanno </w:t>
      </w:r>
      <w:r w:rsidRPr="009B5F0F">
        <w:rPr>
          <w:rFonts w:ascii="Calibri" w:hAnsi="Calibri"/>
          <w:iCs/>
          <w:sz w:val="24"/>
          <w:lang w:val="it-IT"/>
        </w:rPr>
        <w:t>evidenzia</w:t>
      </w:r>
      <w:r w:rsidR="00EC6009">
        <w:rPr>
          <w:rFonts w:ascii="Calibri" w:hAnsi="Calibri"/>
          <w:iCs/>
          <w:sz w:val="24"/>
          <w:lang w:val="it-IT"/>
        </w:rPr>
        <w:t>t</w:t>
      </w:r>
      <w:r w:rsidRPr="009B5F0F">
        <w:rPr>
          <w:rFonts w:ascii="Calibri" w:hAnsi="Calibri"/>
          <w:iCs/>
          <w:sz w:val="24"/>
          <w:lang w:val="it-IT"/>
        </w:rPr>
        <w:t xml:space="preserve">o un calo del 6% delle esportazioni </w:t>
      </w:r>
      <w:r w:rsidR="007A1FD6">
        <w:rPr>
          <w:rFonts w:ascii="Calibri" w:hAnsi="Calibri"/>
          <w:iCs/>
          <w:sz w:val="24"/>
          <w:lang w:val="it-IT"/>
        </w:rPr>
        <w:t>della provincia di Massa-Carrara</w:t>
      </w:r>
      <w:r w:rsidRPr="009B5F0F">
        <w:rPr>
          <w:rFonts w:ascii="Calibri" w:hAnsi="Calibri"/>
          <w:iCs/>
          <w:sz w:val="24"/>
          <w:lang w:val="it-IT"/>
        </w:rPr>
        <w:t xml:space="preserve"> rispetto allo stesso periodo del 2024. In termini assoluti, la flessione è stata di oltre 69 milioni di euro portando il valore complessivo dell’export a circa 1 miliardo e 80 milioni.</w:t>
      </w:r>
      <w:r w:rsidR="007A1FD6">
        <w:rPr>
          <w:rFonts w:ascii="Calibri" w:hAnsi="Calibri"/>
          <w:iCs/>
          <w:sz w:val="24"/>
          <w:lang w:val="it-IT"/>
        </w:rPr>
        <w:t xml:space="preserve"> </w:t>
      </w:r>
      <w:r w:rsidRPr="009B5F0F">
        <w:rPr>
          <w:rFonts w:ascii="Calibri" w:hAnsi="Calibri"/>
          <w:iCs/>
          <w:sz w:val="24"/>
          <w:lang w:val="it-IT"/>
        </w:rPr>
        <w:t>Va tuttavia sottolineato che, come spesso accade</w:t>
      </w:r>
      <w:r w:rsidR="007A1FD6">
        <w:rPr>
          <w:rFonts w:ascii="Calibri" w:hAnsi="Calibri"/>
          <w:iCs/>
          <w:sz w:val="24"/>
          <w:lang w:val="it-IT"/>
        </w:rPr>
        <w:t xml:space="preserve"> nel territorio apuano</w:t>
      </w:r>
      <w:r w:rsidRPr="009B5F0F">
        <w:rPr>
          <w:rFonts w:ascii="Calibri" w:hAnsi="Calibri"/>
          <w:iCs/>
          <w:sz w:val="24"/>
          <w:lang w:val="it-IT"/>
        </w:rPr>
        <w:t>, il risultato complessivo è fortemente condizionato dal comparto della meccanica</w:t>
      </w:r>
      <w:r w:rsidR="006D03D9">
        <w:rPr>
          <w:rFonts w:ascii="Calibri" w:hAnsi="Calibri"/>
          <w:iCs/>
          <w:sz w:val="24"/>
          <w:lang w:val="it-IT"/>
        </w:rPr>
        <w:t>,</w:t>
      </w:r>
      <w:r w:rsidRPr="009B5F0F">
        <w:rPr>
          <w:rFonts w:ascii="Calibri" w:hAnsi="Calibri"/>
          <w:iCs/>
          <w:sz w:val="24"/>
          <w:lang w:val="it-IT"/>
        </w:rPr>
        <w:t xml:space="preserve"> che rappresenta più della metà del totale delle vendite estere provinciali. Il settore è caratterizzato da un andamento altalenante, </w:t>
      </w:r>
      <w:r w:rsidR="007A1FD6">
        <w:rPr>
          <w:rFonts w:ascii="Calibri" w:hAnsi="Calibri"/>
          <w:iCs/>
          <w:sz w:val="24"/>
          <w:lang w:val="it-IT"/>
        </w:rPr>
        <w:t>strettamente col</w:t>
      </w:r>
      <w:r w:rsidRPr="009B5F0F">
        <w:rPr>
          <w:rFonts w:ascii="Calibri" w:hAnsi="Calibri"/>
          <w:iCs/>
          <w:sz w:val="24"/>
          <w:lang w:val="it-IT"/>
        </w:rPr>
        <w:t>legato al</w:t>
      </w:r>
      <w:r w:rsidR="007A1FD6">
        <w:rPr>
          <w:rFonts w:ascii="Calibri" w:hAnsi="Calibri"/>
          <w:iCs/>
          <w:sz w:val="24"/>
          <w:lang w:val="it-IT"/>
        </w:rPr>
        <w:t xml:space="preserve"> ciclo di fatturazione </w:t>
      </w:r>
      <w:r w:rsidRPr="009B5F0F">
        <w:rPr>
          <w:rFonts w:ascii="Calibri" w:hAnsi="Calibri"/>
          <w:iCs/>
          <w:sz w:val="24"/>
          <w:lang w:val="it-IT"/>
        </w:rPr>
        <w:t>d</w:t>
      </w:r>
      <w:r w:rsidR="007A1FD6">
        <w:rPr>
          <w:rFonts w:ascii="Calibri" w:hAnsi="Calibri"/>
          <w:iCs/>
          <w:sz w:val="24"/>
          <w:lang w:val="it-IT"/>
        </w:rPr>
        <w:t>i</w:t>
      </w:r>
      <w:r w:rsidRPr="009B5F0F">
        <w:rPr>
          <w:rFonts w:ascii="Calibri" w:hAnsi="Calibri"/>
          <w:iCs/>
          <w:sz w:val="24"/>
          <w:lang w:val="it-IT"/>
        </w:rPr>
        <w:t xml:space="preserve"> grandi commesse. Nei primi sei mesi del 2025, infatti, la </w:t>
      </w:r>
      <w:r w:rsidRPr="003A767A">
        <w:rPr>
          <w:rFonts w:ascii="Calibri" w:hAnsi="Calibri"/>
          <w:iCs/>
          <w:sz w:val="24"/>
          <w:lang w:val="it-IT"/>
        </w:rPr>
        <w:t>meccanica</w:t>
      </w:r>
      <w:r w:rsidRPr="009B5F0F">
        <w:rPr>
          <w:rFonts w:ascii="Calibri" w:hAnsi="Calibri"/>
          <w:iCs/>
          <w:sz w:val="24"/>
          <w:lang w:val="it-IT"/>
        </w:rPr>
        <w:t xml:space="preserve"> ha mostrato performance differenziate tra i vari segmenti, con alcuni comparti in netta contrazione.</w:t>
      </w:r>
    </w:p>
    <w:p w14:paraId="1798190D" w14:textId="77777777" w:rsidR="00DF30BC" w:rsidRPr="00F360D1" w:rsidRDefault="009B5F0F" w:rsidP="005A1213">
      <w:pPr>
        <w:pStyle w:val="Corpotesto"/>
        <w:spacing w:after="240"/>
        <w:jc w:val="both"/>
        <w:rPr>
          <w:rFonts w:ascii="Calibri" w:hAnsi="Calibri"/>
          <w:iCs/>
          <w:sz w:val="24"/>
        </w:rPr>
      </w:pPr>
      <w:r w:rsidRPr="009B5F0F">
        <w:rPr>
          <w:rFonts w:ascii="Calibri" w:hAnsi="Calibri"/>
          <w:iCs/>
          <w:sz w:val="24"/>
          <w:lang w:val="it-IT"/>
        </w:rPr>
        <w:t xml:space="preserve">Anche sul fronte delle importazioni il dato si </w:t>
      </w:r>
      <w:r w:rsidR="00EC6009">
        <w:rPr>
          <w:rFonts w:ascii="Calibri" w:hAnsi="Calibri"/>
          <w:iCs/>
          <w:sz w:val="24"/>
          <w:lang w:val="it-IT"/>
        </w:rPr>
        <w:t xml:space="preserve">è </w:t>
      </w:r>
      <w:r w:rsidRPr="009B5F0F">
        <w:rPr>
          <w:rFonts w:ascii="Calibri" w:hAnsi="Calibri"/>
          <w:iCs/>
          <w:sz w:val="24"/>
          <w:lang w:val="it-IT"/>
        </w:rPr>
        <w:t>conferm</w:t>
      </w:r>
      <w:r w:rsidR="00EC6009">
        <w:rPr>
          <w:rFonts w:ascii="Calibri" w:hAnsi="Calibri"/>
          <w:iCs/>
          <w:sz w:val="24"/>
          <w:lang w:val="it-IT"/>
        </w:rPr>
        <w:t>ato</w:t>
      </w:r>
      <w:r w:rsidRPr="009B5F0F">
        <w:rPr>
          <w:rFonts w:ascii="Calibri" w:hAnsi="Calibri"/>
          <w:iCs/>
          <w:sz w:val="24"/>
          <w:lang w:val="it-IT"/>
        </w:rPr>
        <w:t xml:space="preserve"> negativo</w:t>
      </w:r>
      <w:r w:rsidR="00EC6009">
        <w:rPr>
          <w:rFonts w:ascii="Calibri" w:hAnsi="Calibri"/>
          <w:iCs/>
          <w:sz w:val="24"/>
          <w:lang w:val="it-IT"/>
        </w:rPr>
        <w:t xml:space="preserve"> ed il valore degli acquisti è passato dai</w:t>
      </w:r>
      <w:r w:rsidRPr="009B5F0F">
        <w:rPr>
          <w:rFonts w:ascii="Calibri" w:hAnsi="Calibri"/>
          <w:iCs/>
          <w:sz w:val="24"/>
          <w:lang w:val="it-IT"/>
        </w:rPr>
        <w:t xml:space="preserve"> 55</w:t>
      </w:r>
      <w:r w:rsidR="006D03D9">
        <w:rPr>
          <w:rFonts w:ascii="Calibri" w:hAnsi="Calibri"/>
          <w:iCs/>
          <w:sz w:val="24"/>
          <w:lang w:val="it-IT"/>
        </w:rPr>
        <w:t>9</w:t>
      </w:r>
      <w:r w:rsidRPr="009B5F0F">
        <w:rPr>
          <w:rFonts w:ascii="Calibri" w:hAnsi="Calibri"/>
          <w:iCs/>
          <w:sz w:val="24"/>
          <w:lang w:val="it-IT"/>
        </w:rPr>
        <w:t xml:space="preserve"> milioni di euro del primo semestre 2024 ai 501 milioni dello stesso periodo del 2025,</w:t>
      </w:r>
      <w:r w:rsidR="007A1FD6">
        <w:rPr>
          <w:rFonts w:ascii="Calibri" w:hAnsi="Calibri"/>
          <w:iCs/>
          <w:sz w:val="24"/>
          <w:lang w:val="it-IT"/>
        </w:rPr>
        <w:t xml:space="preserve"> per </w:t>
      </w:r>
      <w:r w:rsidRPr="009B5F0F">
        <w:rPr>
          <w:rFonts w:ascii="Calibri" w:hAnsi="Calibri"/>
          <w:iCs/>
          <w:sz w:val="24"/>
          <w:lang w:val="it-IT"/>
        </w:rPr>
        <w:t>una diminuzione del 10,3%.</w:t>
      </w:r>
    </w:p>
    <w:p w14:paraId="171040FE" w14:textId="77777777" w:rsidR="002F426C" w:rsidRPr="009B5F0F" w:rsidRDefault="002F426C" w:rsidP="002F426C">
      <w:pPr>
        <w:rPr>
          <w:rFonts w:ascii="Calibri" w:hAnsi="Calibri"/>
          <w:b/>
        </w:rPr>
      </w:pPr>
      <w:r w:rsidRPr="009B5F0F">
        <w:rPr>
          <w:rFonts w:ascii="Calibri" w:hAnsi="Calibri"/>
          <w:b/>
        </w:rPr>
        <w:t>Gli andamenti settoriali</w:t>
      </w:r>
    </w:p>
    <w:p w14:paraId="659A004D" w14:textId="77777777" w:rsidR="004C0923" w:rsidRDefault="00BA3433" w:rsidP="004C0923">
      <w:pPr>
        <w:jc w:val="both"/>
        <w:rPr>
          <w:rFonts w:ascii="Calibri" w:hAnsi="Calibri"/>
        </w:rPr>
      </w:pPr>
      <w:r>
        <w:rPr>
          <w:rFonts w:ascii="Calibri" w:hAnsi="Calibri"/>
        </w:rPr>
        <w:t>D</w:t>
      </w:r>
      <w:r w:rsidRPr="004C0923">
        <w:rPr>
          <w:rFonts w:ascii="Calibri" w:hAnsi="Calibri"/>
        </w:rPr>
        <w:t>opo il rallentamento registrato nel</w:t>
      </w:r>
      <w:r>
        <w:rPr>
          <w:rFonts w:ascii="Calibri" w:hAnsi="Calibri"/>
        </w:rPr>
        <w:t xml:space="preserve"> primo semestre</w:t>
      </w:r>
      <w:r w:rsidRPr="004C0923">
        <w:rPr>
          <w:rFonts w:ascii="Calibri" w:hAnsi="Calibri"/>
        </w:rPr>
        <w:t xml:space="preserve"> 2024</w:t>
      </w:r>
      <w:r>
        <w:rPr>
          <w:rFonts w:ascii="Calibri" w:hAnsi="Calibri"/>
        </w:rPr>
        <w:t>, l</w:t>
      </w:r>
      <w:r w:rsidR="004C0923" w:rsidRPr="004C0923">
        <w:rPr>
          <w:rFonts w:ascii="Calibri" w:hAnsi="Calibri"/>
        </w:rPr>
        <w:t xml:space="preserve">e vendite all’estero di </w:t>
      </w:r>
      <w:r w:rsidR="004C0923" w:rsidRPr="0046087C">
        <w:rPr>
          <w:rFonts w:ascii="Calibri" w:hAnsi="Calibri"/>
          <w:b/>
          <w:bCs/>
          <w:i/>
          <w:iCs/>
        </w:rPr>
        <w:t>macchine di impiego generale</w:t>
      </w:r>
      <w:r w:rsidR="004C0923" w:rsidRPr="004C0923">
        <w:rPr>
          <w:rFonts w:ascii="Calibri" w:hAnsi="Calibri"/>
        </w:rPr>
        <w:t xml:space="preserve"> (turbine, pompe, accessori ed altro) hanno </w:t>
      </w:r>
      <w:r w:rsidR="00E75EB6">
        <w:rPr>
          <w:rFonts w:ascii="Calibri" w:hAnsi="Calibri"/>
        </w:rPr>
        <w:t>segnato</w:t>
      </w:r>
      <w:r>
        <w:rPr>
          <w:rFonts w:ascii="Calibri" w:hAnsi="Calibri"/>
        </w:rPr>
        <w:t xml:space="preserve"> </w:t>
      </w:r>
      <w:r w:rsidRPr="004C0923">
        <w:rPr>
          <w:rFonts w:ascii="Calibri" w:hAnsi="Calibri"/>
        </w:rPr>
        <w:t xml:space="preserve">un marcato rimbalzo </w:t>
      </w:r>
      <w:r w:rsidR="004C0923" w:rsidRPr="004C0923">
        <w:rPr>
          <w:rFonts w:ascii="Calibri" w:hAnsi="Calibri"/>
        </w:rPr>
        <w:t>nel primo semestre 2025</w:t>
      </w:r>
      <w:r w:rsidR="009256CE">
        <w:rPr>
          <w:rFonts w:ascii="Calibri" w:hAnsi="Calibri"/>
        </w:rPr>
        <w:t>,</w:t>
      </w:r>
      <w:r w:rsidR="004C0923" w:rsidRPr="004C0923">
        <w:rPr>
          <w:rFonts w:ascii="Calibri" w:hAnsi="Calibri"/>
        </w:rPr>
        <w:t xml:space="preserve"> raggiungendo i 340 milioni di euro</w:t>
      </w:r>
      <w:r w:rsidR="009256CE">
        <w:rPr>
          <w:rFonts w:ascii="Calibri" w:hAnsi="Calibri"/>
        </w:rPr>
        <w:t xml:space="preserve"> grazie a</w:t>
      </w:r>
      <w:r w:rsidR="00E75EB6">
        <w:rPr>
          <w:rFonts w:ascii="Calibri" w:hAnsi="Calibri"/>
        </w:rPr>
        <w:t xml:space="preserve"> un </w:t>
      </w:r>
      <w:r w:rsidR="00C53E27">
        <w:rPr>
          <w:rFonts w:ascii="Calibri" w:hAnsi="Calibri"/>
        </w:rPr>
        <w:t>balzo</w:t>
      </w:r>
      <w:r w:rsidR="00E75EB6">
        <w:rPr>
          <w:rFonts w:ascii="Calibri" w:hAnsi="Calibri"/>
        </w:rPr>
        <w:t xml:space="preserve"> dell’</w:t>
      </w:r>
      <w:r w:rsidR="004C0923" w:rsidRPr="004C0923">
        <w:rPr>
          <w:rFonts w:ascii="Calibri" w:hAnsi="Calibri"/>
        </w:rPr>
        <w:t>86</w:t>
      </w:r>
      <w:r w:rsidR="00E75EB6">
        <w:rPr>
          <w:rFonts w:ascii="Calibri" w:hAnsi="Calibri"/>
        </w:rPr>
        <w:t>%</w:t>
      </w:r>
      <w:r w:rsidR="004C0923" w:rsidRPr="004C0923">
        <w:rPr>
          <w:rFonts w:ascii="Calibri" w:hAnsi="Calibri"/>
        </w:rPr>
        <w:t xml:space="preserve"> (+157 milioni di euro).</w:t>
      </w:r>
      <w:r>
        <w:rPr>
          <w:rFonts w:ascii="Calibri" w:hAnsi="Calibri"/>
        </w:rPr>
        <w:t xml:space="preserve"> </w:t>
      </w:r>
      <w:r w:rsidR="004C0923" w:rsidRPr="004C0923">
        <w:rPr>
          <w:rFonts w:ascii="Calibri" w:hAnsi="Calibri"/>
        </w:rPr>
        <w:t xml:space="preserve">La </w:t>
      </w:r>
      <w:r w:rsidR="00E75EB6">
        <w:rPr>
          <w:rFonts w:ascii="Calibri" w:hAnsi="Calibri"/>
        </w:rPr>
        <w:t xml:space="preserve">forte </w:t>
      </w:r>
      <w:r w:rsidR="004C0923" w:rsidRPr="004C0923">
        <w:rPr>
          <w:rFonts w:ascii="Calibri" w:hAnsi="Calibri"/>
        </w:rPr>
        <w:t xml:space="preserve">crescita è stata trainata dalle </w:t>
      </w:r>
      <w:r>
        <w:rPr>
          <w:rFonts w:ascii="Calibri" w:hAnsi="Calibri"/>
        </w:rPr>
        <w:t xml:space="preserve">vendite in </w:t>
      </w:r>
      <w:r w:rsidR="004C0923" w:rsidRPr="004C0923">
        <w:rPr>
          <w:rFonts w:ascii="Calibri" w:hAnsi="Calibri"/>
        </w:rPr>
        <w:t xml:space="preserve">Corea del Sud, che hanno </w:t>
      </w:r>
      <w:r>
        <w:rPr>
          <w:rFonts w:ascii="Calibri" w:hAnsi="Calibri"/>
        </w:rPr>
        <w:t xml:space="preserve">sfiorato i </w:t>
      </w:r>
      <w:r w:rsidR="004C0923" w:rsidRPr="004C0923">
        <w:rPr>
          <w:rFonts w:ascii="Calibri" w:hAnsi="Calibri"/>
        </w:rPr>
        <w:t xml:space="preserve">100 milioni di euro, </w:t>
      </w:r>
      <w:r w:rsidR="00E75EB6">
        <w:rPr>
          <w:rFonts w:ascii="Calibri" w:hAnsi="Calibri"/>
        </w:rPr>
        <w:t xml:space="preserve">portando il paese asiatico a </w:t>
      </w:r>
      <w:r w:rsidR="004C0923" w:rsidRPr="004C0923">
        <w:rPr>
          <w:rFonts w:ascii="Calibri" w:hAnsi="Calibri"/>
        </w:rPr>
        <w:t>diventa</w:t>
      </w:r>
      <w:r w:rsidR="00E75EB6">
        <w:rPr>
          <w:rFonts w:ascii="Calibri" w:hAnsi="Calibri"/>
        </w:rPr>
        <w:t>re</w:t>
      </w:r>
      <w:r w:rsidR="004C0923" w:rsidRPr="004C0923">
        <w:rPr>
          <w:rFonts w:ascii="Calibri" w:hAnsi="Calibri"/>
        </w:rPr>
        <w:t xml:space="preserve"> il primo mercato di sbocco del comparto nel semestre. </w:t>
      </w:r>
      <w:r w:rsidR="00E75EB6">
        <w:rPr>
          <w:rFonts w:ascii="Calibri" w:hAnsi="Calibri"/>
        </w:rPr>
        <w:t xml:space="preserve">A seguire </w:t>
      </w:r>
      <w:r>
        <w:rPr>
          <w:rFonts w:ascii="Calibri" w:hAnsi="Calibri"/>
        </w:rPr>
        <w:t xml:space="preserve">il </w:t>
      </w:r>
      <w:r w:rsidR="004C0923" w:rsidRPr="004C0923">
        <w:rPr>
          <w:rFonts w:ascii="Calibri" w:hAnsi="Calibri"/>
        </w:rPr>
        <w:t>Qatar</w:t>
      </w:r>
      <w:r w:rsidR="003B192E">
        <w:rPr>
          <w:rFonts w:ascii="Calibri" w:hAnsi="Calibri"/>
        </w:rPr>
        <w:t>,</w:t>
      </w:r>
      <w:r w:rsidR="00E75EB6">
        <w:rPr>
          <w:rFonts w:ascii="Calibri" w:hAnsi="Calibri"/>
        </w:rPr>
        <w:t xml:space="preserve"> che</w:t>
      </w:r>
      <w:r w:rsidR="004C0923" w:rsidRPr="004C0923">
        <w:rPr>
          <w:rFonts w:ascii="Calibri" w:hAnsi="Calibri"/>
        </w:rPr>
        <w:t xml:space="preserve"> con 45 milioni di euro</w:t>
      </w:r>
      <w:r>
        <w:rPr>
          <w:rFonts w:ascii="Calibri" w:hAnsi="Calibri"/>
        </w:rPr>
        <w:t xml:space="preserve"> </w:t>
      </w:r>
      <w:r w:rsidR="00E75EB6">
        <w:rPr>
          <w:rFonts w:ascii="Calibri" w:hAnsi="Calibri"/>
        </w:rPr>
        <w:t xml:space="preserve">è </w:t>
      </w:r>
      <w:r>
        <w:rPr>
          <w:rFonts w:ascii="Calibri" w:hAnsi="Calibri"/>
        </w:rPr>
        <w:t>torna</w:t>
      </w:r>
      <w:r w:rsidR="00E75EB6">
        <w:rPr>
          <w:rFonts w:ascii="Calibri" w:hAnsi="Calibri"/>
        </w:rPr>
        <w:t>to</w:t>
      </w:r>
      <w:r>
        <w:rPr>
          <w:rFonts w:ascii="Calibri" w:hAnsi="Calibri"/>
        </w:rPr>
        <w:t xml:space="preserve"> a superare i valori del 2023</w:t>
      </w:r>
      <w:r w:rsidR="003B192E">
        <w:rPr>
          <w:rFonts w:ascii="Calibri" w:hAnsi="Calibri"/>
        </w:rPr>
        <w:t>,</w:t>
      </w:r>
      <w:r>
        <w:rPr>
          <w:rFonts w:ascii="Calibri" w:hAnsi="Calibri"/>
        </w:rPr>
        <w:t xml:space="preserve"> e g</w:t>
      </w:r>
      <w:r w:rsidR="004C0923" w:rsidRPr="004C0923">
        <w:rPr>
          <w:rFonts w:ascii="Calibri" w:hAnsi="Calibri"/>
        </w:rPr>
        <w:t>li Stati Uniti</w:t>
      </w:r>
      <w:r>
        <w:rPr>
          <w:rFonts w:ascii="Calibri" w:hAnsi="Calibri"/>
        </w:rPr>
        <w:t xml:space="preserve"> (43 milioni</w:t>
      </w:r>
      <w:r w:rsidR="00E07D1D">
        <w:rPr>
          <w:rFonts w:ascii="Calibri" w:hAnsi="Calibri"/>
        </w:rPr>
        <w:t>, +251%</w:t>
      </w:r>
      <w:r>
        <w:rPr>
          <w:rFonts w:ascii="Calibri" w:hAnsi="Calibri"/>
        </w:rPr>
        <w:t>)</w:t>
      </w:r>
      <w:r w:rsidR="004C0923" w:rsidRPr="004C0923">
        <w:rPr>
          <w:rFonts w:ascii="Calibri" w:hAnsi="Calibri"/>
        </w:rPr>
        <w:t xml:space="preserve"> terzo mercato per valore</w:t>
      </w:r>
      <w:r>
        <w:rPr>
          <w:rFonts w:ascii="Calibri" w:hAnsi="Calibri"/>
        </w:rPr>
        <w:t xml:space="preserve"> esportato</w:t>
      </w:r>
      <w:r w:rsidR="004C0923" w:rsidRPr="004C0923">
        <w:rPr>
          <w:rFonts w:ascii="Calibri" w:hAnsi="Calibri"/>
        </w:rPr>
        <w:t>.</w:t>
      </w:r>
      <w:r w:rsidR="00E07D1D">
        <w:rPr>
          <w:rFonts w:ascii="Calibri" w:hAnsi="Calibri"/>
        </w:rPr>
        <w:t xml:space="preserve"> </w:t>
      </w:r>
      <w:r w:rsidR="004C0923" w:rsidRPr="004C0923">
        <w:rPr>
          <w:rFonts w:ascii="Calibri" w:hAnsi="Calibri"/>
        </w:rPr>
        <w:t>Ottime performance anche negli Emirati Arabi Uniti (</w:t>
      </w:r>
      <w:r>
        <w:rPr>
          <w:rFonts w:ascii="Calibri" w:hAnsi="Calibri"/>
        </w:rPr>
        <w:t>33 milioni</w:t>
      </w:r>
      <w:r w:rsidR="004C0923" w:rsidRPr="004C0923">
        <w:rPr>
          <w:rFonts w:ascii="Calibri" w:hAnsi="Calibri"/>
        </w:rPr>
        <w:t>), Singapore (</w:t>
      </w:r>
      <w:r>
        <w:rPr>
          <w:rFonts w:ascii="Calibri" w:hAnsi="Calibri"/>
        </w:rPr>
        <w:t>18,7 milioni</w:t>
      </w:r>
      <w:r w:rsidR="004C0923" w:rsidRPr="004C0923">
        <w:rPr>
          <w:rFonts w:ascii="Calibri" w:hAnsi="Calibri"/>
        </w:rPr>
        <w:t>) e India (</w:t>
      </w:r>
      <w:r>
        <w:rPr>
          <w:rFonts w:ascii="Calibri" w:hAnsi="Calibri"/>
        </w:rPr>
        <w:t>18,3 milioni)</w:t>
      </w:r>
      <w:r w:rsidR="004C0923" w:rsidRPr="004C0923">
        <w:rPr>
          <w:rFonts w:ascii="Calibri" w:hAnsi="Calibri"/>
        </w:rPr>
        <w:t>, che hanno registrato aumenti a tripla cifra, rafforzando la presenza del comparto nei mercati asiatici e mediorientali.</w:t>
      </w:r>
      <w:r>
        <w:rPr>
          <w:rFonts w:ascii="Calibri" w:hAnsi="Calibri"/>
        </w:rPr>
        <w:t xml:space="preserve"> </w:t>
      </w:r>
      <w:r w:rsidR="00E75EB6">
        <w:rPr>
          <w:rFonts w:ascii="Calibri" w:hAnsi="Calibri"/>
        </w:rPr>
        <w:t>Infine</w:t>
      </w:r>
      <w:r w:rsidR="00E07D1D">
        <w:rPr>
          <w:rFonts w:ascii="Calibri" w:hAnsi="Calibri"/>
        </w:rPr>
        <w:t>,</w:t>
      </w:r>
      <w:r>
        <w:rPr>
          <w:rFonts w:ascii="Calibri" w:hAnsi="Calibri"/>
        </w:rPr>
        <w:t xml:space="preserve"> </w:t>
      </w:r>
      <w:r w:rsidR="00E07D1D">
        <w:rPr>
          <w:rFonts w:ascii="Calibri" w:hAnsi="Calibri"/>
        </w:rPr>
        <w:t xml:space="preserve">le vendite in </w:t>
      </w:r>
      <w:r>
        <w:rPr>
          <w:rFonts w:ascii="Calibri" w:hAnsi="Calibri"/>
        </w:rPr>
        <w:t xml:space="preserve">Norvegia </w:t>
      </w:r>
      <w:r w:rsidR="00E07D1D">
        <w:rPr>
          <w:rFonts w:ascii="Calibri" w:hAnsi="Calibri"/>
        </w:rPr>
        <w:t xml:space="preserve">si sono fermate a </w:t>
      </w:r>
      <w:r>
        <w:rPr>
          <w:rFonts w:ascii="Calibri" w:hAnsi="Calibri"/>
        </w:rPr>
        <w:t>15 milioni</w:t>
      </w:r>
      <w:r w:rsidR="00E07D1D">
        <w:rPr>
          <w:rFonts w:ascii="Calibri" w:hAnsi="Calibri"/>
        </w:rPr>
        <w:t>, la metà</w:t>
      </w:r>
      <w:r w:rsidR="00E75EB6">
        <w:rPr>
          <w:rFonts w:ascii="Calibri" w:hAnsi="Calibri"/>
        </w:rPr>
        <w:t xml:space="preserve"> </w:t>
      </w:r>
      <w:r w:rsidR="00E07D1D">
        <w:rPr>
          <w:rFonts w:ascii="Calibri" w:hAnsi="Calibri"/>
        </w:rPr>
        <w:t xml:space="preserve">del valore registrato </w:t>
      </w:r>
      <w:r>
        <w:rPr>
          <w:rFonts w:ascii="Calibri" w:hAnsi="Calibri"/>
        </w:rPr>
        <w:t>un anno fa.</w:t>
      </w:r>
    </w:p>
    <w:p w14:paraId="600A745F" w14:textId="77777777" w:rsidR="009B5F0F" w:rsidRDefault="00027A0B" w:rsidP="009B5F0F">
      <w:pPr>
        <w:jc w:val="both"/>
        <w:rPr>
          <w:rFonts w:ascii="Calibri" w:hAnsi="Calibri"/>
        </w:rPr>
      </w:pPr>
      <w:r w:rsidRPr="009B5F0F">
        <w:rPr>
          <w:rFonts w:ascii="Calibri" w:hAnsi="Calibri"/>
        </w:rPr>
        <w:t>Per contro</w:t>
      </w:r>
      <w:r w:rsidR="003A0C44" w:rsidRPr="009B5F0F">
        <w:rPr>
          <w:rFonts w:ascii="Calibri" w:hAnsi="Calibri"/>
        </w:rPr>
        <w:t>,</w:t>
      </w:r>
      <w:r w:rsidR="009B5F0F" w:rsidRPr="009B5F0F">
        <w:t xml:space="preserve"> </w:t>
      </w:r>
      <w:r w:rsidR="009B5F0F">
        <w:rPr>
          <w:rFonts w:ascii="Calibri" w:hAnsi="Calibri"/>
        </w:rPr>
        <w:t>l</w:t>
      </w:r>
      <w:r w:rsidR="009B5F0F" w:rsidRPr="009B5F0F">
        <w:rPr>
          <w:rFonts w:ascii="Calibri" w:hAnsi="Calibri"/>
        </w:rPr>
        <w:t xml:space="preserve">e </w:t>
      </w:r>
      <w:r w:rsidR="009B5F0F" w:rsidRPr="006E2F52">
        <w:rPr>
          <w:rFonts w:ascii="Calibri" w:hAnsi="Calibri"/>
          <w:b/>
          <w:bCs/>
        </w:rPr>
        <w:t>altre</w:t>
      </w:r>
      <w:r w:rsidR="009B5F0F" w:rsidRPr="009B5F0F">
        <w:rPr>
          <w:rFonts w:ascii="Calibri" w:hAnsi="Calibri"/>
        </w:rPr>
        <w:t xml:space="preserve"> </w:t>
      </w:r>
      <w:r w:rsidR="009B5F0F" w:rsidRPr="0046087C">
        <w:rPr>
          <w:rFonts w:ascii="Calibri" w:hAnsi="Calibri"/>
          <w:b/>
          <w:bCs/>
          <w:i/>
          <w:iCs/>
        </w:rPr>
        <w:t>macchine di impiego generale</w:t>
      </w:r>
      <w:r w:rsidR="009B5F0F" w:rsidRPr="009B5F0F">
        <w:rPr>
          <w:rFonts w:ascii="Calibri" w:hAnsi="Calibri"/>
        </w:rPr>
        <w:t>, che includono macchinari e apparecchiature destinate all’industria chimica, petrolchimica e petrolifera, hanno registrato un marcato rallentamento</w:t>
      </w:r>
      <w:r w:rsidR="00BB5328" w:rsidRPr="00BB5328">
        <w:rPr>
          <w:rFonts w:ascii="Calibri" w:hAnsi="Calibri"/>
        </w:rPr>
        <w:t xml:space="preserve"> </w:t>
      </w:r>
      <w:r w:rsidR="00BB5328" w:rsidRPr="009B5F0F">
        <w:rPr>
          <w:rFonts w:ascii="Calibri" w:hAnsi="Calibri"/>
        </w:rPr>
        <w:t>nel primo semestre 2025</w:t>
      </w:r>
      <w:r w:rsidR="009B5F0F" w:rsidRPr="009B5F0F">
        <w:rPr>
          <w:rFonts w:ascii="Calibri" w:hAnsi="Calibri"/>
        </w:rPr>
        <w:t xml:space="preserve">, </w:t>
      </w:r>
      <w:r w:rsidR="006E2F52">
        <w:rPr>
          <w:rFonts w:ascii="Calibri" w:hAnsi="Calibri"/>
        </w:rPr>
        <w:t>fermandosi</w:t>
      </w:r>
      <w:r w:rsidR="009B5F0F" w:rsidRPr="009B5F0F">
        <w:rPr>
          <w:rFonts w:ascii="Calibri" w:hAnsi="Calibri"/>
        </w:rPr>
        <w:t xml:space="preserve"> a </w:t>
      </w:r>
      <w:r w:rsidR="00D43E57">
        <w:rPr>
          <w:rFonts w:ascii="Calibri" w:hAnsi="Calibri"/>
        </w:rPr>
        <w:t>quasi</w:t>
      </w:r>
      <w:r w:rsidR="009B5F0F" w:rsidRPr="009B5F0F">
        <w:rPr>
          <w:rFonts w:ascii="Calibri" w:hAnsi="Calibri"/>
        </w:rPr>
        <w:t xml:space="preserve"> 75 milioni di euro. Si tratta di una flessione di oltre 335 milioni di euro</w:t>
      </w:r>
      <w:r w:rsidR="00D43E57" w:rsidRPr="009B5F0F">
        <w:rPr>
          <w:rFonts w:ascii="Calibri" w:hAnsi="Calibri"/>
        </w:rPr>
        <w:t xml:space="preserve"> in valore assoluto</w:t>
      </w:r>
      <w:r w:rsidR="009B5F0F" w:rsidRPr="009B5F0F">
        <w:rPr>
          <w:rFonts w:ascii="Calibri" w:hAnsi="Calibri"/>
        </w:rPr>
        <w:t xml:space="preserve"> rispetto al pari periodo del 2024, </w:t>
      </w:r>
      <w:r w:rsidR="00D43E57">
        <w:rPr>
          <w:rFonts w:ascii="Calibri" w:hAnsi="Calibri"/>
        </w:rPr>
        <w:t>corrispondente a</w:t>
      </w:r>
      <w:r w:rsidR="009B5F0F" w:rsidRPr="009B5F0F">
        <w:rPr>
          <w:rFonts w:ascii="Calibri" w:hAnsi="Calibri"/>
        </w:rPr>
        <w:t xml:space="preserve"> un </w:t>
      </w:r>
      <w:r w:rsidR="007B6132">
        <w:rPr>
          <w:rFonts w:ascii="Calibri" w:hAnsi="Calibri"/>
        </w:rPr>
        <w:t xml:space="preserve">severo </w:t>
      </w:r>
      <w:r w:rsidR="009B5F0F" w:rsidRPr="009B5F0F">
        <w:rPr>
          <w:rFonts w:ascii="Calibri" w:hAnsi="Calibri"/>
        </w:rPr>
        <w:t>calo dell’81,8%</w:t>
      </w:r>
      <w:r w:rsidR="00D43E57">
        <w:rPr>
          <w:rFonts w:ascii="Calibri" w:hAnsi="Calibri"/>
        </w:rPr>
        <w:t>.</w:t>
      </w:r>
      <w:r w:rsidR="006E2F52">
        <w:rPr>
          <w:rFonts w:ascii="Calibri" w:hAnsi="Calibri"/>
        </w:rPr>
        <w:t xml:space="preserve"> </w:t>
      </w:r>
      <w:r w:rsidR="00D43E57">
        <w:rPr>
          <w:rFonts w:ascii="Calibri" w:hAnsi="Calibri"/>
        </w:rPr>
        <w:t xml:space="preserve">Tale </w:t>
      </w:r>
      <w:r w:rsidR="009B5F0F" w:rsidRPr="009B5F0F">
        <w:rPr>
          <w:rFonts w:ascii="Calibri" w:hAnsi="Calibri"/>
        </w:rPr>
        <w:t xml:space="preserve">crollo è riconducibile </w:t>
      </w:r>
      <w:r w:rsidR="00D43E57">
        <w:rPr>
          <w:rFonts w:ascii="Calibri" w:hAnsi="Calibri"/>
        </w:rPr>
        <w:t xml:space="preserve">per la quasi totalità </w:t>
      </w:r>
      <w:r w:rsidR="009B5F0F" w:rsidRPr="009B5F0F">
        <w:rPr>
          <w:rFonts w:ascii="Calibri" w:hAnsi="Calibri"/>
        </w:rPr>
        <w:t xml:space="preserve">alla drastica contrazione delle esportazioni verso gli Stati Uniti, </w:t>
      </w:r>
      <w:r w:rsidR="006E2F52">
        <w:rPr>
          <w:rFonts w:ascii="Calibri" w:hAnsi="Calibri"/>
        </w:rPr>
        <w:t>che</w:t>
      </w:r>
      <w:r w:rsidR="009B5F0F" w:rsidRPr="009B5F0F">
        <w:rPr>
          <w:rFonts w:ascii="Calibri" w:hAnsi="Calibri"/>
        </w:rPr>
        <w:t xml:space="preserve"> nel primo semestre 2025 sono scese </w:t>
      </w:r>
      <w:r w:rsidR="00D43E57">
        <w:rPr>
          <w:rFonts w:ascii="Calibri" w:hAnsi="Calibri"/>
        </w:rPr>
        <w:t xml:space="preserve">sotto i 10 </w:t>
      </w:r>
      <w:r w:rsidR="009B5F0F" w:rsidRPr="009B5F0F">
        <w:rPr>
          <w:rFonts w:ascii="Calibri" w:hAnsi="Calibri"/>
        </w:rPr>
        <w:t>milioni di euro</w:t>
      </w:r>
      <w:r w:rsidR="006E2F52">
        <w:rPr>
          <w:rFonts w:ascii="Calibri" w:hAnsi="Calibri"/>
        </w:rPr>
        <w:t xml:space="preserve"> dai </w:t>
      </w:r>
      <w:r w:rsidR="006E2F52" w:rsidRPr="009B5F0F">
        <w:rPr>
          <w:rFonts w:ascii="Calibri" w:hAnsi="Calibri"/>
        </w:rPr>
        <w:t>384 milioni di euro</w:t>
      </w:r>
      <w:r w:rsidR="009B5F0F" w:rsidRPr="009B5F0F">
        <w:rPr>
          <w:rFonts w:ascii="Calibri" w:hAnsi="Calibri"/>
        </w:rPr>
        <w:t xml:space="preserve"> </w:t>
      </w:r>
      <w:r w:rsidR="006E2F52">
        <w:rPr>
          <w:rFonts w:ascii="Calibri" w:hAnsi="Calibri"/>
        </w:rPr>
        <w:t xml:space="preserve">del primo semestre 2024 </w:t>
      </w:r>
      <w:r w:rsidR="009B5F0F" w:rsidRPr="009B5F0F">
        <w:rPr>
          <w:rFonts w:ascii="Calibri" w:hAnsi="Calibri"/>
        </w:rPr>
        <w:t>(-97,6%). Analoga tendenza per l’Arabia Saudita</w:t>
      </w:r>
      <w:r w:rsidR="006E2F52">
        <w:rPr>
          <w:rFonts w:ascii="Calibri" w:hAnsi="Calibri"/>
        </w:rPr>
        <w:t>,</w:t>
      </w:r>
      <w:r w:rsidR="007B6132">
        <w:rPr>
          <w:rFonts w:ascii="Calibri" w:hAnsi="Calibri"/>
        </w:rPr>
        <w:t xml:space="preserve"> </w:t>
      </w:r>
      <w:r w:rsidR="009B5F0F" w:rsidRPr="009B5F0F">
        <w:rPr>
          <w:rFonts w:ascii="Calibri" w:hAnsi="Calibri"/>
        </w:rPr>
        <w:t>che ha registrato un crollo del</w:t>
      </w:r>
      <w:r w:rsidR="00D43E57">
        <w:rPr>
          <w:rFonts w:ascii="Calibri" w:hAnsi="Calibri"/>
        </w:rPr>
        <w:t xml:space="preserve"> 9</w:t>
      </w:r>
      <w:r w:rsidR="009B5F0F" w:rsidRPr="009B5F0F">
        <w:rPr>
          <w:rFonts w:ascii="Calibri" w:hAnsi="Calibri"/>
        </w:rPr>
        <w:t>6,7% perdendo quasi 10 milioni di euro rispetto allo scorso anno</w:t>
      </w:r>
      <w:r w:rsidR="00D43E57">
        <w:rPr>
          <w:rFonts w:ascii="Calibri" w:hAnsi="Calibri"/>
        </w:rPr>
        <w:t xml:space="preserve"> e azzerando di fatto gli acquisti di tali beni dalla provincia apuana.</w:t>
      </w:r>
      <w:r w:rsidR="00AA06D6">
        <w:rPr>
          <w:rFonts w:ascii="Calibri" w:hAnsi="Calibri"/>
        </w:rPr>
        <w:t xml:space="preserve"> </w:t>
      </w:r>
      <w:r w:rsidR="009B5F0F" w:rsidRPr="009B5F0F">
        <w:rPr>
          <w:rFonts w:ascii="Calibri" w:hAnsi="Calibri"/>
        </w:rPr>
        <w:t>Allo stesso tempo, si segnalano alcune performance molto positive su mercati emergenti e meno consolidati. In particolare, l’export verso Singapore ha raggiunto i 16,3 milioni di euro, seguit</w:t>
      </w:r>
      <w:r w:rsidR="00D43E57">
        <w:rPr>
          <w:rFonts w:ascii="Calibri" w:hAnsi="Calibri"/>
        </w:rPr>
        <w:t>o</w:t>
      </w:r>
      <w:r w:rsidR="009B5F0F" w:rsidRPr="009B5F0F">
        <w:rPr>
          <w:rFonts w:ascii="Calibri" w:hAnsi="Calibri"/>
        </w:rPr>
        <w:t xml:space="preserve"> dagli Emirati Arabi Unit</w:t>
      </w:r>
      <w:r w:rsidR="00D43E57">
        <w:rPr>
          <w:rFonts w:ascii="Calibri" w:hAnsi="Calibri"/>
        </w:rPr>
        <w:t xml:space="preserve">i </w:t>
      </w:r>
      <w:r w:rsidR="009B5F0F" w:rsidRPr="009B5F0F">
        <w:rPr>
          <w:rFonts w:ascii="Calibri" w:hAnsi="Calibri"/>
        </w:rPr>
        <w:t xml:space="preserve">con oltre 15,4 milioni di euro. Bene anche </w:t>
      </w:r>
      <w:r w:rsidR="00D43E57">
        <w:rPr>
          <w:rFonts w:ascii="Calibri" w:hAnsi="Calibri"/>
        </w:rPr>
        <w:t xml:space="preserve">le vendite in </w:t>
      </w:r>
      <w:r w:rsidR="009B5F0F" w:rsidRPr="009B5F0F">
        <w:rPr>
          <w:rFonts w:ascii="Calibri" w:hAnsi="Calibri"/>
        </w:rPr>
        <w:t xml:space="preserve">Uzbekistan, </w:t>
      </w:r>
      <w:r w:rsidR="00AA06D6">
        <w:rPr>
          <w:rFonts w:ascii="Calibri" w:hAnsi="Calibri"/>
        </w:rPr>
        <w:t>che</w:t>
      </w:r>
      <w:r w:rsidR="009B5F0F" w:rsidRPr="009B5F0F">
        <w:rPr>
          <w:rFonts w:ascii="Calibri" w:hAnsi="Calibri"/>
        </w:rPr>
        <w:t xml:space="preserve"> hanno superato i 9,6 milioni di euro</w:t>
      </w:r>
      <w:r w:rsidR="00D43E57">
        <w:rPr>
          <w:rFonts w:ascii="Calibri" w:hAnsi="Calibri"/>
        </w:rPr>
        <w:t xml:space="preserve">, in </w:t>
      </w:r>
      <w:r w:rsidR="009B5F0F" w:rsidRPr="009B5F0F">
        <w:rPr>
          <w:rFonts w:ascii="Calibri" w:hAnsi="Calibri"/>
        </w:rPr>
        <w:t xml:space="preserve">Brasile </w:t>
      </w:r>
      <w:r w:rsidR="00AA06D6">
        <w:rPr>
          <w:rFonts w:ascii="Calibri" w:hAnsi="Calibri"/>
        </w:rPr>
        <w:t>(</w:t>
      </w:r>
      <w:r w:rsidR="009B5F0F" w:rsidRPr="009B5F0F">
        <w:rPr>
          <w:rFonts w:ascii="Calibri" w:hAnsi="Calibri"/>
        </w:rPr>
        <w:t>8,3 milioni</w:t>
      </w:r>
      <w:r w:rsidR="00AA06D6">
        <w:rPr>
          <w:rFonts w:ascii="Calibri" w:hAnsi="Calibri"/>
        </w:rPr>
        <w:t>)</w:t>
      </w:r>
      <w:r w:rsidR="009B5F0F" w:rsidRPr="009B5F0F">
        <w:rPr>
          <w:rFonts w:ascii="Calibri" w:hAnsi="Calibri"/>
        </w:rPr>
        <w:t xml:space="preserve"> </w:t>
      </w:r>
      <w:r w:rsidR="00AA06D6">
        <w:rPr>
          <w:rFonts w:ascii="Calibri" w:hAnsi="Calibri"/>
        </w:rPr>
        <w:t xml:space="preserve">e </w:t>
      </w:r>
      <w:r w:rsidR="00D43E57">
        <w:rPr>
          <w:rFonts w:ascii="Calibri" w:hAnsi="Calibri"/>
        </w:rPr>
        <w:t xml:space="preserve">in </w:t>
      </w:r>
      <w:r w:rsidR="009B5F0F" w:rsidRPr="009B5F0F">
        <w:rPr>
          <w:rFonts w:ascii="Calibri" w:hAnsi="Calibri"/>
        </w:rPr>
        <w:t xml:space="preserve">Algeria </w:t>
      </w:r>
      <w:r w:rsidR="00D43E57">
        <w:rPr>
          <w:rFonts w:ascii="Calibri" w:hAnsi="Calibri"/>
        </w:rPr>
        <w:t xml:space="preserve">(4,3 milioni). </w:t>
      </w:r>
      <w:r w:rsidR="009B5F0F" w:rsidRPr="009B5F0F">
        <w:rPr>
          <w:rFonts w:ascii="Calibri" w:hAnsi="Calibri"/>
        </w:rPr>
        <w:t xml:space="preserve">Nel complesso il semestre si </w:t>
      </w:r>
      <w:r w:rsidR="009B5F0F">
        <w:rPr>
          <w:rFonts w:ascii="Calibri" w:hAnsi="Calibri"/>
        </w:rPr>
        <w:t xml:space="preserve">è </w:t>
      </w:r>
      <w:r w:rsidR="00D43E57">
        <w:rPr>
          <w:rFonts w:ascii="Calibri" w:hAnsi="Calibri"/>
        </w:rPr>
        <w:t xml:space="preserve">quindi </w:t>
      </w:r>
      <w:r w:rsidR="009B5F0F">
        <w:rPr>
          <w:rFonts w:ascii="Calibri" w:hAnsi="Calibri"/>
        </w:rPr>
        <w:t>chiuso</w:t>
      </w:r>
      <w:r w:rsidR="009B5F0F" w:rsidRPr="009B5F0F">
        <w:rPr>
          <w:rFonts w:ascii="Calibri" w:hAnsi="Calibri"/>
        </w:rPr>
        <w:t xml:space="preserve"> con una brusca inversione di tendenza rispetto all’anno precedente, riflettendo un ridimensionamento legato principalmente </w:t>
      </w:r>
      <w:r w:rsidR="00D43E57">
        <w:rPr>
          <w:rFonts w:ascii="Calibri" w:hAnsi="Calibri"/>
        </w:rPr>
        <w:t xml:space="preserve">i cicli di fatturazione </w:t>
      </w:r>
      <w:r w:rsidR="009B5F0F" w:rsidRPr="009B5F0F">
        <w:rPr>
          <w:rFonts w:ascii="Calibri" w:hAnsi="Calibri"/>
        </w:rPr>
        <w:t>di grandi commesse</w:t>
      </w:r>
      <w:r w:rsidR="00D43E57">
        <w:rPr>
          <w:rFonts w:ascii="Calibri" w:hAnsi="Calibri"/>
        </w:rPr>
        <w:t xml:space="preserve">, specie nei </w:t>
      </w:r>
      <w:r w:rsidR="009B5F0F" w:rsidRPr="009B5F0F">
        <w:rPr>
          <w:rFonts w:ascii="Calibri" w:hAnsi="Calibri"/>
        </w:rPr>
        <w:t xml:space="preserve">mercati </w:t>
      </w:r>
      <w:r w:rsidR="00D43E57">
        <w:rPr>
          <w:rFonts w:ascii="Calibri" w:hAnsi="Calibri"/>
        </w:rPr>
        <w:t xml:space="preserve">tradizionalmente </w:t>
      </w:r>
      <w:r w:rsidR="009B5F0F" w:rsidRPr="009B5F0F">
        <w:rPr>
          <w:rFonts w:ascii="Calibri" w:hAnsi="Calibri"/>
        </w:rPr>
        <w:t>più strutturati</w:t>
      </w:r>
      <w:r w:rsidR="00D43E57">
        <w:rPr>
          <w:rFonts w:ascii="Calibri" w:hAnsi="Calibri"/>
        </w:rPr>
        <w:t>.</w:t>
      </w:r>
    </w:p>
    <w:p w14:paraId="0C1F37A8" w14:textId="204BA7A1" w:rsidR="008D3100" w:rsidRDefault="00F72DE4" w:rsidP="0022419F">
      <w:pPr>
        <w:spacing w:after="240"/>
        <w:jc w:val="both"/>
        <w:rPr>
          <w:rFonts w:ascii="Calibri" w:hAnsi="Calibri"/>
        </w:rPr>
      </w:pPr>
      <w:r>
        <w:rPr>
          <w:rFonts w:ascii="Calibri" w:hAnsi="Calibri"/>
        </w:rPr>
        <w:t xml:space="preserve">Lieve calo anche per le vendite estere di </w:t>
      </w:r>
      <w:r w:rsidR="000C37B4" w:rsidRPr="0046087C">
        <w:rPr>
          <w:rFonts w:ascii="Calibri" w:hAnsi="Calibri"/>
          <w:b/>
          <w:bCs/>
          <w:i/>
          <w:iCs/>
        </w:rPr>
        <w:t>macchine per la formatura dei metalli</w:t>
      </w:r>
      <w:r w:rsidR="000C37B4" w:rsidRPr="000C37B4">
        <w:rPr>
          <w:rFonts w:ascii="Calibri" w:hAnsi="Calibri"/>
        </w:rPr>
        <w:t xml:space="preserve">, il cui </w:t>
      </w:r>
      <w:r>
        <w:rPr>
          <w:rFonts w:ascii="Calibri" w:hAnsi="Calibri"/>
        </w:rPr>
        <w:t xml:space="preserve">export </w:t>
      </w:r>
      <w:r w:rsidR="000C37B4" w:rsidRPr="000C37B4">
        <w:rPr>
          <w:rFonts w:ascii="Calibri" w:hAnsi="Calibri"/>
        </w:rPr>
        <w:t>è sceso a 15,3 milioni di euro, registrando una flessione del 3,2% rispetto allo stesso periodo dell'anno precedente</w:t>
      </w:r>
      <w:r w:rsidR="007B6132">
        <w:rPr>
          <w:rFonts w:ascii="Calibri" w:hAnsi="Calibri"/>
        </w:rPr>
        <w:t>. La</w:t>
      </w:r>
      <w:r w:rsidR="006472E3">
        <w:rPr>
          <w:rFonts w:ascii="Calibri" w:hAnsi="Calibri"/>
        </w:rPr>
        <w:t xml:space="preserve"> crescita è stata </w:t>
      </w:r>
      <w:r w:rsidR="007B6132">
        <w:rPr>
          <w:rFonts w:ascii="Calibri" w:hAnsi="Calibri"/>
        </w:rPr>
        <w:t>invece</w:t>
      </w:r>
      <w:r w:rsidR="00D667FC" w:rsidRPr="00D667FC">
        <w:rPr>
          <w:rFonts w:ascii="Calibri" w:hAnsi="Calibri"/>
        </w:rPr>
        <w:t xml:space="preserve"> </w:t>
      </w:r>
      <w:r w:rsidR="00D667FC">
        <w:rPr>
          <w:rFonts w:ascii="Calibri" w:hAnsi="Calibri"/>
        </w:rPr>
        <w:t>netta</w:t>
      </w:r>
      <w:r w:rsidR="006472E3">
        <w:rPr>
          <w:rFonts w:ascii="Calibri" w:hAnsi="Calibri"/>
        </w:rPr>
        <w:t xml:space="preserve"> </w:t>
      </w:r>
      <w:r w:rsidR="000C37B4" w:rsidRPr="000C37B4">
        <w:rPr>
          <w:rFonts w:ascii="Calibri" w:hAnsi="Calibri"/>
        </w:rPr>
        <w:t xml:space="preserve">(+30,4%) </w:t>
      </w:r>
      <w:r w:rsidR="006472E3">
        <w:rPr>
          <w:rFonts w:ascii="Calibri" w:hAnsi="Calibri"/>
        </w:rPr>
        <w:t xml:space="preserve">per </w:t>
      </w:r>
      <w:r w:rsidR="000C37B4" w:rsidRPr="000C37B4">
        <w:rPr>
          <w:rFonts w:ascii="Calibri" w:hAnsi="Calibri"/>
        </w:rPr>
        <w:t xml:space="preserve">l’export delle </w:t>
      </w:r>
      <w:r w:rsidR="000C37B4" w:rsidRPr="0046087C">
        <w:rPr>
          <w:rFonts w:ascii="Calibri" w:hAnsi="Calibri"/>
          <w:b/>
          <w:bCs/>
          <w:i/>
          <w:iCs/>
        </w:rPr>
        <w:t>altre macchine per impieghi speciali</w:t>
      </w:r>
      <w:r w:rsidR="000C37B4" w:rsidRPr="000C37B4">
        <w:rPr>
          <w:rFonts w:ascii="Calibri" w:hAnsi="Calibri"/>
        </w:rPr>
        <w:t>.</w:t>
      </w:r>
    </w:p>
    <w:p w14:paraId="116A7C32" w14:textId="77777777" w:rsidR="008D3100" w:rsidRDefault="008D3100">
      <w:pPr>
        <w:rPr>
          <w:rFonts w:ascii="Calibri" w:hAnsi="Calibri"/>
        </w:rPr>
      </w:pPr>
      <w:r>
        <w:rPr>
          <w:rFonts w:ascii="Calibri" w:hAnsi="Calibri"/>
        </w:rPr>
        <w:br w:type="page"/>
      </w:r>
    </w:p>
    <w:tbl>
      <w:tblPr>
        <w:tblW w:w="9436" w:type="dxa"/>
        <w:tblInd w:w="70" w:type="dxa"/>
        <w:tblCellMar>
          <w:left w:w="70" w:type="dxa"/>
          <w:right w:w="70" w:type="dxa"/>
        </w:tblCellMar>
        <w:tblLook w:val="04A0" w:firstRow="1" w:lastRow="0" w:firstColumn="1" w:lastColumn="0" w:noHBand="0" w:noVBand="1"/>
      </w:tblPr>
      <w:tblGrid>
        <w:gridCol w:w="3907"/>
        <w:gridCol w:w="1369"/>
        <w:gridCol w:w="1367"/>
        <w:gridCol w:w="1012"/>
        <w:gridCol w:w="739"/>
        <w:gridCol w:w="1042"/>
      </w:tblGrid>
      <w:tr w:rsidR="0022419F" w14:paraId="0FEEDEE5" w14:textId="77777777" w:rsidTr="002B5E47">
        <w:trPr>
          <w:trHeight w:val="288"/>
        </w:trPr>
        <w:tc>
          <w:tcPr>
            <w:tcW w:w="7655" w:type="dxa"/>
            <w:gridSpan w:val="4"/>
            <w:tcBorders>
              <w:top w:val="nil"/>
              <w:left w:val="nil"/>
              <w:bottom w:val="nil"/>
              <w:right w:val="nil"/>
            </w:tcBorders>
            <w:noWrap/>
            <w:vAlign w:val="center"/>
            <w:hideMark/>
          </w:tcPr>
          <w:p w14:paraId="24A6E506" w14:textId="77777777" w:rsidR="0022419F" w:rsidRDefault="0022419F" w:rsidP="00A35AEF">
            <w:pPr>
              <w:rPr>
                <w:rFonts w:ascii="Calibri" w:hAnsi="Calibri" w:cs="Calibri"/>
                <w:b/>
                <w:bCs/>
                <w:color w:val="000000"/>
                <w:sz w:val="20"/>
                <w:szCs w:val="20"/>
              </w:rPr>
            </w:pPr>
            <w:r>
              <w:rPr>
                <w:rFonts w:ascii="Calibri" w:hAnsi="Calibri" w:cs="Calibri"/>
                <w:iCs/>
                <w:highlight w:val="yellow"/>
              </w:rPr>
              <w:lastRenderedPageBreak/>
              <w:br w:type="page"/>
            </w:r>
            <w:r>
              <w:rPr>
                <w:rFonts w:ascii="Calibri" w:hAnsi="Calibri" w:cs="Calibri"/>
                <w:iCs/>
                <w:highlight w:val="yellow"/>
              </w:rPr>
              <w:br w:type="page"/>
            </w:r>
            <w:r>
              <w:rPr>
                <w:rFonts w:ascii="Calibri" w:hAnsi="Calibri" w:cs="Calibri"/>
                <w:b/>
                <w:bCs/>
                <w:color w:val="000000"/>
                <w:sz w:val="20"/>
                <w:szCs w:val="20"/>
              </w:rPr>
              <w:t>I principali settori esportatori della provincia di Massa-Carrara - I semestre 2025</w:t>
            </w:r>
          </w:p>
        </w:tc>
        <w:tc>
          <w:tcPr>
            <w:tcW w:w="739" w:type="dxa"/>
            <w:tcBorders>
              <w:top w:val="nil"/>
              <w:left w:val="nil"/>
              <w:bottom w:val="nil"/>
              <w:right w:val="nil"/>
            </w:tcBorders>
            <w:noWrap/>
            <w:vAlign w:val="center"/>
            <w:hideMark/>
          </w:tcPr>
          <w:p w14:paraId="31ACEB7A" w14:textId="77777777" w:rsidR="0022419F" w:rsidRDefault="0022419F" w:rsidP="00A35AEF">
            <w:pPr>
              <w:rPr>
                <w:rFonts w:ascii="Calibri" w:hAnsi="Calibri" w:cs="Calibri"/>
                <w:b/>
                <w:bCs/>
                <w:color w:val="000000"/>
                <w:sz w:val="20"/>
                <w:szCs w:val="20"/>
              </w:rPr>
            </w:pPr>
          </w:p>
        </w:tc>
        <w:tc>
          <w:tcPr>
            <w:tcW w:w="1042" w:type="dxa"/>
            <w:tcBorders>
              <w:top w:val="nil"/>
              <w:left w:val="nil"/>
              <w:bottom w:val="nil"/>
              <w:right w:val="nil"/>
            </w:tcBorders>
            <w:noWrap/>
            <w:vAlign w:val="center"/>
            <w:hideMark/>
          </w:tcPr>
          <w:p w14:paraId="51D2680F" w14:textId="77777777" w:rsidR="0022419F" w:rsidRDefault="0022419F" w:rsidP="00A35AEF">
            <w:pPr>
              <w:rPr>
                <w:sz w:val="20"/>
                <w:szCs w:val="20"/>
              </w:rPr>
            </w:pPr>
          </w:p>
        </w:tc>
      </w:tr>
      <w:tr w:rsidR="0022419F" w14:paraId="720D2387" w14:textId="77777777" w:rsidTr="002B5E47">
        <w:trPr>
          <w:trHeight w:val="288"/>
        </w:trPr>
        <w:tc>
          <w:tcPr>
            <w:tcW w:w="5276" w:type="dxa"/>
            <w:gridSpan w:val="2"/>
            <w:tcBorders>
              <w:top w:val="nil"/>
              <w:left w:val="nil"/>
              <w:bottom w:val="nil"/>
              <w:right w:val="nil"/>
            </w:tcBorders>
            <w:noWrap/>
            <w:vAlign w:val="center"/>
            <w:hideMark/>
          </w:tcPr>
          <w:p w14:paraId="59E9A9B1" w14:textId="77777777" w:rsidR="0022419F" w:rsidRDefault="0022419F" w:rsidP="00A35AEF">
            <w:pPr>
              <w:rPr>
                <w:rFonts w:ascii="Calibri" w:hAnsi="Calibri" w:cs="Calibri"/>
                <w:i/>
                <w:iCs/>
                <w:color w:val="000000"/>
                <w:sz w:val="20"/>
                <w:szCs w:val="20"/>
              </w:rPr>
            </w:pPr>
            <w:r>
              <w:rPr>
                <w:rFonts w:ascii="Calibri" w:hAnsi="Calibri" w:cs="Calibri"/>
                <w:i/>
                <w:iCs/>
                <w:color w:val="000000"/>
                <w:sz w:val="20"/>
                <w:szCs w:val="20"/>
              </w:rPr>
              <w:t>Valori assoluti in euro, var. % e contributi % alla crescita </w:t>
            </w:r>
          </w:p>
        </w:tc>
        <w:tc>
          <w:tcPr>
            <w:tcW w:w="1367" w:type="dxa"/>
            <w:tcBorders>
              <w:top w:val="nil"/>
              <w:left w:val="nil"/>
              <w:bottom w:val="nil"/>
              <w:right w:val="nil"/>
            </w:tcBorders>
            <w:noWrap/>
            <w:vAlign w:val="center"/>
            <w:hideMark/>
          </w:tcPr>
          <w:p w14:paraId="741FD579" w14:textId="77777777" w:rsidR="0022419F" w:rsidRDefault="0022419F" w:rsidP="00A35AEF">
            <w:pPr>
              <w:rPr>
                <w:rFonts w:ascii="Calibri" w:hAnsi="Calibri" w:cs="Calibri"/>
                <w:i/>
                <w:iCs/>
                <w:color w:val="000000"/>
                <w:sz w:val="20"/>
                <w:szCs w:val="20"/>
              </w:rPr>
            </w:pPr>
          </w:p>
        </w:tc>
        <w:tc>
          <w:tcPr>
            <w:tcW w:w="1012" w:type="dxa"/>
            <w:tcBorders>
              <w:top w:val="nil"/>
              <w:left w:val="nil"/>
              <w:bottom w:val="nil"/>
              <w:right w:val="nil"/>
            </w:tcBorders>
            <w:noWrap/>
            <w:vAlign w:val="center"/>
            <w:hideMark/>
          </w:tcPr>
          <w:p w14:paraId="044D6B90" w14:textId="77777777" w:rsidR="0022419F" w:rsidRDefault="0022419F" w:rsidP="00A35AEF">
            <w:pPr>
              <w:rPr>
                <w:sz w:val="20"/>
                <w:szCs w:val="20"/>
              </w:rPr>
            </w:pPr>
          </w:p>
        </w:tc>
        <w:tc>
          <w:tcPr>
            <w:tcW w:w="739" w:type="dxa"/>
            <w:tcBorders>
              <w:top w:val="nil"/>
              <w:left w:val="nil"/>
              <w:bottom w:val="nil"/>
              <w:right w:val="nil"/>
            </w:tcBorders>
            <w:noWrap/>
            <w:vAlign w:val="center"/>
            <w:hideMark/>
          </w:tcPr>
          <w:p w14:paraId="2924164E" w14:textId="77777777" w:rsidR="0022419F" w:rsidRDefault="0022419F" w:rsidP="00A35AEF">
            <w:pPr>
              <w:rPr>
                <w:sz w:val="20"/>
                <w:szCs w:val="20"/>
              </w:rPr>
            </w:pPr>
          </w:p>
        </w:tc>
        <w:tc>
          <w:tcPr>
            <w:tcW w:w="1042" w:type="dxa"/>
            <w:tcBorders>
              <w:top w:val="nil"/>
              <w:left w:val="nil"/>
              <w:bottom w:val="nil"/>
              <w:right w:val="nil"/>
            </w:tcBorders>
            <w:noWrap/>
            <w:vAlign w:val="center"/>
            <w:hideMark/>
          </w:tcPr>
          <w:p w14:paraId="68788181" w14:textId="77777777" w:rsidR="0022419F" w:rsidRDefault="0022419F" w:rsidP="00A35AEF">
            <w:pPr>
              <w:rPr>
                <w:sz w:val="20"/>
                <w:szCs w:val="20"/>
              </w:rPr>
            </w:pPr>
          </w:p>
        </w:tc>
      </w:tr>
      <w:tr w:rsidR="0022419F" w14:paraId="54382DE2" w14:textId="77777777" w:rsidTr="002B5E47">
        <w:trPr>
          <w:trHeight w:val="288"/>
        </w:trPr>
        <w:tc>
          <w:tcPr>
            <w:tcW w:w="3907" w:type="dxa"/>
            <w:vMerge w:val="restart"/>
            <w:tcBorders>
              <w:top w:val="single" w:sz="4" w:space="0" w:color="auto"/>
              <w:left w:val="nil"/>
              <w:bottom w:val="single" w:sz="4" w:space="0" w:color="000000"/>
              <w:right w:val="nil"/>
            </w:tcBorders>
            <w:noWrap/>
            <w:vAlign w:val="center"/>
            <w:hideMark/>
          </w:tcPr>
          <w:p w14:paraId="7D18E0EF" w14:textId="77777777" w:rsidR="0022419F" w:rsidRDefault="0022419F" w:rsidP="00A35AEF">
            <w:pPr>
              <w:rPr>
                <w:rFonts w:ascii="Calibri" w:hAnsi="Calibri" w:cs="Calibri"/>
                <w:b/>
                <w:bCs/>
                <w:color w:val="000000"/>
                <w:sz w:val="20"/>
                <w:szCs w:val="20"/>
              </w:rPr>
            </w:pPr>
            <w:r>
              <w:rPr>
                <w:rFonts w:ascii="Calibri" w:hAnsi="Calibri" w:cs="Calibri"/>
                <w:b/>
                <w:bCs/>
                <w:color w:val="000000"/>
                <w:sz w:val="20"/>
                <w:szCs w:val="20"/>
              </w:rPr>
              <w:t>Settori di attività</w:t>
            </w:r>
          </w:p>
        </w:tc>
        <w:tc>
          <w:tcPr>
            <w:tcW w:w="2736" w:type="dxa"/>
            <w:gridSpan w:val="2"/>
            <w:tcBorders>
              <w:top w:val="single" w:sz="4" w:space="0" w:color="auto"/>
              <w:left w:val="nil"/>
              <w:bottom w:val="single" w:sz="4" w:space="0" w:color="auto"/>
              <w:right w:val="nil"/>
            </w:tcBorders>
            <w:noWrap/>
            <w:vAlign w:val="center"/>
            <w:hideMark/>
          </w:tcPr>
          <w:p w14:paraId="3E7A2A6F" w14:textId="77777777" w:rsidR="0022419F" w:rsidRDefault="0022419F" w:rsidP="00234F3A">
            <w:pPr>
              <w:jc w:val="center"/>
              <w:rPr>
                <w:rFonts w:ascii="Calibri" w:hAnsi="Calibri" w:cs="Calibri"/>
                <w:b/>
                <w:bCs/>
                <w:color w:val="000000"/>
                <w:sz w:val="20"/>
                <w:szCs w:val="20"/>
              </w:rPr>
            </w:pPr>
            <w:r>
              <w:rPr>
                <w:rFonts w:ascii="Calibri" w:hAnsi="Calibri" w:cs="Calibri"/>
                <w:b/>
                <w:bCs/>
                <w:color w:val="000000"/>
                <w:sz w:val="20"/>
                <w:szCs w:val="20"/>
              </w:rPr>
              <w:t>Valori assoluti in euro</w:t>
            </w:r>
          </w:p>
        </w:tc>
        <w:tc>
          <w:tcPr>
            <w:tcW w:w="1012" w:type="dxa"/>
            <w:vMerge w:val="restart"/>
            <w:tcBorders>
              <w:top w:val="single" w:sz="4" w:space="0" w:color="auto"/>
              <w:left w:val="nil"/>
              <w:bottom w:val="single" w:sz="4" w:space="0" w:color="000000"/>
              <w:right w:val="nil"/>
            </w:tcBorders>
            <w:noWrap/>
            <w:vAlign w:val="center"/>
            <w:hideMark/>
          </w:tcPr>
          <w:p w14:paraId="6FBAB6AB" w14:textId="77777777" w:rsidR="0022419F" w:rsidRDefault="0022419F" w:rsidP="00A35AEF">
            <w:pPr>
              <w:jc w:val="center"/>
              <w:rPr>
                <w:rFonts w:ascii="Calibri" w:hAnsi="Calibri" w:cs="Calibri"/>
                <w:b/>
                <w:bCs/>
                <w:color w:val="000000"/>
                <w:sz w:val="20"/>
                <w:szCs w:val="20"/>
              </w:rPr>
            </w:pPr>
            <w:r>
              <w:rPr>
                <w:rFonts w:ascii="Calibri" w:hAnsi="Calibri" w:cs="Calibri"/>
                <w:b/>
                <w:bCs/>
                <w:color w:val="000000"/>
                <w:sz w:val="20"/>
                <w:szCs w:val="20"/>
              </w:rPr>
              <w:t>Quota %</w:t>
            </w:r>
          </w:p>
        </w:tc>
        <w:tc>
          <w:tcPr>
            <w:tcW w:w="739" w:type="dxa"/>
            <w:vMerge w:val="restart"/>
            <w:tcBorders>
              <w:top w:val="single" w:sz="4" w:space="0" w:color="auto"/>
              <w:left w:val="nil"/>
              <w:bottom w:val="single" w:sz="4" w:space="0" w:color="000000"/>
              <w:right w:val="nil"/>
            </w:tcBorders>
            <w:noWrap/>
            <w:vAlign w:val="center"/>
            <w:hideMark/>
          </w:tcPr>
          <w:p w14:paraId="68FEAFDC" w14:textId="77777777" w:rsidR="0022419F" w:rsidRDefault="0022419F" w:rsidP="00A35AEF">
            <w:pPr>
              <w:jc w:val="center"/>
              <w:rPr>
                <w:rFonts w:ascii="Calibri" w:hAnsi="Calibri" w:cs="Calibri"/>
                <w:b/>
                <w:bCs/>
                <w:color w:val="000000"/>
                <w:sz w:val="20"/>
                <w:szCs w:val="20"/>
              </w:rPr>
            </w:pPr>
            <w:r>
              <w:rPr>
                <w:rFonts w:ascii="Calibri" w:hAnsi="Calibri" w:cs="Calibri"/>
                <w:b/>
                <w:bCs/>
                <w:color w:val="000000"/>
                <w:sz w:val="20"/>
                <w:szCs w:val="20"/>
              </w:rPr>
              <w:t>Var. %</w:t>
            </w:r>
          </w:p>
        </w:tc>
        <w:tc>
          <w:tcPr>
            <w:tcW w:w="1042" w:type="dxa"/>
            <w:vMerge w:val="restart"/>
            <w:tcBorders>
              <w:top w:val="single" w:sz="4" w:space="0" w:color="auto"/>
              <w:left w:val="nil"/>
              <w:bottom w:val="single" w:sz="4" w:space="0" w:color="000000"/>
              <w:right w:val="nil"/>
            </w:tcBorders>
            <w:vAlign w:val="center"/>
            <w:hideMark/>
          </w:tcPr>
          <w:p w14:paraId="0DAD80F0" w14:textId="77777777" w:rsidR="0022419F" w:rsidRDefault="0022419F" w:rsidP="00A35AEF">
            <w:pPr>
              <w:jc w:val="center"/>
              <w:rPr>
                <w:rFonts w:ascii="Calibri" w:hAnsi="Calibri" w:cs="Calibri"/>
                <w:b/>
                <w:bCs/>
                <w:color w:val="000000"/>
                <w:sz w:val="20"/>
                <w:szCs w:val="20"/>
              </w:rPr>
            </w:pPr>
            <w:r>
              <w:rPr>
                <w:rFonts w:ascii="Calibri" w:hAnsi="Calibri" w:cs="Calibri"/>
                <w:b/>
                <w:bCs/>
                <w:color w:val="000000"/>
                <w:sz w:val="20"/>
                <w:szCs w:val="20"/>
              </w:rPr>
              <w:t>Contribut</w:t>
            </w:r>
            <w:r w:rsidR="002B5E47">
              <w:rPr>
                <w:rFonts w:ascii="Calibri" w:hAnsi="Calibri" w:cs="Calibri"/>
                <w:b/>
                <w:bCs/>
                <w:color w:val="000000"/>
                <w:sz w:val="20"/>
                <w:szCs w:val="20"/>
              </w:rPr>
              <w:t>o</w:t>
            </w:r>
            <w:r>
              <w:rPr>
                <w:rFonts w:ascii="Calibri" w:hAnsi="Calibri" w:cs="Calibri"/>
                <w:b/>
                <w:bCs/>
                <w:color w:val="000000"/>
                <w:sz w:val="20"/>
                <w:szCs w:val="20"/>
              </w:rPr>
              <w:t xml:space="preserve"> %</w:t>
            </w:r>
          </w:p>
        </w:tc>
      </w:tr>
      <w:tr w:rsidR="0022419F" w14:paraId="42582F0B" w14:textId="77777777" w:rsidTr="002B5E47">
        <w:trPr>
          <w:trHeight w:val="288"/>
        </w:trPr>
        <w:tc>
          <w:tcPr>
            <w:tcW w:w="3907" w:type="dxa"/>
            <w:vMerge/>
            <w:tcBorders>
              <w:top w:val="single" w:sz="4" w:space="0" w:color="auto"/>
              <w:left w:val="nil"/>
              <w:bottom w:val="single" w:sz="4" w:space="0" w:color="000000"/>
              <w:right w:val="nil"/>
            </w:tcBorders>
            <w:vAlign w:val="center"/>
            <w:hideMark/>
          </w:tcPr>
          <w:p w14:paraId="0A4527DF" w14:textId="77777777" w:rsidR="0022419F" w:rsidRDefault="0022419F" w:rsidP="00A35AEF">
            <w:pPr>
              <w:rPr>
                <w:rFonts w:ascii="Calibri" w:hAnsi="Calibri" w:cs="Calibri"/>
                <w:b/>
                <w:bCs/>
                <w:color w:val="000000"/>
                <w:sz w:val="20"/>
                <w:szCs w:val="20"/>
              </w:rPr>
            </w:pPr>
          </w:p>
        </w:tc>
        <w:tc>
          <w:tcPr>
            <w:tcW w:w="1369" w:type="dxa"/>
            <w:tcBorders>
              <w:top w:val="nil"/>
              <w:left w:val="nil"/>
              <w:bottom w:val="single" w:sz="4" w:space="0" w:color="auto"/>
              <w:right w:val="nil"/>
            </w:tcBorders>
            <w:noWrap/>
            <w:vAlign w:val="center"/>
            <w:hideMark/>
          </w:tcPr>
          <w:p w14:paraId="1A1757A7" w14:textId="77777777" w:rsidR="0022419F" w:rsidRDefault="0022419F" w:rsidP="00234F3A">
            <w:pPr>
              <w:jc w:val="center"/>
              <w:rPr>
                <w:rFonts w:ascii="Calibri" w:hAnsi="Calibri" w:cs="Calibri"/>
                <w:b/>
                <w:bCs/>
                <w:color w:val="000000"/>
                <w:sz w:val="20"/>
                <w:szCs w:val="20"/>
              </w:rPr>
            </w:pPr>
            <w:r>
              <w:rPr>
                <w:rFonts w:ascii="Calibri" w:hAnsi="Calibri" w:cs="Calibri"/>
                <w:b/>
                <w:bCs/>
                <w:color w:val="000000"/>
                <w:sz w:val="20"/>
                <w:szCs w:val="20"/>
              </w:rPr>
              <w:t xml:space="preserve">I </w:t>
            </w:r>
            <w:proofErr w:type="spellStart"/>
            <w:r>
              <w:rPr>
                <w:rFonts w:ascii="Calibri" w:hAnsi="Calibri" w:cs="Calibri"/>
                <w:b/>
                <w:bCs/>
                <w:color w:val="000000"/>
                <w:sz w:val="20"/>
                <w:szCs w:val="20"/>
              </w:rPr>
              <w:t>sem</w:t>
            </w:r>
            <w:proofErr w:type="spellEnd"/>
            <w:r>
              <w:rPr>
                <w:rFonts w:ascii="Calibri" w:hAnsi="Calibri" w:cs="Calibri"/>
                <w:b/>
                <w:bCs/>
                <w:color w:val="000000"/>
                <w:sz w:val="20"/>
                <w:szCs w:val="20"/>
              </w:rPr>
              <w:t xml:space="preserve"> 2024</w:t>
            </w:r>
          </w:p>
        </w:tc>
        <w:tc>
          <w:tcPr>
            <w:tcW w:w="1367" w:type="dxa"/>
            <w:tcBorders>
              <w:top w:val="nil"/>
              <w:left w:val="nil"/>
              <w:bottom w:val="single" w:sz="4" w:space="0" w:color="auto"/>
              <w:right w:val="nil"/>
            </w:tcBorders>
            <w:noWrap/>
            <w:vAlign w:val="center"/>
            <w:hideMark/>
          </w:tcPr>
          <w:p w14:paraId="0C8A59A5" w14:textId="77777777" w:rsidR="0022419F" w:rsidRDefault="0022419F" w:rsidP="00234F3A">
            <w:pPr>
              <w:jc w:val="center"/>
              <w:rPr>
                <w:rFonts w:ascii="Calibri" w:hAnsi="Calibri" w:cs="Calibri"/>
                <w:b/>
                <w:bCs/>
                <w:color w:val="000000"/>
                <w:sz w:val="20"/>
                <w:szCs w:val="20"/>
              </w:rPr>
            </w:pPr>
            <w:r>
              <w:rPr>
                <w:rFonts w:ascii="Calibri" w:hAnsi="Calibri" w:cs="Calibri"/>
                <w:b/>
                <w:bCs/>
                <w:color w:val="000000"/>
                <w:sz w:val="20"/>
                <w:szCs w:val="20"/>
              </w:rPr>
              <w:t xml:space="preserve">I </w:t>
            </w:r>
            <w:proofErr w:type="spellStart"/>
            <w:r>
              <w:rPr>
                <w:rFonts w:ascii="Calibri" w:hAnsi="Calibri" w:cs="Calibri"/>
                <w:b/>
                <w:bCs/>
                <w:color w:val="000000"/>
                <w:sz w:val="20"/>
                <w:szCs w:val="20"/>
              </w:rPr>
              <w:t>sem</w:t>
            </w:r>
            <w:proofErr w:type="spellEnd"/>
            <w:r>
              <w:rPr>
                <w:rFonts w:ascii="Calibri" w:hAnsi="Calibri" w:cs="Calibri"/>
                <w:b/>
                <w:bCs/>
                <w:color w:val="000000"/>
                <w:sz w:val="20"/>
                <w:szCs w:val="20"/>
              </w:rPr>
              <w:t xml:space="preserve"> 2025</w:t>
            </w:r>
          </w:p>
        </w:tc>
        <w:tc>
          <w:tcPr>
            <w:tcW w:w="1012" w:type="dxa"/>
            <w:vMerge/>
            <w:tcBorders>
              <w:top w:val="single" w:sz="4" w:space="0" w:color="auto"/>
              <w:left w:val="nil"/>
              <w:bottom w:val="single" w:sz="4" w:space="0" w:color="000000"/>
              <w:right w:val="nil"/>
            </w:tcBorders>
            <w:vAlign w:val="center"/>
            <w:hideMark/>
          </w:tcPr>
          <w:p w14:paraId="329DB65B" w14:textId="77777777" w:rsidR="0022419F" w:rsidRDefault="0022419F" w:rsidP="00A35AEF">
            <w:pPr>
              <w:jc w:val="center"/>
              <w:rPr>
                <w:rFonts w:ascii="Calibri" w:hAnsi="Calibri" w:cs="Calibri"/>
                <w:b/>
                <w:bCs/>
                <w:color w:val="000000"/>
                <w:sz w:val="20"/>
                <w:szCs w:val="20"/>
              </w:rPr>
            </w:pPr>
          </w:p>
        </w:tc>
        <w:tc>
          <w:tcPr>
            <w:tcW w:w="739" w:type="dxa"/>
            <w:vMerge/>
            <w:tcBorders>
              <w:top w:val="single" w:sz="4" w:space="0" w:color="auto"/>
              <w:left w:val="nil"/>
              <w:bottom w:val="single" w:sz="4" w:space="0" w:color="000000"/>
              <w:right w:val="nil"/>
            </w:tcBorders>
            <w:vAlign w:val="center"/>
            <w:hideMark/>
          </w:tcPr>
          <w:p w14:paraId="6769895D" w14:textId="77777777" w:rsidR="0022419F" w:rsidRDefault="0022419F" w:rsidP="00A35AEF">
            <w:pPr>
              <w:jc w:val="center"/>
              <w:rPr>
                <w:rFonts w:ascii="Calibri" w:hAnsi="Calibri" w:cs="Calibri"/>
                <w:b/>
                <w:bCs/>
                <w:color w:val="000000"/>
                <w:sz w:val="20"/>
                <w:szCs w:val="20"/>
              </w:rPr>
            </w:pPr>
          </w:p>
        </w:tc>
        <w:tc>
          <w:tcPr>
            <w:tcW w:w="1042" w:type="dxa"/>
            <w:vMerge/>
            <w:tcBorders>
              <w:top w:val="single" w:sz="4" w:space="0" w:color="auto"/>
              <w:left w:val="nil"/>
              <w:bottom w:val="single" w:sz="4" w:space="0" w:color="000000"/>
              <w:right w:val="nil"/>
            </w:tcBorders>
            <w:vAlign w:val="center"/>
            <w:hideMark/>
          </w:tcPr>
          <w:p w14:paraId="56C7997D" w14:textId="77777777" w:rsidR="0022419F" w:rsidRDefault="0022419F" w:rsidP="00A35AEF">
            <w:pPr>
              <w:jc w:val="center"/>
              <w:rPr>
                <w:rFonts w:ascii="Calibri" w:hAnsi="Calibri" w:cs="Calibri"/>
                <w:b/>
                <w:bCs/>
                <w:color w:val="000000"/>
                <w:sz w:val="20"/>
                <w:szCs w:val="20"/>
              </w:rPr>
            </w:pPr>
          </w:p>
        </w:tc>
      </w:tr>
      <w:tr w:rsidR="0022419F" w14:paraId="24209FBD" w14:textId="77777777" w:rsidTr="002B5E47">
        <w:trPr>
          <w:trHeight w:val="288"/>
        </w:trPr>
        <w:tc>
          <w:tcPr>
            <w:tcW w:w="3907" w:type="dxa"/>
            <w:tcBorders>
              <w:top w:val="nil"/>
              <w:left w:val="nil"/>
              <w:bottom w:val="nil"/>
              <w:right w:val="nil"/>
            </w:tcBorders>
            <w:noWrap/>
            <w:vAlign w:val="center"/>
            <w:hideMark/>
          </w:tcPr>
          <w:p w14:paraId="4C11A2A5"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Macchine di impiego generale</w:t>
            </w:r>
          </w:p>
        </w:tc>
        <w:tc>
          <w:tcPr>
            <w:tcW w:w="1369" w:type="dxa"/>
            <w:tcBorders>
              <w:top w:val="nil"/>
              <w:left w:val="nil"/>
              <w:bottom w:val="nil"/>
              <w:right w:val="nil"/>
            </w:tcBorders>
            <w:noWrap/>
            <w:vAlign w:val="center"/>
            <w:hideMark/>
          </w:tcPr>
          <w:p w14:paraId="5B997220"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182.931.064</w:t>
            </w:r>
          </w:p>
        </w:tc>
        <w:tc>
          <w:tcPr>
            <w:tcW w:w="1367" w:type="dxa"/>
            <w:tcBorders>
              <w:top w:val="nil"/>
              <w:left w:val="nil"/>
              <w:bottom w:val="nil"/>
              <w:right w:val="nil"/>
            </w:tcBorders>
            <w:noWrap/>
            <w:vAlign w:val="center"/>
            <w:hideMark/>
          </w:tcPr>
          <w:p w14:paraId="28BC1BD4"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340.284.067</w:t>
            </w:r>
          </w:p>
        </w:tc>
        <w:tc>
          <w:tcPr>
            <w:tcW w:w="1012" w:type="dxa"/>
            <w:tcBorders>
              <w:top w:val="nil"/>
              <w:left w:val="nil"/>
              <w:bottom w:val="nil"/>
              <w:right w:val="nil"/>
            </w:tcBorders>
            <w:noWrap/>
            <w:vAlign w:val="center"/>
            <w:hideMark/>
          </w:tcPr>
          <w:p w14:paraId="53846490"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31,5%</w:t>
            </w:r>
          </w:p>
        </w:tc>
        <w:tc>
          <w:tcPr>
            <w:tcW w:w="739" w:type="dxa"/>
            <w:tcBorders>
              <w:top w:val="nil"/>
              <w:left w:val="nil"/>
              <w:bottom w:val="nil"/>
              <w:right w:val="nil"/>
            </w:tcBorders>
            <w:noWrap/>
            <w:vAlign w:val="center"/>
            <w:hideMark/>
          </w:tcPr>
          <w:p w14:paraId="1912CC45"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86,0%</w:t>
            </w:r>
          </w:p>
        </w:tc>
        <w:tc>
          <w:tcPr>
            <w:tcW w:w="1042" w:type="dxa"/>
            <w:tcBorders>
              <w:top w:val="nil"/>
              <w:left w:val="nil"/>
              <w:bottom w:val="nil"/>
              <w:right w:val="nil"/>
            </w:tcBorders>
            <w:noWrap/>
            <w:vAlign w:val="center"/>
            <w:hideMark/>
          </w:tcPr>
          <w:p w14:paraId="01333263" w14:textId="77777777" w:rsidR="0022419F" w:rsidRDefault="0022419F" w:rsidP="00234F3A">
            <w:pPr>
              <w:jc w:val="center"/>
              <w:rPr>
                <w:rFonts w:ascii="Calibri" w:hAnsi="Calibri" w:cs="Calibri"/>
                <w:i/>
                <w:iCs/>
                <w:color w:val="000000"/>
                <w:sz w:val="20"/>
                <w:szCs w:val="20"/>
              </w:rPr>
            </w:pPr>
            <w:r>
              <w:rPr>
                <w:rFonts w:ascii="Calibri" w:hAnsi="Calibri" w:cs="Calibri"/>
                <w:i/>
                <w:iCs/>
                <w:color w:val="000000"/>
                <w:sz w:val="20"/>
                <w:szCs w:val="20"/>
              </w:rPr>
              <w:t>13,7%</w:t>
            </w:r>
          </w:p>
        </w:tc>
      </w:tr>
      <w:tr w:rsidR="0022419F" w14:paraId="4E920718" w14:textId="77777777" w:rsidTr="002B5E47">
        <w:trPr>
          <w:trHeight w:val="288"/>
        </w:trPr>
        <w:tc>
          <w:tcPr>
            <w:tcW w:w="3907" w:type="dxa"/>
            <w:tcBorders>
              <w:top w:val="nil"/>
              <w:left w:val="nil"/>
              <w:bottom w:val="nil"/>
              <w:right w:val="nil"/>
            </w:tcBorders>
            <w:noWrap/>
            <w:vAlign w:val="center"/>
            <w:hideMark/>
          </w:tcPr>
          <w:p w14:paraId="129CC9BD"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Pietre tagliate, modellate e finite</w:t>
            </w:r>
          </w:p>
        </w:tc>
        <w:tc>
          <w:tcPr>
            <w:tcW w:w="1369" w:type="dxa"/>
            <w:tcBorders>
              <w:top w:val="nil"/>
              <w:left w:val="nil"/>
              <w:bottom w:val="nil"/>
              <w:right w:val="nil"/>
            </w:tcBorders>
            <w:noWrap/>
            <w:vAlign w:val="center"/>
            <w:hideMark/>
          </w:tcPr>
          <w:p w14:paraId="23F41FDB"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202.329.299</w:t>
            </w:r>
          </w:p>
        </w:tc>
        <w:tc>
          <w:tcPr>
            <w:tcW w:w="1367" w:type="dxa"/>
            <w:tcBorders>
              <w:top w:val="nil"/>
              <w:left w:val="nil"/>
              <w:bottom w:val="nil"/>
              <w:right w:val="nil"/>
            </w:tcBorders>
            <w:noWrap/>
            <w:vAlign w:val="center"/>
            <w:hideMark/>
          </w:tcPr>
          <w:p w14:paraId="6776DBA0"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194.123.426</w:t>
            </w:r>
          </w:p>
        </w:tc>
        <w:tc>
          <w:tcPr>
            <w:tcW w:w="1012" w:type="dxa"/>
            <w:tcBorders>
              <w:top w:val="nil"/>
              <w:left w:val="nil"/>
              <w:bottom w:val="nil"/>
              <w:right w:val="nil"/>
            </w:tcBorders>
            <w:noWrap/>
            <w:vAlign w:val="center"/>
            <w:hideMark/>
          </w:tcPr>
          <w:p w14:paraId="55D4811F"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18,0%</w:t>
            </w:r>
          </w:p>
        </w:tc>
        <w:tc>
          <w:tcPr>
            <w:tcW w:w="739" w:type="dxa"/>
            <w:tcBorders>
              <w:top w:val="nil"/>
              <w:left w:val="nil"/>
              <w:bottom w:val="nil"/>
              <w:right w:val="nil"/>
            </w:tcBorders>
            <w:noWrap/>
            <w:vAlign w:val="center"/>
            <w:hideMark/>
          </w:tcPr>
          <w:p w14:paraId="546A6B4F"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-4,1%</w:t>
            </w:r>
          </w:p>
        </w:tc>
        <w:tc>
          <w:tcPr>
            <w:tcW w:w="1042" w:type="dxa"/>
            <w:tcBorders>
              <w:top w:val="nil"/>
              <w:left w:val="nil"/>
              <w:bottom w:val="nil"/>
              <w:right w:val="nil"/>
            </w:tcBorders>
            <w:noWrap/>
            <w:vAlign w:val="center"/>
            <w:hideMark/>
          </w:tcPr>
          <w:p w14:paraId="11A3A8DE" w14:textId="77777777" w:rsidR="0022419F" w:rsidRDefault="0022419F" w:rsidP="00234F3A">
            <w:pPr>
              <w:jc w:val="center"/>
              <w:rPr>
                <w:rFonts w:ascii="Calibri" w:hAnsi="Calibri" w:cs="Calibri"/>
                <w:i/>
                <w:iCs/>
                <w:color w:val="000000"/>
                <w:sz w:val="20"/>
                <w:szCs w:val="20"/>
              </w:rPr>
            </w:pPr>
            <w:r>
              <w:rPr>
                <w:rFonts w:ascii="Calibri" w:hAnsi="Calibri" w:cs="Calibri"/>
                <w:i/>
                <w:iCs/>
                <w:color w:val="000000"/>
                <w:sz w:val="20"/>
                <w:szCs w:val="20"/>
              </w:rPr>
              <w:t>-0,7%</w:t>
            </w:r>
          </w:p>
        </w:tc>
      </w:tr>
      <w:tr w:rsidR="0022419F" w14:paraId="4EA5EFBE" w14:textId="77777777" w:rsidTr="002B5E47">
        <w:trPr>
          <w:trHeight w:val="288"/>
        </w:trPr>
        <w:tc>
          <w:tcPr>
            <w:tcW w:w="3907" w:type="dxa"/>
            <w:tcBorders>
              <w:top w:val="nil"/>
              <w:left w:val="nil"/>
              <w:bottom w:val="nil"/>
              <w:right w:val="nil"/>
            </w:tcBorders>
            <w:noWrap/>
            <w:vAlign w:val="center"/>
            <w:hideMark/>
          </w:tcPr>
          <w:p w14:paraId="5326F145"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Navi e imbarcazioni</w:t>
            </w:r>
          </w:p>
        </w:tc>
        <w:tc>
          <w:tcPr>
            <w:tcW w:w="1369" w:type="dxa"/>
            <w:tcBorders>
              <w:top w:val="nil"/>
              <w:left w:val="nil"/>
              <w:bottom w:val="nil"/>
              <w:right w:val="nil"/>
            </w:tcBorders>
            <w:noWrap/>
            <w:vAlign w:val="center"/>
            <w:hideMark/>
          </w:tcPr>
          <w:p w14:paraId="1802BDD5"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23.054.946</w:t>
            </w:r>
          </w:p>
        </w:tc>
        <w:tc>
          <w:tcPr>
            <w:tcW w:w="1367" w:type="dxa"/>
            <w:tcBorders>
              <w:top w:val="nil"/>
              <w:left w:val="nil"/>
              <w:bottom w:val="nil"/>
              <w:right w:val="nil"/>
            </w:tcBorders>
            <w:noWrap/>
            <w:vAlign w:val="center"/>
            <w:hideMark/>
          </w:tcPr>
          <w:p w14:paraId="3C395F15"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135.800.586</w:t>
            </w:r>
          </w:p>
        </w:tc>
        <w:tc>
          <w:tcPr>
            <w:tcW w:w="1012" w:type="dxa"/>
            <w:tcBorders>
              <w:top w:val="nil"/>
              <w:left w:val="nil"/>
              <w:bottom w:val="nil"/>
              <w:right w:val="nil"/>
            </w:tcBorders>
            <w:noWrap/>
            <w:vAlign w:val="center"/>
            <w:hideMark/>
          </w:tcPr>
          <w:p w14:paraId="00018625"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12,6%</w:t>
            </w:r>
          </w:p>
        </w:tc>
        <w:tc>
          <w:tcPr>
            <w:tcW w:w="739" w:type="dxa"/>
            <w:tcBorders>
              <w:top w:val="nil"/>
              <w:left w:val="nil"/>
              <w:bottom w:val="nil"/>
              <w:right w:val="nil"/>
            </w:tcBorders>
            <w:noWrap/>
            <w:vAlign w:val="center"/>
            <w:hideMark/>
          </w:tcPr>
          <w:p w14:paraId="5583E0ED"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489,0%</w:t>
            </w:r>
          </w:p>
        </w:tc>
        <w:tc>
          <w:tcPr>
            <w:tcW w:w="1042" w:type="dxa"/>
            <w:tcBorders>
              <w:top w:val="nil"/>
              <w:left w:val="nil"/>
              <w:bottom w:val="nil"/>
              <w:right w:val="nil"/>
            </w:tcBorders>
            <w:noWrap/>
            <w:vAlign w:val="center"/>
            <w:hideMark/>
          </w:tcPr>
          <w:p w14:paraId="3F58D9BD" w14:textId="77777777" w:rsidR="0022419F" w:rsidRDefault="0022419F" w:rsidP="00234F3A">
            <w:pPr>
              <w:jc w:val="center"/>
              <w:rPr>
                <w:rFonts w:ascii="Calibri" w:hAnsi="Calibri" w:cs="Calibri"/>
                <w:i/>
                <w:iCs/>
                <w:color w:val="000000"/>
                <w:sz w:val="20"/>
                <w:szCs w:val="20"/>
              </w:rPr>
            </w:pPr>
            <w:r>
              <w:rPr>
                <w:rFonts w:ascii="Calibri" w:hAnsi="Calibri" w:cs="Calibri"/>
                <w:i/>
                <w:iCs/>
                <w:color w:val="000000"/>
                <w:sz w:val="20"/>
                <w:szCs w:val="20"/>
              </w:rPr>
              <w:t>9,8%</w:t>
            </w:r>
          </w:p>
        </w:tc>
      </w:tr>
      <w:tr w:rsidR="0022419F" w14:paraId="4A849600" w14:textId="77777777" w:rsidTr="002B5E47">
        <w:trPr>
          <w:trHeight w:val="288"/>
        </w:trPr>
        <w:tc>
          <w:tcPr>
            <w:tcW w:w="3907" w:type="dxa"/>
            <w:tcBorders>
              <w:top w:val="nil"/>
              <w:left w:val="nil"/>
              <w:bottom w:val="nil"/>
              <w:right w:val="nil"/>
            </w:tcBorders>
            <w:noWrap/>
            <w:vAlign w:val="center"/>
            <w:hideMark/>
          </w:tcPr>
          <w:p w14:paraId="4EEB1BD2"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Pietra, sabbia e argilla</w:t>
            </w:r>
          </w:p>
        </w:tc>
        <w:tc>
          <w:tcPr>
            <w:tcW w:w="1369" w:type="dxa"/>
            <w:tcBorders>
              <w:top w:val="nil"/>
              <w:left w:val="nil"/>
              <w:bottom w:val="nil"/>
              <w:right w:val="nil"/>
            </w:tcBorders>
            <w:noWrap/>
            <w:vAlign w:val="center"/>
            <w:hideMark/>
          </w:tcPr>
          <w:p w14:paraId="2C97324A"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97.599.649</w:t>
            </w:r>
          </w:p>
        </w:tc>
        <w:tc>
          <w:tcPr>
            <w:tcW w:w="1367" w:type="dxa"/>
            <w:tcBorders>
              <w:top w:val="nil"/>
              <w:left w:val="nil"/>
              <w:bottom w:val="nil"/>
              <w:right w:val="nil"/>
            </w:tcBorders>
            <w:noWrap/>
            <w:vAlign w:val="center"/>
            <w:hideMark/>
          </w:tcPr>
          <w:p w14:paraId="3F71030B"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91.103.379</w:t>
            </w:r>
          </w:p>
        </w:tc>
        <w:tc>
          <w:tcPr>
            <w:tcW w:w="1012" w:type="dxa"/>
            <w:tcBorders>
              <w:top w:val="nil"/>
              <w:left w:val="nil"/>
              <w:bottom w:val="nil"/>
              <w:right w:val="nil"/>
            </w:tcBorders>
            <w:noWrap/>
            <w:vAlign w:val="center"/>
            <w:hideMark/>
          </w:tcPr>
          <w:p w14:paraId="6D8EA5BE"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8,4%</w:t>
            </w:r>
          </w:p>
        </w:tc>
        <w:tc>
          <w:tcPr>
            <w:tcW w:w="739" w:type="dxa"/>
            <w:tcBorders>
              <w:top w:val="nil"/>
              <w:left w:val="nil"/>
              <w:bottom w:val="nil"/>
              <w:right w:val="nil"/>
            </w:tcBorders>
            <w:noWrap/>
            <w:vAlign w:val="center"/>
            <w:hideMark/>
          </w:tcPr>
          <w:p w14:paraId="147967AE"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-6,7%</w:t>
            </w:r>
          </w:p>
        </w:tc>
        <w:tc>
          <w:tcPr>
            <w:tcW w:w="1042" w:type="dxa"/>
            <w:tcBorders>
              <w:top w:val="nil"/>
              <w:left w:val="nil"/>
              <w:bottom w:val="nil"/>
              <w:right w:val="nil"/>
            </w:tcBorders>
            <w:noWrap/>
            <w:vAlign w:val="center"/>
            <w:hideMark/>
          </w:tcPr>
          <w:p w14:paraId="108B4938" w14:textId="77777777" w:rsidR="0022419F" w:rsidRDefault="0022419F" w:rsidP="00234F3A">
            <w:pPr>
              <w:jc w:val="center"/>
              <w:rPr>
                <w:rFonts w:ascii="Calibri" w:hAnsi="Calibri" w:cs="Calibri"/>
                <w:i/>
                <w:iCs/>
                <w:color w:val="000000"/>
                <w:sz w:val="20"/>
                <w:szCs w:val="20"/>
              </w:rPr>
            </w:pPr>
            <w:r>
              <w:rPr>
                <w:rFonts w:ascii="Calibri" w:hAnsi="Calibri" w:cs="Calibri"/>
                <w:i/>
                <w:iCs/>
                <w:color w:val="000000"/>
                <w:sz w:val="20"/>
                <w:szCs w:val="20"/>
              </w:rPr>
              <w:t>-0,6%</w:t>
            </w:r>
          </w:p>
        </w:tc>
      </w:tr>
      <w:tr w:rsidR="0022419F" w14:paraId="3FA360A1" w14:textId="77777777" w:rsidTr="002B5E47">
        <w:trPr>
          <w:trHeight w:val="288"/>
        </w:trPr>
        <w:tc>
          <w:tcPr>
            <w:tcW w:w="3907" w:type="dxa"/>
            <w:tcBorders>
              <w:top w:val="nil"/>
              <w:left w:val="nil"/>
              <w:bottom w:val="nil"/>
              <w:right w:val="nil"/>
            </w:tcBorders>
            <w:noWrap/>
            <w:vAlign w:val="center"/>
            <w:hideMark/>
          </w:tcPr>
          <w:p w14:paraId="5B7B61BA"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Altri prodotti chimici</w:t>
            </w:r>
          </w:p>
        </w:tc>
        <w:tc>
          <w:tcPr>
            <w:tcW w:w="1369" w:type="dxa"/>
            <w:tcBorders>
              <w:top w:val="nil"/>
              <w:left w:val="nil"/>
              <w:bottom w:val="nil"/>
              <w:right w:val="nil"/>
            </w:tcBorders>
            <w:noWrap/>
            <w:vAlign w:val="center"/>
            <w:hideMark/>
          </w:tcPr>
          <w:p w14:paraId="276113B5"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83.849.686</w:t>
            </w:r>
          </w:p>
        </w:tc>
        <w:tc>
          <w:tcPr>
            <w:tcW w:w="1367" w:type="dxa"/>
            <w:tcBorders>
              <w:top w:val="nil"/>
              <w:left w:val="nil"/>
              <w:bottom w:val="nil"/>
              <w:right w:val="nil"/>
            </w:tcBorders>
            <w:noWrap/>
            <w:vAlign w:val="center"/>
            <w:hideMark/>
          </w:tcPr>
          <w:p w14:paraId="523DD940"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85.764.808</w:t>
            </w:r>
          </w:p>
        </w:tc>
        <w:tc>
          <w:tcPr>
            <w:tcW w:w="1012" w:type="dxa"/>
            <w:tcBorders>
              <w:top w:val="nil"/>
              <w:left w:val="nil"/>
              <w:bottom w:val="nil"/>
              <w:right w:val="nil"/>
            </w:tcBorders>
            <w:noWrap/>
            <w:vAlign w:val="center"/>
            <w:hideMark/>
          </w:tcPr>
          <w:p w14:paraId="29C44591"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7,9%</w:t>
            </w:r>
          </w:p>
        </w:tc>
        <w:tc>
          <w:tcPr>
            <w:tcW w:w="739" w:type="dxa"/>
            <w:tcBorders>
              <w:top w:val="nil"/>
              <w:left w:val="nil"/>
              <w:bottom w:val="nil"/>
              <w:right w:val="nil"/>
            </w:tcBorders>
            <w:noWrap/>
            <w:vAlign w:val="center"/>
            <w:hideMark/>
          </w:tcPr>
          <w:p w14:paraId="69AD92EE"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2,3%</w:t>
            </w:r>
          </w:p>
        </w:tc>
        <w:tc>
          <w:tcPr>
            <w:tcW w:w="1042" w:type="dxa"/>
            <w:tcBorders>
              <w:top w:val="nil"/>
              <w:left w:val="nil"/>
              <w:bottom w:val="nil"/>
              <w:right w:val="nil"/>
            </w:tcBorders>
            <w:noWrap/>
            <w:vAlign w:val="center"/>
            <w:hideMark/>
          </w:tcPr>
          <w:p w14:paraId="42EAAAB3" w14:textId="77777777" w:rsidR="0022419F" w:rsidRDefault="0022419F" w:rsidP="00234F3A">
            <w:pPr>
              <w:jc w:val="center"/>
              <w:rPr>
                <w:rFonts w:ascii="Calibri" w:hAnsi="Calibri" w:cs="Calibri"/>
                <w:i/>
                <w:iCs/>
                <w:color w:val="000000"/>
                <w:sz w:val="20"/>
                <w:szCs w:val="20"/>
              </w:rPr>
            </w:pPr>
            <w:r>
              <w:rPr>
                <w:rFonts w:ascii="Calibri" w:hAnsi="Calibri" w:cs="Calibri"/>
                <w:i/>
                <w:iCs/>
                <w:color w:val="000000"/>
                <w:sz w:val="20"/>
                <w:szCs w:val="20"/>
              </w:rPr>
              <w:t>0,2%</w:t>
            </w:r>
          </w:p>
        </w:tc>
      </w:tr>
      <w:tr w:rsidR="0022419F" w14:paraId="4F8D4798" w14:textId="77777777" w:rsidTr="002B5E47">
        <w:trPr>
          <w:trHeight w:val="288"/>
        </w:trPr>
        <w:tc>
          <w:tcPr>
            <w:tcW w:w="3907" w:type="dxa"/>
            <w:tcBorders>
              <w:top w:val="nil"/>
              <w:left w:val="nil"/>
              <w:bottom w:val="nil"/>
              <w:right w:val="nil"/>
            </w:tcBorders>
            <w:noWrap/>
            <w:vAlign w:val="center"/>
            <w:hideMark/>
          </w:tcPr>
          <w:p w14:paraId="79BEE4E4"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Altre macchine di impiego generale</w:t>
            </w:r>
          </w:p>
        </w:tc>
        <w:tc>
          <w:tcPr>
            <w:tcW w:w="1369" w:type="dxa"/>
            <w:tcBorders>
              <w:top w:val="nil"/>
              <w:left w:val="nil"/>
              <w:bottom w:val="nil"/>
              <w:right w:val="nil"/>
            </w:tcBorders>
            <w:noWrap/>
            <w:vAlign w:val="center"/>
            <w:hideMark/>
          </w:tcPr>
          <w:p w14:paraId="2B5FE7F4"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409.858.470</w:t>
            </w:r>
          </w:p>
        </w:tc>
        <w:tc>
          <w:tcPr>
            <w:tcW w:w="1367" w:type="dxa"/>
            <w:tcBorders>
              <w:top w:val="nil"/>
              <w:left w:val="nil"/>
              <w:bottom w:val="nil"/>
              <w:right w:val="nil"/>
            </w:tcBorders>
            <w:noWrap/>
            <w:vAlign w:val="center"/>
            <w:hideMark/>
          </w:tcPr>
          <w:p w14:paraId="19524F7D"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74.753.945</w:t>
            </w:r>
          </w:p>
        </w:tc>
        <w:tc>
          <w:tcPr>
            <w:tcW w:w="1012" w:type="dxa"/>
            <w:tcBorders>
              <w:top w:val="nil"/>
              <w:left w:val="nil"/>
              <w:bottom w:val="nil"/>
              <w:right w:val="nil"/>
            </w:tcBorders>
            <w:noWrap/>
            <w:vAlign w:val="center"/>
            <w:hideMark/>
          </w:tcPr>
          <w:p w14:paraId="05C02BB5"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6,9%</w:t>
            </w:r>
          </w:p>
        </w:tc>
        <w:tc>
          <w:tcPr>
            <w:tcW w:w="739" w:type="dxa"/>
            <w:tcBorders>
              <w:top w:val="nil"/>
              <w:left w:val="nil"/>
              <w:bottom w:val="nil"/>
              <w:right w:val="nil"/>
            </w:tcBorders>
            <w:noWrap/>
            <w:vAlign w:val="center"/>
            <w:hideMark/>
          </w:tcPr>
          <w:p w14:paraId="38596232"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-81,8%</w:t>
            </w:r>
          </w:p>
        </w:tc>
        <w:tc>
          <w:tcPr>
            <w:tcW w:w="1042" w:type="dxa"/>
            <w:tcBorders>
              <w:top w:val="nil"/>
              <w:left w:val="nil"/>
              <w:bottom w:val="nil"/>
              <w:right w:val="nil"/>
            </w:tcBorders>
            <w:noWrap/>
            <w:vAlign w:val="center"/>
            <w:hideMark/>
          </w:tcPr>
          <w:p w14:paraId="5818EEC8" w14:textId="77777777" w:rsidR="0022419F" w:rsidRDefault="0022419F" w:rsidP="00234F3A">
            <w:pPr>
              <w:jc w:val="center"/>
              <w:rPr>
                <w:rFonts w:ascii="Calibri" w:hAnsi="Calibri" w:cs="Calibri"/>
                <w:i/>
                <w:iCs/>
                <w:color w:val="000000"/>
                <w:sz w:val="20"/>
                <w:szCs w:val="20"/>
              </w:rPr>
            </w:pPr>
            <w:r>
              <w:rPr>
                <w:rFonts w:ascii="Calibri" w:hAnsi="Calibri" w:cs="Calibri"/>
                <w:i/>
                <w:iCs/>
                <w:color w:val="000000"/>
                <w:sz w:val="20"/>
                <w:szCs w:val="20"/>
              </w:rPr>
              <w:t>-29,1%</w:t>
            </w:r>
          </w:p>
        </w:tc>
      </w:tr>
      <w:tr w:rsidR="0022419F" w14:paraId="7A605662" w14:textId="77777777" w:rsidTr="002B5E47">
        <w:trPr>
          <w:trHeight w:val="288"/>
        </w:trPr>
        <w:tc>
          <w:tcPr>
            <w:tcW w:w="3907" w:type="dxa"/>
            <w:tcBorders>
              <w:top w:val="nil"/>
              <w:left w:val="nil"/>
              <w:bottom w:val="nil"/>
              <w:right w:val="nil"/>
            </w:tcBorders>
            <w:noWrap/>
            <w:vAlign w:val="center"/>
            <w:hideMark/>
          </w:tcPr>
          <w:p w14:paraId="7A00835B"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Prodotti chimici di base</w:t>
            </w:r>
          </w:p>
        </w:tc>
        <w:tc>
          <w:tcPr>
            <w:tcW w:w="1369" w:type="dxa"/>
            <w:tcBorders>
              <w:top w:val="nil"/>
              <w:left w:val="nil"/>
              <w:bottom w:val="nil"/>
              <w:right w:val="nil"/>
            </w:tcBorders>
            <w:noWrap/>
            <w:vAlign w:val="center"/>
            <w:hideMark/>
          </w:tcPr>
          <w:p w14:paraId="00BC44E8"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30.414.663</w:t>
            </w:r>
          </w:p>
        </w:tc>
        <w:tc>
          <w:tcPr>
            <w:tcW w:w="1367" w:type="dxa"/>
            <w:tcBorders>
              <w:top w:val="nil"/>
              <w:left w:val="nil"/>
              <w:bottom w:val="nil"/>
              <w:right w:val="nil"/>
            </w:tcBorders>
            <w:noWrap/>
            <w:vAlign w:val="center"/>
            <w:hideMark/>
          </w:tcPr>
          <w:p w14:paraId="51AC1BB9"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19.076.208</w:t>
            </w:r>
          </w:p>
        </w:tc>
        <w:tc>
          <w:tcPr>
            <w:tcW w:w="1012" w:type="dxa"/>
            <w:tcBorders>
              <w:top w:val="nil"/>
              <w:left w:val="nil"/>
              <w:bottom w:val="nil"/>
              <w:right w:val="nil"/>
            </w:tcBorders>
            <w:noWrap/>
            <w:vAlign w:val="center"/>
            <w:hideMark/>
          </w:tcPr>
          <w:p w14:paraId="52B05ED3"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1,8%</w:t>
            </w:r>
          </w:p>
        </w:tc>
        <w:tc>
          <w:tcPr>
            <w:tcW w:w="739" w:type="dxa"/>
            <w:tcBorders>
              <w:top w:val="nil"/>
              <w:left w:val="nil"/>
              <w:bottom w:val="nil"/>
              <w:right w:val="nil"/>
            </w:tcBorders>
            <w:noWrap/>
            <w:vAlign w:val="center"/>
            <w:hideMark/>
          </w:tcPr>
          <w:p w14:paraId="5332A90E"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-37,3%</w:t>
            </w:r>
          </w:p>
        </w:tc>
        <w:tc>
          <w:tcPr>
            <w:tcW w:w="1042" w:type="dxa"/>
            <w:tcBorders>
              <w:top w:val="nil"/>
              <w:left w:val="nil"/>
              <w:bottom w:val="nil"/>
              <w:right w:val="nil"/>
            </w:tcBorders>
            <w:noWrap/>
            <w:vAlign w:val="center"/>
            <w:hideMark/>
          </w:tcPr>
          <w:p w14:paraId="598C6736" w14:textId="77777777" w:rsidR="0022419F" w:rsidRDefault="0022419F" w:rsidP="00234F3A">
            <w:pPr>
              <w:jc w:val="center"/>
              <w:rPr>
                <w:rFonts w:ascii="Calibri" w:hAnsi="Calibri" w:cs="Calibri"/>
                <w:i/>
                <w:iCs/>
                <w:color w:val="000000"/>
                <w:sz w:val="20"/>
                <w:szCs w:val="20"/>
              </w:rPr>
            </w:pPr>
            <w:r>
              <w:rPr>
                <w:rFonts w:ascii="Calibri" w:hAnsi="Calibri" w:cs="Calibri"/>
                <w:i/>
                <w:iCs/>
                <w:color w:val="000000"/>
                <w:sz w:val="20"/>
                <w:szCs w:val="20"/>
              </w:rPr>
              <w:t>-1,0%</w:t>
            </w:r>
          </w:p>
        </w:tc>
      </w:tr>
      <w:tr w:rsidR="0022419F" w14:paraId="20506A24" w14:textId="77777777" w:rsidTr="002B5E47">
        <w:trPr>
          <w:trHeight w:val="288"/>
        </w:trPr>
        <w:tc>
          <w:tcPr>
            <w:tcW w:w="3907" w:type="dxa"/>
            <w:tcBorders>
              <w:top w:val="nil"/>
              <w:left w:val="nil"/>
              <w:bottom w:val="nil"/>
              <w:right w:val="nil"/>
            </w:tcBorders>
            <w:noWrap/>
            <w:vAlign w:val="center"/>
            <w:hideMark/>
          </w:tcPr>
          <w:p w14:paraId="5CDEF0A6" w14:textId="77777777" w:rsidR="0022419F" w:rsidRPr="008466F9" w:rsidRDefault="0022419F" w:rsidP="00A35AEF">
            <w:pPr>
              <w:rPr>
                <w:rFonts w:ascii="Calibri" w:hAnsi="Calibri" w:cs="Calibri"/>
                <w:color w:val="FF0000"/>
                <w:sz w:val="20"/>
                <w:szCs w:val="20"/>
              </w:rPr>
            </w:pPr>
            <w:proofErr w:type="spellStart"/>
            <w:r w:rsidRPr="003B2BAB">
              <w:rPr>
                <w:rFonts w:ascii="Calibri" w:hAnsi="Calibri" w:cs="Calibri"/>
                <w:color w:val="000000"/>
                <w:sz w:val="20"/>
                <w:szCs w:val="20"/>
              </w:rPr>
              <w:t>Macch</w:t>
            </w:r>
            <w:proofErr w:type="spellEnd"/>
            <w:r w:rsidRPr="003B2BAB">
              <w:rPr>
                <w:rFonts w:ascii="Calibri" w:hAnsi="Calibri" w:cs="Calibri"/>
                <w:color w:val="000000"/>
                <w:sz w:val="20"/>
                <w:szCs w:val="20"/>
              </w:rPr>
              <w:t xml:space="preserve">. formatura </w:t>
            </w:r>
            <w:proofErr w:type="spellStart"/>
            <w:r w:rsidRPr="003B2BAB">
              <w:rPr>
                <w:rFonts w:ascii="Calibri" w:hAnsi="Calibri" w:cs="Calibri"/>
                <w:color w:val="000000"/>
                <w:sz w:val="20"/>
                <w:szCs w:val="20"/>
              </w:rPr>
              <w:t>met</w:t>
            </w:r>
            <w:proofErr w:type="spellEnd"/>
            <w:r w:rsidRPr="003B2BAB">
              <w:rPr>
                <w:rFonts w:ascii="Calibri" w:hAnsi="Calibri" w:cs="Calibri"/>
                <w:color w:val="000000"/>
                <w:sz w:val="20"/>
                <w:szCs w:val="20"/>
              </w:rPr>
              <w:t xml:space="preserve">. e altre </w:t>
            </w:r>
            <w:proofErr w:type="spellStart"/>
            <w:r w:rsidRPr="003B2BAB">
              <w:rPr>
                <w:rFonts w:ascii="Calibri" w:hAnsi="Calibri" w:cs="Calibri"/>
                <w:color w:val="000000"/>
                <w:sz w:val="20"/>
                <w:szCs w:val="20"/>
              </w:rPr>
              <w:t>macch</w:t>
            </w:r>
            <w:proofErr w:type="spellEnd"/>
            <w:r w:rsidRPr="003B2BAB">
              <w:rPr>
                <w:rFonts w:ascii="Calibri" w:hAnsi="Calibri" w:cs="Calibri"/>
                <w:color w:val="000000"/>
                <w:sz w:val="20"/>
                <w:szCs w:val="20"/>
              </w:rPr>
              <w:t>. utensili</w:t>
            </w:r>
          </w:p>
        </w:tc>
        <w:tc>
          <w:tcPr>
            <w:tcW w:w="1369" w:type="dxa"/>
            <w:tcBorders>
              <w:top w:val="nil"/>
              <w:left w:val="nil"/>
              <w:bottom w:val="nil"/>
              <w:right w:val="nil"/>
            </w:tcBorders>
            <w:noWrap/>
            <w:vAlign w:val="center"/>
            <w:hideMark/>
          </w:tcPr>
          <w:p w14:paraId="6FC304AA" w14:textId="77777777" w:rsidR="0022419F" w:rsidRPr="008466F9" w:rsidRDefault="0022419F" w:rsidP="00234F3A">
            <w:pPr>
              <w:jc w:val="center"/>
              <w:rPr>
                <w:rFonts w:ascii="Calibri" w:hAnsi="Calibri" w:cs="Calibri"/>
                <w:color w:val="FF0000"/>
                <w:sz w:val="20"/>
                <w:szCs w:val="20"/>
              </w:rPr>
            </w:pPr>
            <w:r w:rsidRPr="008466F9">
              <w:rPr>
                <w:rFonts w:ascii="Calibri" w:hAnsi="Calibri" w:cs="Calibri"/>
                <w:color w:val="000000"/>
                <w:sz w:val="20"/>
                <w:szCs w:val="20"/>
              </w:rPr>
              <w:t>15.850.459</w:t>
            </w:r>
          </w:p>
        </w:tc>
        <w:tc>
          <w:tcPr>
            <w:tcW w:w="1367" w:type="dxa"/>
            <w:tcBorders>
              <w:top w:val="nil"/>
              <w:left w:val="nil"/>
              <w:bottom w:val="nil"/>
              <w:right w:val="nil"/>
            </w:tcBorders>
            <w:noWrap/>
            <w:vAlign w:val="center"/>
            <w:hideMark/>
          </w:tcPr>
          <w:p w14:paraId="2796F155" w14:textId="77777777" w:rsidR="0022419F" w:rsidRPr="008466F9" w:rsidRDefault="0022419F" w:rsidP="00234F3A">
            <w:pPr>
              <w:jc w:val="center"/>
              <w:rPr>
                <w:rFonts w:ascii="Calibri" w:hAnsi="Calibri" w:cs="Calibri"/>
                <w:color w:val="FF0000"/>
                <w:sz w:val="20"/>
                <w:szCs w:val="20"/>
              </w:rPr>
            </w:pPr>
            <w:r w:rsidRPr="008466F9">
              <w:rPr>
                <w:rFonts w:ascii="Calibri" w:hAnsi="Calibri" w:cs="Calibri"/>
                <w:color w:val="000000"/>
                <w:sz w:val="20"/>
                <w:szCs w:val="20"/>
              </w:rPr>
              <w:t>15.346.879</w:t>
            </w:r>
          </w:p>
        </w:tc>
        <w:tc>
          <w:tcPr>
            <w:tcW w:w="1012" w:type="dxa"/>
            <w:tcBorders>
              <w:top w:val="nil"/>
              <w:left w:val="nil"/>
              <w:bottom w:val="nil"/>
              <w:right w:val="nil"/>
            </w:tcBorders>
            <w:noWrap/>
            <w:vAlign w:val="center"/>
            <w:hideMark/>
          </w:tcPr>
          <w:p w14:paraId="64B52238" w14:textId="77777777" w:rsidR="0022419F" w:rsidRPr="008466F9" w:rsidRDefault="0022419F" w:rsidP="00234F3A">
            <w:pPr>
              <w:jc w:val="center"/>
              <w:rPr>
                <w:rFonts w:ascii="Calibri" w:hAnsi="Calibri" w:cs="Calibri"/>
                <w:color w:val="FF0000"/>
                <w:sz w:val="20"/>
                <w:szCs w:val="20"/>
              </w:rPr>
            </w:pPr>
            <w:r w:rsidRPr="008466F9">
              <w:rPr>
                <w:rFonts w:ascii="Calibri" w:hAnsi="Calibri" w:cs="Calibri"/>
                <w:color w:val="000000"/>
                <w:sz w:val="20"/>
                <w:szCs w:val="20"/>
              </w:rPr>
              <w:t>1,4%</w:t>
            </w:r>
          </w:p>
        </w:tc>
        <w:tc>
          <w:tcPr>
            <w:tcW w:w="739" w:type="dxa"/>
            <w:tcBorders>
              <w:top w:val="nil"/>
              <w:left w:val="nil"/>
              <w:bottom w:val="nil"/>
              <w:right w:val="nil"/>
            </w:tcBorders>
            <w:noWrap/>
            <w:vAlign w:val="center"/>
            <w:hideMark/>
          </w:tcPr>
          <w:p w14:paraId="13EE9E1B" w14:textId="77777777" w:rsidR="0022419F" w:rsidRPr="008466F9" w:rsidRDefault="0022419F" w:rsidP="00234F3A">
            <w:pPr>
              <w:jc w:val="center"/>
              <w:rPr>
                <w:rFonts w:ascii="Calibri" w:hAnsi="Calibri" w:cs="Calibri"/>
                <w:color w:val="FF0000"/>
                <w:sz w:val="20"/>
                <w:szCs w:val="20"/>
              </w:rPr>
            </w:pPr>
            <w:r w:rsidRPr="008466F9">
              <w:rPr>
                <w:rFonts w:ascii="Calibri" w:hAnsi="Calibri" w:cs="Calibri"/>
                <w:color w:val="000000"/>
                <w:sz w:val="20"/>
                <w:szCs w:val="20"/>
              </w:rPr>
              <w:t>-3,2%</w:t>
            </w:r>
          </w:p>
        </w:tc>
        <w:tc>
          <w:tcPr>
            <w:tcW w:w="1042" w:type="dxa"/>
            <w:tcBorders>
              <w:top w:val="nil"/>
              <w:left w:val="nil"/>
              <w:bottom w:val="nil"/>
              <w:right w:val="nil"/>
            </w:tcBorders>
            <w:noWrap/>
            <w:vAlign w:val="center"/>
            <w:hideMark/>
          </w:tcPr>
          <w:p w14:paraId="44342A88" w14:textId="77777777" w:rsidR="0022419F" w:rsidRPr="008466F9" w:rsidRDefault="0022419F" w:rsidP="00234F3A">
            <w:pPr>
              <w:jc w:val="center"/>
              <w:rPr>
                <w:rFonts w:ascii="Calibri" w:hAnsi="Calibri" w:cs="Calibri"/>
                <w:i/>
                <w:iCs/>
                <w:color w:val="FF0000"/>
                <w:sz w:val="20"/>
                <w:szCs w:val="20"/>
              </w:rPr>
            </w:pPr>
            <w:r w:rsidRPr="008466F9">
              <w:rPr>
                <w:rFonts w:ascii="Calibri" w:hAnsi="Calibri" w:cs="Calibri"/>
                <w:i/>
                <w:iCs/>
                <w:color w:val="000000"/>
                <w:sz w:val="20"/>
                <w:szCs w:val="20"/>
              </w:rPr>
              <w:t>0,0%</w:t>
            </w:r>
          </w:p>
        </w:tc>
      </w:tr>
      <w:tr w:rsidR="0022419F" w14:paraId="4C5FF563" w14:textId="77777777" w:rsidTr="002B5E47">
        <w:trPr>
          <w:trHeight w:val="288"/>
        </w:trPr>
        <w:tc>
          <w:tcPr>
            <w:tcW w:w="3907" w:type="dxa"/>
            <w:tcBorders>
              <w:top w:val="nil"/>
              <w:left w:val="nil"/>
              <w:bottom w:val="nil"/>
              <w:right w:val="nil"/>
            </w:tcBorders>
            <w:noWrap/>
            <w:vAlign w:val="center"/>
            <w:hideMark/>
          </w:tcPr>
          <w:p w14:paraId="4804AC89" w14:textId="77777777" w:rsidR="0022419F" w:rsidRDefault="0022419F" w:rsidP="00A35AEF">
            <w:pPr>
              <w:rPr>
                <w:rFonts w:ascii="Calibri" w:hAnsi="Calibri" w:cs="Calibri"/>
                <w:color w:val="000000"/>
                <w:sz w:val="20"/>
                <w:szCs w:val="20"/>
              </w:rPr>
            </w:pPr>
            <w:r w:rsidRPr="00DD33C4">
              <w:rPr>
                <w:rFonts w:ascii="Calibri" w:hAnsi="Calibri" w:cs="Calibri"/>
                <w:color w:val="000000"/>
                <w:sz w:val="20"/>
                <w:szCs w:val="20"/>
              </w:rPr>
              <w:t>Motori, trasformatori e generatori</w:t>
            </w:r>
          </w:p>
        </w:tc>
        <w:tc>
          <w:tcPr>
            <w:tcW w:w="1369" w:type="dxa"/>
            <w:tcBorders>
              <w:top w:val="nil"/>
              <w:left w:val="nil"/>
              <w:bottom w:val="nil"/>
              <w:right w:val="nil"/>
            </w:tcBorders>
            <w:noWrap/>
            <w:vAlign w:val="center"/>
            <w:hideMark/>
          </w:tcPr>
          <w:p w14:paraId="765BEC37"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1.587.534</w:t>
            </w:r>
          </w:p>
        </w:tc>
        <w:tc>
          <w:tcPr>
            <w:tcW w:w="1367" w:type="dxa"/>
            <w:tcBorders>
              <w:top w:val="nil"/>
              <w:left w:val="nil"/>
              <w:bottom w:val="nil"/>
              <w:right w:val="nil"/>
            </w:tcBorders>
            <w:noWrap/>
            <w:vAlign w:val="center"/>
            <w:hideMark/>
          </w:tcPr>
          <w:p w14:paraId="3F820220"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13.267.035</w:t>
            </w:r>
          </w:p>
        </w:tc>
        <w:tc>
          <w:tcPr>
            <w:tcW w:w="1012" w:type="dxa"/>
            <w:tcBorders>
              <w:top w:val="nil"/>
              <w:left w:val="nil"/>
              <w:bottom w:val="nil"/>
              <w:right w:val="nil"/>
            </w:tcBorders>
            <w:noWrap/>
            <w:vAlign w:val="center"/>
            <w:hideMark/>
          </w:tcPr>
          <w:p w14:paraId="7998611C"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1,2%</w:t>
            </w:r>
          </w:p>
        </w:tc>
        <w:tc>
          <w:tcPr>
            <w:tcW w:w="739" w:type="dxa"/>
            <w:tcBorders>
              <w:top w:val="nil"/>
              <w:left w:val="nil"/>
              <w:bottom w:val="nil"/>
              <w:right w:val="nil"/>
            </w:tcBorders>
            <w:noWrap/>
            <w:vAlign w:val="center"/>
            <w:hideMark/>
          </w:tcPr>
          <w:p w14:paraId="65D2670E"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735,7%</w:t>
            </w:r>
          </w:p>
        </w:tc>
        <w:tc>
          <w:tcPr>
            <w:tcW w:w="1042" w:type="dxa"/>
            <w:tcBorders>
              <w:top w:val="nil"/>
              <w:left w:val="nil"/>
              <w:bottom w:val="nil"/>
              <w:right w:val="nil"/>
            </w:tcBorders>
            <w:noWrap/>
            <w:vAlign w:val="center"/>
            <w:hideMark/>
          </w:tcPr>
          <w:p w14:paraId="53C875E7" w14:textId="77777777" w:rsidR="0022419F" w:rsidRDefault="0022419F" w:rsidP="00234F3A">
            <w:pPr>
              <w:jc w:val="center"/>
              <w:rPr>
                <w:rFonts w:ascii="Calibri" w:hAnsi="Calibri" w:cs="Calibri"/>
                <w:i/>
                <w:iCs/>
                <w:color w:val="000000"/>
                <w:sz w:val="20"/>
                <w:szCs w:val="20"/>
              </w:rPr>
            </w:pPr>
            <w:r>
              <w:rPr>
                <w:rFonts w:ascii="Calibri" w:hAnsi="Calibri" w:cs="Calibri"/>
                <w:i/>
                <w:iCs/>
                <w:color w:val="000000"/>
                <w:sz w:val="20"/>
                <w:szCs w:val="20"/>
              </w:rPr>
              <w:t>1,0%</w:t>
            </w:r>
          </w:p>
        </w:tc>
      </w:tr>
      <w:tr w:rsidR="0022419F" w14:paraId="7CD20DC7" w14:textId="77777777" w:rsidTr="002B5E47">
        <w:trPr>
          <w:trHeight w:val="288"/>
        </w:trPr>
        <w:tc>
          <w:tcPr>
            <w:tcW w:w="3907" w:type="dxa"/>
            <w:tcBorders>
              <w:top w:val="nil"/>
              <w:left w:val="nil"/>
              <w:bottom w:val="nil"/>
              <w:right w:val="nil"/>
            </w:tcBorders>
            <w:noWrap/>
            <w:vAlign w:val="center"/>
            <w:hideMark/>
          </w:tcPr>
          <w:p w14:paraId="1855A1F9"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Altre macchine per impieghi speciali</w:t>
            </w:r>
          </w:p>
        </w:tc>
        <w:tc>
          <w:tcPr>
            <w:tcW w:w="1369" w:type="dxa"/>
            <w:tcBorders>
              <w:top w:val="nil"/>
              <w:left w:val="nil"/>
              <w:bottom w:val="nil"/>
              <w:right w:val="nil"/>
            </w:tcBorders>
            <w:noWrap/>
            <w:vAlign w:val="center"/>
            <w:hideMark/>
          </w:tcPr>
          <w:p w14:paraId="28337A1E"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8.065.003</w:t>
            </w:r>
          </w:p>
        </w:tc>
        <w:tc>
          <w:tcPr>
            <w:tcW w:w="1367" w:type="dxa"/>
            <w:tcBorders>
              <w:top w:val="nil"/>
              <w:left w:val="nil"/>
              <w:bottom w:val="nil"/>
              <w:right w:val="nil"/>
            </w:tcBorders>
            <w:noWrap/>
            <w:vAlign w:val="center"/>
            <w:hideMark/>
          </w:tcPr>
          <w:p w14:paraId="59E08E43"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10.520.497</w:t>
            </w:r>
          </w:p>
        </w:tc>
        <w:tc>
          <w:tcPr>
            <w:tcW w:w="1012" w:type="dxa"/>
            <w:tcBorders>
              <w:top w:val="nil"/>
              <w:left w:val="nil"/>
              <w:bottom w:val="nil"/>
              <w:right w:val="nil"/>
            </w:tcBorders>
            <w:noWrap/>
            <w:vAlign w:val="center"/>
            <w:hideMark/>
          </w:tcPr>
          <w:p w14:paraId="16BE977B"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1,0%</w:t>
            </w:r>
          </w:p>
        </w:tc>
        <w:tc>
          <w:tcPr>
            <w:tcW w:w="739" w:type="dxa"/>
            <w:tcBorders>
              <w:top w:val="nil"/>
              <w:left w:val="nil"/>
              <w:bottom w:val="nil"/>
              <w:right w:val="nil"/>
            </w:tcBorders>
            <w:noWrap/>
            <w:vAlign w:val="center"/>
            <w:hideMark/>
          </w:tcPr>
          <w:p w14:paraId="28C5F5D1"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30,4%</w:t>
            </w:r>
          </w:p>
        </w:tc>
        <w:tc>
          <w:tcPr>
            <w:tcW w:w="1042" w:type="dxa"/>
            <w:tcBorders>
              <w:top w:val="nil"/>
              <w:left w:val="nil"/>
              <w:bottom w:val="nil"/>
              <w:right w:val="nil"/>
            </w:tcBorders>
            <w:noWrap/>
            <w:vAlign w:val="center"/>
            <w:hideMark/>
          </w:tcPr>
          <w:p w14:paraId="4D742C3D" w14:textId="77777777" w:rsidR="0022419F" w:rsidRDefault="0022419F" w:rsidP="00234F3A">
            <w:pPr>
              <w:jc w:val="center"/>
              <w:rPr>
                <w:rFonts w:ascii="Calibri" w:hAnsi="Calibri" w:cs="Calibri"/>
                <w:i/>
                <w:iCs/>
                <w:color w:val="000000"/>
                <w:sz w:val="20"/>
                <w:szCs w:val="20"/>
              </w:rPr>
            </w:pPr>
            <w:r>
              <w:rPr>
                <w:rFonts w:ascii="Calibri" w:hAnsi="Calibri" w:cs="Calibri"/>
                <w:i/>
                <w:iCs/>
                <w:color w:val="000000"/>
                <w:sz w:val="20"/>
                <w:szCs w:val="20"/>
              </w:rPr>
              <w:t>0,2%</w:t>
            </w:r>
          </w:p>
        </w:tc>
      </w:tr>
      <w:tr w:rsidR="0022419F" w14:paraId="5C4688EB" w14:textId="77777777" w:rsidTr="002B5E47">
        <w:trPr>
          <w:trHeight w:val="288"/>
        </w:trPr>
        <w:tc>
          <w:tcPr>
            <w:tcW w:w="3907" w:type="dxa"/>
            <w:tcBorders>
              <w:top w:val="nil"/>
              <w:left w:val="nil"/>
              <w:bottom w:val="nil"/>
              <w:right w:val="nil"/>
            </w:tcBorders>
            <w:noWrap/>
            <w:vAlign w:val="center"/>
            <w:hideMark/>
          </w:tcPr>
          <w:p w14:paraId="21678188"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Prodotti abrasivi</w:t>
            </w:r>
          </w:p>
        </w:tc>
        <w:tc>
          <w:tcPr>
            <w:tcW w:w="1369" w:type="dxa"/>
            <w:tcBorders>
              <w:top w:val="nil"/>
              <w:left w:val="nil"/>
              <w:bottom w:val="nil"/>
              <w:right w:val="nil"/>
            </w:tcBorders>
            <w:noWrap/>
            <w:vAlign w:val="center"/>
            <w:hideMark/>
          </w:tcPr>
          <w:p w14:paraId="1AE10A29"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7.422.279</w:t>
            </w:r>
          </w:p>
        </w:tc>
        <w:tc>
          <w:tcPr>
            <w:tcW w:w="1367" w:type="dxa"/>
            <w:tcBorders>
              <w:top w:val="nil"/>
              <w:left w:val="nil"/>
              <w:bottom w:val="nil"/>
              <w:right w:val="nil"/>
            </w:tcBorders>
            <w:noWrap/>
            <w:vAlign w:val="center"/>
            <w:hideMark/>
          </w:tcPr>
          <w:p w14:paraId="464F92DF"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8.517.996</w:t>
            </w:r>
          </w:p>
        </w:tc>
        <w:tc>
          <w:tcPr>
            <w:tcW w:w="1012" w:type="dxa"/>
            <w:tcBorders>
              <w:top w:val="nil"/>
              <w:left w:val="nil"/>
              <w:bottom w:val="nil"/>
              <w:right w:val="nil"/>
            </w:tcBorders>
            <w:noWrap/>
            <w:vAlign w:val="center"/>
            <w:hideMark/>
          </w:tcPr>
          <w:p w14:paraId="75C255E4"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0,8%</w:t>
            </w:r>
          </w:p>
        </w:tc>
        <w:tc>
          <w:tcPr>
            <w:tcW w:w="739" w:type="dxa"/>
            <w:tcBorders>
              <w:top w:val="nil"/>
              <w:left w:val="nil"/>
              <w:bottom w:val="nil"/>
              <w:right w:val="nil"/>
            </w:tcBorders>
            <w:noWrap/>
            <w:vAlign w:val="center"/>
            <w:hideMark/>
          </w:tcPr>
          <w:p w14:paraId="3B6606B6"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14,8%</w:t>
            </w:r>
          </w:p>
        </w:tc>
        <w:tc>
          <w:tcPr>
            <w:tcW w:w="1042" w:type="dxa"/>
            <w:tcBorders>
              <w:top w:val="nil"/>
              <w:left w:val="nil"/>
              <w:bottom w:val="nil"/>
              <w:right w:val="nil"/>
            </w:tcBorders>
            <w:noWrap/>
            <w:vAlign w:val="center"/>
            <w:hideMark/>
          </w:tcPr>
          <w:p w14:paraId="541C49C2" w14:textId="77777777" w:rsidR="0022419F" w:rsidRDefault="0022419F" w:rsidP="00234F3A">
            <w:pPr>
              <w:jc w:val="center"/>
              <w:rPr>
                <w:rFonts w:ascii="Calibri" w:hAnsi="Calibri" w:cs="Calibri"/>
                <w:i/>
                <w:iCs/>
                <w:color w:val="000000"/>
                <w:sz w:val="20"/>
                <w:szCs w:val="20"/>
              </w:rPr>
            </w:pPr>
            <w:r>
              <w:rPr>
                <w:rFonts w:ascii="Calibri" w:hAnsi="Calibri" w:cs="Calibri"/>
                <w:i/>
                <w:iCs/>
                <w:color w:val="000000"/>
                <w:sz w:val="20"/>
                <w:szCs w:val="20"/>
              </w:rPr>
              <w:t>0,1%</w:t>
            </w:r>
          </w:p>
        </w:tc>
      </w:tr>
      <w:tr w:rsidR="0022419F" w14:paraId="0306129D" w14:textId="77777777" w:rsidTr="002B5E47">
        <w:trPr>
          <w:trHeight w:val="288"/>
        </w:trPr>
        <w:tc>
          <w:tcPr>
            <w:tcW w:w="3907" w:type="dxa"/>
            <w:tcBorders>
              <w:top w:val="nil"/>
              <w:left w:val="nil"/>
              <w:bottom w:val="nil"/>
              <w:right w:val="nil"/>
            </w:tcBorders>
            <w:noWrap/>
            <w:vAlign w:val="center"/>
            <w:hideMark/>
          </w:tcPr>
          <w:p w14:paraId="18FF795D" w14:textId="77777777" w:rsidR="0022419F" w:rsidRPr="006B1D10" w:rsidRDefault="0022419F" w:rsidP="00A35AEF">
            <w:pPr>
              <w:rPr>
                <w:rFonts w:ascii="Calibri" w:hAnsi="Calibri" w:cs="Calibri"/>
                <w:color w:val="FF0000"/>
                <w:sz w:val="20"/>
                <w:szCs w:val="20"/>
              </w:rPr>
            </w:pPr>
            <w:r>
              <w:rPr>
                <w:rFonts w:ascii="Calibri" w:hAnsi="Calibri" w:cs="Calibri"/>
                <w:sz w:val="20"/>
                <w:szCs w:val="20"/>
              </w:rPr>
              <w:t>Altro</w:t>
            </w:r>
          </w:p>
        </w:tc>
        <w:tc>
          <w:tcPr>
            <w:tcW w:w="1369" w:type="dxa"/>
            <w:tcBorders>
              <w:top w:val="nil"/>
              <w:left w:val="nil"/>
              <w:bottom w:val="nil"/>
              <w:right w:val="nil"/>
            </w:tcBorders>
            <w:noWrap/>
            <w:vAlign w:val="center"/>
            <w:hideMark/>
          </w:tcPr>
          <w:p w14:paraId="1BDF9E08" w14:textId="77777777" w:rsidR="0022419F" w:rsidRPr="006B1D10" w:rsidRDefault="0022419F" w:rsidP="00234F3A">
            <w:pPr>
              <w:jc w:val="center"/>
              <w:rPr>
                <w:rFonts w:ascii="Calibri" w:hAnsi="Calibri" w:cs="Calibri"/>
                <w:color w:val="FF0000"/>
                <w:sz w:val="20"/>
                <w:szCs w:val="20"/>
              </w:rPr>
            </w:pPr>
            <w:r>
              <w:rPr>
                <w:rFonts w:ascii="Calibri" w:hAnsi="Calibri" w:cs="Calibri"/>
                <w:color w:val="000000"/>
                <w:sz w:val="20"/>
                <w:szCs w:val="20"/>
              </w:rPr>
              <w:t>76.485.665</w:t>
            </w:r>
          </w:p>
        </w:tc>
        <w:tc>
          <w:tcPr>
            <w:tcW w:w="1367" w:type="dxa"/>
            <w:tcBorders>
              <w:top w:val="nil"/>
              <w:left w:val="nil"/>
              <w:bottom w:val="nil"/>
              <w:right w:val="nil"/>
            </w:tcBorders>
            <w:noWrap/>
            <w:vAlign w:val="center"/>
            <w:hideMark/>
          </w:tcPr>
          <w:p w14:paraId="6CBE6A0D" w14:textId="77777777" w:rsidR="0022419F" w:rsidRPr="006B1D10" w:rsidRDefault="0022419F" w:rsidP="00234F3A">
            <w:pPr>
              <w:jc w:val="center"/>
              <w:rPr>
                <w:rFonts w:ascii="Calibri" w:hAnsi="Calibri" w:cs="Calibri"/>
                <w:color w:val="FF0000"/>
                <w:sz w:val="20"/>
                <w:szCs w:val="20"/>
              </w:rPr>
            </w:pPr>
            <w:r>
              <w:rPr>
                <w:rFonts w:ascii="Calibri" w:hAnsi="Calibri" w:cs="Calibri"/>
                <w:color w:val="000000"/>
                <w:sz w:val="20"/>
                <w:szCs w:val="20"/>
              </w:rPr>
              <w:t>75.630.192</w:t>
            </w:r>
          </w:p>
        </w:tc>
        <w:tc>
          <w:tcPr>
            <w:tcW w:w="1012" w:type="dxa"/>
            <w:tcBorders>
              <w:top w:val="nil"/>
              <w:left w:val="nil"/>
              <w:bottom w:val="nil"/>
              <w:right w:val="nil"/>
            </w:tcBorders>
            <w:noWrap/>
            <w:vAlign w:val="center"/>
            <w:hideMark/>
          </w:tcPr>
          <w:p w14:paraId="5FF76A0F" w14:textId="77777777" w:rsidR="0022419F" w:rsidRPr="006B1D10" w:rsidRDefault="0022419F" w:rsidP="00234F3A">
            <w:pPr>
              <w:jc w:val="center"/>
              <w:rPr>
                <w:rFonts w:ascii="Calibri" w:hAnsi="Calibri" w:cs="Calibri"/>
                <w:color w:val="FF0000"/>
                <w:sz w:val="20"/>
                <w:szCs w:val="20"/>
              </w:rPr>
            </w:pPr>
            <w:r>
              <w:rPr>
                <w:rFonts w:ascii="Calibri" w:hAnsi="Calibri" w:cs="Calibri"/>
                <w:sz w:val="20"/>
                <w:szCs w:val="20"/>
              </w:rPr>
              <w:t>7,0%</w:t>
            </w:r>
          </w:p>
        </w:tc>
        <w:tc>
          <w:tcPr>
            <w:tcW w:w="739" w:type="dxa"/>
            <w:tcBorders>
              <w:top w:val="nil"/>
              <w:left w:val="nil"/>
              <w:bottom w:val="nil"/>
              <w:right w:val="nil"/>
            </w:tcBorders>
            <w:noWrap/>
            <w:vAlign w:val="center"/>
            <w:hideMark/>
          </w:tcPr>
          <w:p w14:paraId="31ACACAC" w14:textId="77777777" w:rsidR="0022419F" w:rsidRPr="006B1D10" w:rsidRDefault="0022419F" w:rsidP="00234F3A">
            <w:pPr>
              <w:jc w:val="center"/>
              <w:rPr>
                <w:rFonts w:ascii="Calibri" w:hAnsi="Calibri" w:cs="Calibri"/>
                <w:color w:val="FF0000"/>
                <w:sz w:val="20"/>
                <w:szCs w:val="20"/>
              </w:rPr>
            </w:pPr>
            <w:r>
              <w:rPr>
                <w:rFonts w:ascii="Calibri" w:hAnsi="Calibri" w:cs="Calibri"/>
                <w:sz w:val="20"/>
                <w:szCs w:val="20"/>
              </w:rPr>
              <w:t>-1,1%</w:t>
            </w:r>
          </w:p>
        </w:tc>
        <w:tc>
          <w:tcPr>
            <w:tcW w:w="1042" w:type="dxa"/>
            <w:tcBorders>
              <w:top w:val="nil"/>
              <w:left w:val="nil"/>
              <w:bottom w:val="nil"/>
              <w:right w:val="nil"/>
            </w:tcBorders>
            <w:noWrap/>
            <w:vAlign w:val="center"/>
            <w:hideMark/>
          </w:tcPr>
          <w:p w14:paraId="4869198D" w14:textId="77777777" w:rsidR="0022419F" w:rsidRPr="006B1D10" w:rsidRDefault="0022419F" w:rsidP="00234F3A">
            <w:pPr>
              <w:jc w:val="center"/>
              <w:rPr>
                <w:rFonts w:ascii="Calibri" w:hAnsi="Calibri" w:cs="Calibri"/>
                <w:i/>
                <w:iCs/>
                <w:color w:val="FF0000"/>
                <w:sz w:val="20"/>
                <w:szCs w:val="20"/>
              </w:rPr>
            </w:pPr>
            <w:r>
              <w:rPr>
                <w:rFonts w:ascii="Calibri" w:hAnsi="Calibri" w:cs="Calibri"/>
                <w:i/>
                <w:iCs/>
                <w:sz w:val="20"/>
                <w:szCs w:val="20"/>
              </w:rPr>
              <w:t>-0,1%</w:t>
            </w:r>
          </w:p>
        </w:tc>
      </w:tr>
      <w:tr w:rsidR="0022419F" w14:paraId="7B5E8C54" w14:textId="77777777" w:rsidTr="002B5E47">
        <w:trPr>
          <w:trHeight w:val="288"/>
        </w:trPr>
        <w:tc>
          <w:tcPr>
            <w:tcW w:w="3907" w:type="dxa"/>
            <w:tcBorders>
              <w:top w:val="single" w:sz="4" w:space="0" w:color="auto"/>
              <w:left w:val="nil"/>
              <w:bottom w:val="single" w:sz="4" w:space="0" w:color="auto"/>
              <w:right w:val="nil"/>
            </w:tcBorders>
            <w:noWrap/>
            <w:vAlign w:val="center"/>
            <w:hideMark/>
          </w:tcPr>
          <w:p w14:paraId="1B04C317" w14:textId="77777777" w:rsidR="0022419F" w:rsidRDefault="0022419F" w:rsidP="00A35AEF">
            <w:pPr>
              <w:rPr>
                <w:rFonts w:ascii="Calibri" w:hAnsi="Calibri" w:cs="Calibri"/>
                <w:b/>
                <w:bCs/>
                <w:sz w:val="20"/>
                <w:szCs w:val="20"/>
              </w:rPr>
            </w:pPr>
            <w:r>
              <w:rPr>
                <w:rFonts w:ascii="Calibri" w:hAnsi="Calibri" w:cs="Calibri"/>
                <w:b/>
                <w:bCs/>
                <w:sz w:val="20"/>
                <w:szCs w:val="20"/>
              </w:rPr>
              <w:t>Totale</w:t>
            </w:r>
          </w:p>
        </w:tc>
        <w:tc>
          <w:tcPr>
            <w:tcW w:w="1369" w:type="dxa"/>
            <w:tcBorders>
              <w:top w:val="single" w:sz="4" w:space="0" w:color="auto"/>
              <w:left w:val="nil"/>
              <w:bottom w:val="single" w:sz="4" w:space="0" w:color="auto"/>
              <w:right w:val="nil"/>
            </w:tcBorders>
            <w:noWrap/>
            <w:vAlign w:val="center"/>
            <w:hideMark/>
          </w:tcPr>
          <w:p w14:paraId="20BD09B9" w14:textId="77777777" w:rsidR="0022419F" w:rsidRDefault="0022419F" w:rsidP="00234F3A">
            <w:pPr>
              <w:jc w:val="center"/>
              <w:rPr>
                <w:rFonts w:ascii="Calibri" w:hAnsi="Calibri" w:cs="Calibri"/>
                <w:b/>
                <w:bCs/>
                <w:sz w:val="20"/>
                <w:szCs w:val="20"/>
              </w:rPr>
            </w:pPr>
            <w:r>
              <w:rPr>
                <w:rFonts w:ascii="Calibri" w:hAnsi="Calibri" w:cs="Calibri"/>
                <w:b/>
                <w:bCs/>
                <w:sz w:val="20"/>
                <w:szCs w:val="20"/>
              </w:rPr>
              <w:t>1.149.868.156</w:t>
            </w:r>
          </w:p>
        </w:tc>
        <w:tc>
          <w:tcPr>
            <w:tcW w:w="1367" w:type="dxa"/>
            <w:tcBorders>
              <w:top w:val="single" w:sz="4" w:space="0" w:color="auto"/>
              <w:left w:val="nil"/>
              <w:bottom w:val="single" w:sz="4" w:space="0" w:color="auto"/>
              <w:right w:val="nil"/>
            </w:tcBorders>
            <w:noWrap/>
            <w:vAlign w:val="center"/>
            <w:hideMark/>
          </w:tcPr>
          <w:p w14:paraId="0F2AC9D0" w14:textId="77777777" w:rsidR="0022419F" w:rsidRDefault="0022419F" w:rsidP="00234F3A">
            <w:pPr>
              <w:jc w:val="center"/>
              <w:rPr>
                <w:rFonts w:ascii="Calibri" w:hAnsi="Calibri" w:cs="Calibri"/>
                <w:b/>
                <w:bCs/>
                <w:sz w:val="20"/>
                <w:szCs w:val="20"/>
              </w:rPr>
            </w:pPr>
            <w:r>
              <w:rPr>
                <w:rFonts w:ascii="Calibri" w:hAnsi="Calibri" w:cs="Calibri"/>
                <w:b/>
                <w:bCs/>
                <w:sz w:val="20"/>
                <w:szCs w:val="20"/>
              </w:rPr>
              <w:t>1.080.401.140</w:t>
            </w:r>
          </w:p>
        </w:tc>
        <w:tc>
          <w:tcPr>
            <w:tcW w:w="1012" w:type="dxa"/>
            <w:tcBorders>
              <w:top w:val="single" w:sz="4" w:space="0" w:color="auto"/>
              <w:left w:val="nil"/>
              <w:bottom w:val="single" w:sz="4" w:space="0" w:color="auto"/>
              <w:right w:val="nil"/>
            </w:tcBorders>
            <w:noWrap/>
            <w:vAlign w:val="center"/>
            <w:hideMark/>
          </w:tcPr>
          <w:p w14:paraId="778CEE9A" w14:textId="77777777" w:rsidR="0022419F" w:rsidRDefault="0022419F" w:rsidP="00234F3A">
            <w:pPr>
              <w:jc w:val="center"/>
              <w:rPr>
                <w:rFonts w:ascii="Calibri" w:hAnsi="Calibri" w:cs="Calibri"/>
                <w:b/>
                <w:bCs/>
                <w:sz w:val="20"/>
                <w:szCs w:val="20"/>
              </w:rPr>
            </w:pPr>
            <w:r>
              <w:rPr>
                <w:rFonts w:ascii="Calibri" w:hAnsi="Calibri" w:cs="Calibri"/>
                <w:b/>
                <w:bCs/>
                <w:sz w:val="20"/>
                <w:szCs w:val="20"/>
              </w:rPr>
              <w:t>100,0%</w:t>
            </w:r>
          </w:p>
        </w:tc>
        <w:tc>
          <w:tcPr>
            <w:tcW w:w="739" w:type="dxa"/>
            <w:tcBorders>
              <w:top w:val="single" w:sz="4" w:space="0" w:color="auto"/>
              <w:left w:val="nil"/>
              <w:bottom w:val="single" w:sz="4" w:space="0" w:color="auto"/>
              <w:right w:val="nil"/>
            </w:tcBorders>
            <w:noWrap/>
            <w:vAlign w:val="center"/>
            <w:hideMark/>
          </w:tcPr>
          <w:p w14:paraId="74AA7311" w14:textId="77777777" w:rsidR="0022419F" w:rsidRDefault="0022419F" w:rsidP="00234F3A">
            <w:pPr>
              <w:jc w:val="center"/>
              <w:rPr>
                <w:rFonts w:ascii="Calibri" w:hAnsi="Calibri" w:cs="Calibri"/>
                <w:b/>
                <w:bCs/>
                <w:sz w:val="20"/>
                <w:szCs w:val="20"/>
              </w:rPr>
            </w:pPr>
            <w:r>
              <w:rPr>
                <w:rFonts w:ascii="Calibri" w:hAnsi="Calibri" w:cs="Calibri"/>
                <w:b/>
                <w:bCs/>
                <w:sz w:val="20"/>
                <w:szCs w:val="20"/>
              </w:rPr>
              <w:t>-6,0%</w:t>
            </w:r>
          </w:p>
        </w:tc>
        <w:tc>
          <w:tcPr>
            <w:tcW w:w="1042" w:type="dxa"/>
            <w:tcBorders>
              <w:top w:val="single" w:sz="4" w:space="0" w:color="auto"/>
              <w:left w:val="nil"/>
              <w:bottom w:val="single" w:sz="4" w:space="0" w:color="auto"/>
              <w:right w:val="nil"/>
            </w:tcBorders>
            <w:noWrap/>
            <w:vAlign w:val="center"/>
            <w:hideMark/>
          </w:tcPr>
          <w:p w14:paraId="4A0D4D62" w14:textId="77777777" w:rsidR="0022419F" w:rsidRDefault="0022419F" w:rsidP="00234F3A">
            <w:pPr>
              <w:jc w:val="center"/>
              <w:rPr>
                <w:rFonts w:ascii="Calibri" w:hAnsi="Calibri" w:cs="Calibri"/>
                <w:b/>
                <w:bCs/>
                <w:i/>
                <w:iCs/>
                <w:sz w:val="20"/>
                <w:szCs w:val="20"/>
              </w:rPr>
            </w:pPr>
            <w:r>
              <w:rPr>
                <w:rFonts w:ascii="Calibri" w:hAnsi="Calibri" w:cs="Calibri"/>
                <w:b/>
                <w:bCs/>
                <w:i/>
                <w:iCs/>
                <w:sz w:val="20"/>
                <w:szCs w:val="20"/>
              </w:rPr>
              <w:t>-6,0%</w:t>
            </w:r>
          </w:p>
        </w:tc>
      </w:tr>
      <w:tr w:rsidR="0022419F" w14:paraId="5CF3FE50" w14:textId="77777777" w:rsidTr="008D3100">
        <w:trPr>
          <w:trHeight w:val="288"/>
        </w:trPr>
        <w:tc>
          <w:tcPr>
            <w:tcW w:w="9436" w:type="dxa"/>
            <w:gridSpan w:val="6"/>
            <w:tcBorders>
              <w:top w:val="nil"/>
              <w:left w:val="nil"/>
              <w:bottom w:val="nil"/>
            </w:tcBorders>
            <w:noWrap/>
            <w:vAlign w:val="center"/>
            <w:hideMark/>
          </w:tcPr>
          <w:p w14:paraId="753A69A6" w14:textId="77777777" w:rsidR="0022419F" w:rsidRDefault="0022419F" w:rsidP="00A35AEF">
            <w:pPr>
              <w:rPr>
                <w:rFonts w:ascii="Calibri" w:hAnsi="Calibri" w:cs="Calibri"/>
                <w:i/>
                <w:iCs/>
                <w:color w:val="000000"/>
                <w:sz w:val="20"/>
                <w:szCs w:val="20"/>
              </w:rPr>
            </w:pPr>
            <w:r>
              <w:rPr>
                <w:rFonts w:ascii="Calibri" w:hAnsi="Calibri" w:cs="Calibri"/>
                <w:i/>
                <w:iCs/>
                <w:color w:val="000000"/>
                <w:sz w:val="20"/>
                <w:szCs w:val="20"/>
              </w:rPr>
              <w:t>Fonte: Elaborazioni Camera di Commercio Toscana Nord-Ovest -ISR su dati Istat (dati provvisori)</w:t>
            </w:r>
          </w:p>
        </w:tc>
      </w:tr>
    </w:tbl>
    <w:p w14:paraId="17702A64" w14:textId="77777777" w:rsidR="00286404" w:rsidRDefault="00DF30BC" w:rsidP="0006442F">
      <w:pPr>
        <w:spacing w:before="240"/>
        <w:jc w:val="both"/>
        <w:rPr>
          <w:rFonts w:ascii="Calibri" w:hAnsi="Calibri"/>
          <w:iCs/>
        </w:rPr>
      </w:pPr>
      <w:r w:rsidRPr="000C37B4">
        <w:rPr>
          <w:rFonts w:ascii="Calibri" w:hAnsi="Calibri"/>
          <w:iCs/>
        </w:rPr>
        <w:t>Il</w:t>
      </w:r>
      <w:r w:rsidR="00FD4699">
        <w:rPr>
          <w:rFonts w:ascii="Calibri" w:hAnsi="Calibri"/>
          <w:iCs/>
        </w:rPr>
        <w:t xml:space="preserve"> comparto</w:t>
      </w:r>
      <w:r w:rsidRPr="000C37B4">
        <w:rPr>
          <w:rFonts w:ascii="Calibri" w:hAnsi="Calibri"/>
          <w:iCs/>
        </w:rPr>
        <w:t xml:space="preserve"> </w:t>
      </w:r>
      <w:r w:rsidRPr="00286404">
        <w:rPr>
          <w:rFonts w:ascii="Calibri" w:hAnsi="Calibri"/>
          <w:b/>
          <w:bCs/>
          <w:iCs/>
        </w:rPr>
        <w:t>l</w:t>
      </w:r>
      <w:r w:rsidRPr="0046087C">
        <w:rPr>
          <w:rFonts w:ascii="Calibri" w:hAnsi="Calibri"/>
          <w:b/>
          <w:bCs/>
          <w:i/>
        </w:rPr>
        <w:t>apideo</w:t>
      </w:r>
      <w:r w:rsidRPr="000C37B4">
        <w:rPr>
          <w:rFonts w:ascii="Calibri" w:hAnsi="Calibri"/>
          <w:iCs/>
        </w:rPr>
        <w:t>, che</w:t>
      </w:r>
      <w:r w:rsidR="00FD4699">
        <w:rPr>
          <w:rFonts w:ascii="Calibri" w:hAnsi="Calibri"/>
          <w:iCs/>
        </w:rPr>
        <w:t xml:space="preserve"> con 300 milioni di euro nel complesso</w:t>
      </w:r>
      <w:r w:rsidRPr="000C37B4">
        <w:rPr>
          <w:rFonts w:ascii="Calibri" w:hAnsi="Calibri"/>
          <w:iCs/>
        </w:rPr>
        <w:t xml:space="preserve"> rappresenta il 2</w:t>
      </w:r>
      <w:r w:rsidR="00DA1ABE" w:rsidRPr="000C37B4">
        <w:rPr>
          <w:rFonts w:ascii="Calibri" w:hAnsi="Calibri"/>
          <w:iCs/>
        </w:rPr>
        <w:t>6</w:t>
      </w:r>
      <w:r w:rsidRPr="000C37B4">
        <w:rPr>
          <w:rFonts w:ascii="Calibri" w:hAnsi="Calibri"/>
          <w:iCs/>
        </w:rPr>
        <w:t>,</w:t>
      </w:r>
      <w:r w:rsidR="000C37B4" w:rsidRPr="000C37B4">
        <w:rPr>
          <w:rFonts w:ascii="Calibri" w:hAnsi="Calibri"/>
          <w:iCs/>
        </w:rPr>
        <w:t>4</w:t>
      </w:r>
      <w:r w:rsidRPr="000C37B4">
        <w:rPr>
          <w:rFonts w:ascii="Calibri" w:hAnsi="Calibri"/>
          <w:iCs/>
        </w:rPr>
        <w:t xml:space="preserve">% dell’export della provincia di Massa-Carrara, </w:t>
      </w:r>
      <w:r w:rsidR="003A0C44" w:rsidRPr="000C37B4">
        <w:rPr>
          <w:rFonts w:ascii="Calibri" w:hAnsi="Calibri"/>
          <w:iCs/>
        </w:rPr>
        <w:t xml:space="preserve">ha </w:t>
      </w:r>
      <w:r w:rsidR="00BD3EED">
        <w:rPr>
          <w:rFonts w:ascii="Calibri" w:hAnsi="Calibri"/>
          <w:iCs/>
        </w:rPr>
        <w:t>segnato</w:t>
      </w:r>
      <w:r w:rsidR="00E14176">
        <w:rPr>
          <w:rFonts w:ascii="Calibri" w:hAnsi="Calibri"/>
          <w:iCs/>
        </w:rPr>
        <w:t xml:space="preserve"> una diminuzione dell</w:t>
      </w:r>
      <w:r w:rsidR="00D76AE5">
        <w:rPr>
          <w:rFonts w:ascii="Calibri" w:hAnsi="Calibri"/>
          <w:iCs/>
        </w:rPr>
        <w:t>e vendite oltre frontiera</w:t>
      </w:r>
      <w:r w:rsidRPr="000C37B4">
        <w:rPr>
          <w:rFonts w:ascii="Calibri" w:hAnsi="Calibri"/>
          <w:iCs/>
        </w:rPr>
        <w:t xml:space="preserve"> </w:t>
      </w:r>
      <w:r w:rsidR="000C37B4" w:rsidRPr="000C37B4">
        <w:rPr>
          <w:rFonts w:ascii="Calibri" w:hAnsi="Calibri"/>
          <w:iCs/>
        </w:rPr>
        <w:t>de</w:t>
      </w:r>
      <w:r w:rsidR="00286404">
        <w:rPr>
          <w:rFonts w:ascii="Calibri" w:hAnsi="Calibri"/>
          <w:iCs/>
        </w:rPr>
        <w:t>l</w:t>
      </w:r>
      <w:r w:rsidR="000C37B4" w:rsidRPr="000C37B4">
        <w:rPr>
          <w:rFonts w:ascii="Calibri" w:hAnsi="Calibri"/>
          <w:iCs/>
        </w:rPr>
        <w:t>l</w:t>
      </w:r>
      <w:r w:rsidR="00286404">
        <w:rPr>
          <w:rFonts w:ascii="Calibri" w:hAnsi="Calibri"/>
          <w:iCs/>
        </w:rPr>
        <w:t xml:space="preserve">e merci </w:t>
      </w:r>
      <w:r w:rsidR="00E14176">
        <w:rPr>
          <w:rFonts w:ascii="Calibri" w:hAnsi="Calibri"/>
          <w:iCs/>
        </w:rPr>
        <w:t xml:space="preserve">sia </w:t>
      </w:r>
      <w:r w:rsidR="003A0C44" w:rsidRPr="000C37B4">
        <w:rPr>
          <w:rFonts w:ascii="Calibri" w:hAnsi="Calibri"/>
          <w:iCs/>
        </w:rPr>
        <w:t>grezz</w:t>
      </w:r>
      <w:r w:rsidR="00286404">
        <w:rPr>
          <w:rFonts w:ascii="Calibri" w:hAnsi="Calibri"/>
          <w:iCs/>
        </w:rPr>
        <w:t>e</w:t>
      </w:r>
      <w:r w:rsidR="003A0C44" w:rsidRPr="000C37B4">
        <w:rPr>
          <w:rFonts w:ascii="Calibri" w:hAnsi="Calibri"/>
          <w:iCs/>
        </w:rPr>
        <w:t xml:space="preserve"> che </w:t>
      </w:r>
      <w:r w:rsidR="00286404">
        <w:rPr>
          <w:rFonts w:ascii="Calibri" w:hAnsi="Calibri"/>
          <w:iCs/>
        </w:rPr>
        <w:t xml:space="preserve">lavorate. </w:t>
      </w:r>
      <w:r w:rsidR="00E14176">
        <w:rPr>
          <w:rFonts w:ascii="Calibri" w:hAnsi="Calibri"/>
          <w:iCs/>
        </w:rPr>
        <w:t xml:space="preserve">Nel </w:t>
      </w:r>
      <w:r w:rsidR="00286404">
        <w:rPr>
          <w:rFonts w:ascii="Calibri" w:hAnsi="Calibri"/>
          <w:iCs/>
        </w:rPr>
        <w:t>dettaglio</w:t>
      </w:r>
      <w:r w:rsidR="00E14176">
        <w:rPr>
          <w:rFonts w:ascii="Calibri" w:hAnsi="Calibri"/>
          <w:iCs/>
        </w:rPr>
        <w:t>,</w:t>
      </w:r>
      <w:r w:rsidR="00286404">
        <w:rPr>
          <w:rFonts w:ascii="Calibri" w:hAnsi="Calibri"/>
          <w:iCs/>
        </w:rPr>
        <w:t xml:space="preserve"> n</w:t>
      </w:r>
      <w:r w:rsidR="00286404" w:rsidRPr="00286404">
        <w:rPr>
          <w:rFonts w:ascii="Calibri" w:hAnsi="Calibri"/>
          <w:iCs/>
        </w:rPr>
        <w:t xml:space="preserve">el primo semestre </w:t>
      </w:r>
      <w:r w:rsidR="00E14176">
        <w:rPr>
          <w:rFonts w:ascii="Calibri" w:hAnsi="Calibri"/>
          <w:iCs/>
        </w:rPr>
        <w:t>2</w:t>
      </w:r>
      <w:r w:rsidR="00286404" w:rsidRPr="00286404">
        <w:rPr>
          <w:rFonts w:ascii="Calibri" w:hAnsi="Calibri"/>
          <w:iCs/>
        </w:rPr>
        <w:t xml:space="preserve">025 le esportazioni di </w:t>
      </w:r>
      <w:r w:rsidR="00286404" w:rsidRPr="0046087C">
        <w:rPr>
          <w:rFonts w:ascii="Calibri" w:hAnsi="Calibri"/>
          <w:b/>
          <w:bCs/>
          <w:i/>
        </w:rPr>
        <w:t>pietre tagliate, modellate e finite</w:t>
      </w:r>
      <w:r w:rsidR="00286404" w:rsidRPr="00286404">
        <w:rPr>
          <w:rFonts w:ascii="Calibri" w:hAnsi="Calibri"/>
          <w:iCs/>
        </w:rPr>
        <w:t xml:space="preserve"> (marmo lavorato) si sono attestate a 194 milioni di euro, registrando una flessione del 4,1% rispetto allo stesso periodo del 2024. </w:t>
      </w:r>
      <w:r w:rsidR="0006442F">
        <w:rPr>
          <w:rFonts w:ascii="Calibri" w:hAnsi="Calibri"/>
          <w:iCs/>
        </w:rPr>
        <w:t>I</w:t>
      </w:r>
      <w:r w:rsidR="00286404" w:rsidRPr="00286404">
        <w:rPr>
          <w:rFonts w:ascii="Calibri" w:hAnsi="Calibri"/>
          <w:iCs/>
        </w:rPr>
        <w:t xml:space="preserve">l mercato statunitense continua a rappresentare un punto di forza per il settore: le vendite verso gli USA, che da sole assorbono oltre la metà dell’export del comparto, sono salite a 101 milioni di euro, in crescita di oltre 14 milioni rispetto al 2024, </w:t>
      </w:r>
      <w:r w:rsidR="007D58E8">
        <w:rPr>
          <w:rFonts w:ascii="Calibri" w:hAnsi="Calibri"/>
          <w:iCs/>
        </w:rPr>
        <w:t xml:space="preserve">per </w:t>
      </w:r>
      <w:r w:rsidR="00286404" w:rsidRPr="00286404">
        <w:rPr>
          <w:rFonts w:ascii="Calibri" w:hAnsi="Calibri"/>
          <w:iCs/>
        </w:rPr>
        <w:t xml:space="preserve">un incremento del 16,4%, contribuendo da sole per 7 punti percentuali alla tenuta dell’export </w:t>
      </w:r>
      <w:r w:rsidR="007D58E8">
        <w:rPr>
          <w:rFonts w:ascii="Calibri" w:hAnsi="Calibri"/>
          <w:iCs/>
        </w:rPr>
        <w:t>del comparto</w:t>
      </w:r>
      <w:r w:rsidR="00286404" w:rsidRPr="00286404">
        <w:rPr>
          <w:rFonts w:ascii="Calibri" w:hAnsi="Calibri"/>
          <w:iCs/>
        </w:rPr>
        <w:t>.</w:t>
      </w:r>
      <w:r w:rsidR="0006442F">
        <w:rPr>
          <w:rFonts w:ascii="Calibri" w:hAnsi="Calibri"/>
          <w:iCs/>
        </w:rPr>
        <w:t xml:space="preserve"> </w:t>
      </w:r>
      <w:r w:rsidR="00286404" w:rsidRPr="00286404">
        <w:rPr>
          <w:rFonts w:ascii="Calibri" w:hAnsi="Calibri"/>
          <w:iCs/>
        </w:rPr>
        <w:t>In netta controtendenza</w:t>
      </w:r>
      <w:r w:rsidR="007D58E8">
        <w:rPr>
          <w:rFonts w:ascii="Calibri" w:hAnsi="Calibri"/>
          <w:iCs/>
        </w:rPr>
        <w:t>,</w:t>
      </w:r>
      <w:r w:rsidR="00286404" w:rsidRPr="00286404">
        <w:rPr>
          <w:rFonts w:ascii="Calibri" w:hAnsi="Calibri"/>
          <w:iCs/>
        </w:rPr>
        <w:t xml:space="preserve"> invece</w:t>
      </w:r>
      <w:r w:rsidR="007D58E8">
        <w:rPr>
          <w:rFonts w:ascii="Calibri" w:hAnsi="Calibri"/>
          <w:iCs/>
        </w:rPr>
        <w:t>,</w:t>
      </w:r>
      <w:r w:rsidR="00286404" w:rsidRPr="00286404">
        <w:rPr>
          <w:rFonts w:ascii="Calibri" w:hAnsi="Calibri"/>
          <w:iCs/>
        </w:rPr>
        <w:t xml:space="preserve"> l’Arabia Saudita che </w:t>
      </w:r>
      <w:r w:rsidR="007D58E8" w:rsidRPr="00286404">
        <w:rPr>
          <w:rFonts w:ascii="Calibri" w:hAnsi="Calibri"/>
          <w:iCs/>
        </w:rPr>
        <w:t xml:space="preserve">ha </w:t>
      </w:r>
      <w:r w:rsidR="00D76AE5">
        <w:rPr>
          <w:rFonts w:ascii="Calibri" w:hAnsi="Calibri"/>
          <w:iCs/>
        </w:rPr>
        <w:t>decisamente</w:t>
      </w:r>
      <w:r w:rsidR="007D58E8" w:rsidRPr="00286404">
        <w:rPr>
          <w:rFonts w:ascii="Calibri" w:hAnsi="Calibri"/>
          <w:iCs/>
        </w:rPr>
        <w:t xml:space="preserve"> rallenta</w:t>
      </w:r>
      <w:r w:rsidR="00D76AE5">
        <w:rPr>
          <w:rFonts w:ascii="Calibri" w:hAnsi="Calibri"/>
          <w:iCs/>
        </w:rPr>
        <w:t>to</w:t>
      </w:r>
      <w:r w:rsidR="007D58E8" w:rsidRPr="00286404">
        <w:rPr>
          <w:rFonts w:ascii="Calibri" w:hAnsi="Calibri"/>
          <w:iCs/>
        </w:rPr>
        <w:t xml:space="preserve"> </w:t>
      </w:r>
      <w:r w:rsidR="00286404" w:rsidRPr="00286404">
        <w:rPr>
          <w:rFonts w:ascii="Calibri" w:hAnsi="Calibri"/>
          <w:iCs/>
        </w:rPr>
        <w:t xml:space="preserve">dopo il picco registrato nel 2024: le esportazioni sono scese a 16,9 milioni di euro, con una perdita di oltre 7 milioni di euro </w:t>
      </w:r>
      <w:r w:rsidR="007D58E8">
        <w:rPr>
          <w:rFonts w:ascii="Calibri" w:hAnsi="Calibri"/>
          <w:iCs/>
        </w:rPr>
        <w:t>per</w:t>
      </w:r>
      <w:r w:rsidR="00286404" w:rsidRPr="00286404">
        <w:rPr>
          <w:rFonts w:ascii="Calibri" w:hAnsi="Calibri"/>
          <w:iCs/>
        </w:rPr>
        <w:t xml:space="preserve"> un</w:t>
      </w:r>
      <w:r w:rsidR="007D58E8">
        <w:rPr>
          <w:rFonts w:ascii="Calibri" w:hAnsi="Calibri"/>
          <w:iCs/>
        </w:rPr>
        <w:t xml:space="preserve">a flessione </w:t>
      </w:r>
      <w:r w:rsidR="00286404" w:rsidRPr="00286404">
        <w:rPr>
          <w:rFonts w:ascii="Calibri" w:hAnsi="Calibri"/>
          <w:iCs/>
        </w:rPr>
        <w:t>del 29,7%.</w:t>
      </w:r>
      <w:r w:rsidR="0006442F">
        <w:rPr>
          <w:rFonts w:ascii="Calibri" w:hAnsi="Calibri"/>
          <w:iCs/>
        </w:rPr>
        <w:t xml:space="preserve"> </w:t>
      </w:r>
      <w:r w:rsidR="00286404" w:rsidRPr="00286404">
        <w:rPr>
          <w:rFonts w:ascii="Calibri" w:hAnsi="Calibri"/>
          <w:iCs/>
        </w:rPr>
        <w:t>Tra gli altri mercati di rilievo</w:t>
      </w:r>
      <w:r w:rsidR="0006442F">
        <w:rPr>
          <w:rFonts w:ascii="Calibri" w:hAnsi="Calibri"/>
          <w:iCs/>
        </w:rPr>
        <w:t>,</w:t>
      </w:r>
      <w:r w:rsidR="0077341E">
        <w:rPr>
          <w:rFonts w:ascii="Calibri" w:hAnsi="Calibri"/>
          <w:iCs/>
        </w:rPr>
        <w:t xml:space="preserve"> nel semestre</w:t>
      </w:r>
      <w:r w:rsidR="00286404" w:rsidRPr="00286404">
        <w:rPr>
          <w:rFonts w:ascii="Calibri" w:hAnsi="Calibri"/>
          <w:iCs/>
        </w:rPr>
        <w:t xml:space="preserve"> si segnalano gli Emirati Arabi Uniti torna</w:t>
      </w:r>
      <w:r w:rsidR="0077341E">
        <w:rPr>
          <w:rFonts w:ascii="Calibri" w:hAnsi="Calibri"/>
          <w:iCs/>
        </w:rPr>
        <w:t>ti</w:t>
      </w:r>
      <w:r w:rsidR="00286404" w:rsidRPr="00286404">
        <w:rPr>
          <w:rFonts w:ascii="Calibri" w:hAnsi="Calibri"/>
          <w:iCs/>
        </w:rPr>
        <w:t xml:space="preserve"> </w:t>
      </w:r>
      <w:r w:rsidR="0006442F">
        <w:rPr>
          <w:rFonts w:ascii="Calibri" w:hAnsi="Calibri"/>
          <w:iCs/>
        </w:rPr>
        <w:t>a</w:t>
      </w:r>
      <w:r w:rsidR="00286404" w:rsidRPr="00286404">
        <w:rPr>
          <w:rFonts w:ascii="Calibri" w:hAnsi="Calibri"/>
          <w:iCs/>
        </w:rPr>
        <w:t xml:space="preserve"> cresc</w:t>
      </w:r>
      <w:r w:rsidR="0006442F">
        <w:rPr>
          <w:rFonts w:ascii="Calibri" w:hAnsi="Calibri"/>
          <w:iCs/>
        </w:rPr>
        <w:t xml:space="preserve">ere </w:t>
      </w:r>
      <w:r w:rsidR="00286404" w:rsidRPr="00286404">
        <w:rPr>
          <w:rFonts w:ascii="Calibri" w:hAnsi="Calibri"/>
          <w:iCs/>
        </w:rPr>
        <w:t xml:space="preserve">(+3,1%) con </w:t>
      </w:r>
      <w:r w:rsidR="0006442F">
        <w:rPr>
          <w:rFonts w:ascii="Calibri" w:hAnsi="Calibri"/>
          <w:iCs/>
        </w:rPr>
        <w:t>quasi</w:t>
      </w:r>
      <w:r w:rsidR="00286404" w:rsidRPr="00286404">
        <w:rPr>
          <w:rFonts w:ascii="Calibri" w:hAnsi="Calibri"/>
          <w:iCs/>
        </w:rPr>
        <w:t xml:space="preserve"> 15 milioni, mentre il Regno Unito </w:t>
      </w:r>
      <w:r w:rsidR="00D76AE5">
        <w:rPr>
          <w:rFonts w:ascii="Calibri" w:hAnsi="Calibri"/>
          <w:iCs/>
        </w:rPr>
        <w:t>è lievemente calato</w:t>
      </w:r>
      <w:r w:rsidR="00286404" w:rsidRPr="00286404">
        <w:rPr>
          <w:rFonts w:ascii="Calibri" w:hAnsi="Calibri"/>
          <w:iCs/>
        </w:rPr>
        <w:t xml:space="preserve"> </w:t>
      </w:r>
      <w:r w:rsidR="0077341E">
        <w:rPr>
          <w:rFonts w:ascii="Calibri" w:hAnsi="Calibri"/>
          <w:iCs/>
        </w:rPr>
        <w:t>(-</w:t>
      </w:r>
      <w:r w:rsidR="00286404" w:rsidRPr="00286404">
        <w:rPr>
          <w:rFonts w:ascii="Calibri" w:hAnsi="Calibri"/>
          <w:iCs/>
        </w:rPr>
        <w:t>3,6%</w:t>
      </w:r>
      <w:r w:rsidR="0077341E">
        <w:rPr>
          <w:rFonts w:ascii="Calibri" w:hAnsi="Calibri"/>
          <w:iCs/>
        </w:rPr>
        <w:t>)</w:t>
      </w:r>
      <w:r w:rsidR="00286404" w:rsidRPr="00286404">
        <w:rPr>
          <w:rFonts w:ascii="Calibri" w:hAnsi="Calibri"/>
          <w:iCs/>
        </w:rPr>
        <w:t xml:space="preserve"> scendendo </w:t>
      </w:r>
      <w:r w:rsidR="00102927">
        <w:rPr>
          <w:rFonts w:ascii="Calibri" w:hAnsi="Calibri"/>
          <w:iCs/>
        </w:rPr>
        <w:t>sotto i 7</w:t>
      </w:r>
      <w:r w:rsidR="00286404" w:rsidRPr="00286404">
        <w:rPr>
          <w:rFonts w:ascii="Calibri" w:hAnsi="Calibri"/>
          <w:iCs/>
        </w:rPr>
        <w:t xml:space="preserve"> milioni di euro</w:t>
      </w:r>
      <w:r w:rsidR="00102927">
        <w:rPr>
          <w:rFonts w:ascii="Calibri" w:hAnsi="Calibri"/>
          <w:iCs/>
        </w:rPr>
        <w:t xml:space="preserve"> insieme all’Australia</w:t>
      </w:r>
      <w:r w:rsidR="0006442F">
        <w:rPr>
          <w:rFonts w:ascii="Calibri" w:hAnsi="Calibri"/>
          <w:iCs/>
        </w:rPr>
        <w:t xml:space="preserve"> che ha invece segnato una flessione significativa (-32,3%)</w:t>
      </w:r>
      <w:r w:rsidR="00102927">
        <w:rPr>
          <w:rFonts w:ascii="Calibri" w:hAnsi="Calibri"/>
          <w:iCs/>
        </w:rPr>
        <w:t>.</w:t>
      </w:r>
    </w:p>
    <w:p w14:paraId="45170450" w14:textId="77777777" w:rsidR="00286404" w:rsidRDefault="00286404" w:rsidP="00286404">
      <w:pPr>
        <w:jc w:val="both"/>
        <w:rPr>
          <w:rFonts w:ascii="Calibri" w:hAnsi="Calibri"/>
          <w:iCs/>
        </w:rPr>
      </w:pPr>
      <w:r w:rsidRPr="00286404">
        <w:rPr>
          <w:rFonts w:ascii="Calibri" w:hAnsi="Calibri"/>
          <w:iCs/>
        </w:rPr>
        <w:t xml:space="preserve">Tendenze contrastanti per </w:t>
      </w:r>
      <w:r w:rsidR="00D45D0C">
        <w:rPr>
          <w:rFonts w:ascii="Calibri" w:hAnsi="Calibri"/>
          <w:iCs/>
        </w:rPr>
        <w:t>i</w:t>
      </w:r>
      <w:r w:rsidRPr="00286404">
        <w:rPr>
          <w:rFonts w:ascii="Calibri" w:hAnsi="Calibri"/>
          <w:iCs/>
        </w:rPr>
        <w:t>l compart</w:t>
      </w:r>
      <w:r w:rsidR="00102927">
        <w:rPr>
          <w:rFonts w:ascii="Calibri" w:hAnsi="Calibri"/>
          <w:iCs/>
        </w:rPr>
        <w:t xml:space="preserve">o </w:t>
      </w:r>
      <w:r w:rsidR="00102927" w:rsidRPr="0046087C">
        <w:rPr>
          <w:rFonts w:ascii="Calibri" w:hAnsi="Calibri"/>
          <w:b/>
          <w:bCs/>
          <w:i/>
        </w:rPr>
        <w:t>estrattivo</w:t>
      </w:r>
      <w:r w:rsidR="00102927" w:rsidRPr="00102927">
        <w:rPr>
          <w:rFonts w:ascii="Calibri" w:hAnsi="Calibri"/>
          <w:b/>
          <w:bCs/>
          <w:iCs/>
        </w:rPr>
        <w:t xml:space="preserve"> </w:t>
      </w:r>
      <w:r w:rsidR="00102927" w:rsidRPr="00102927">
        <w:rPr>
          <w:rFonts w:ascii="Calibri" w:hAnsi="Calibri"/>
          <w:iCs/>
        </w:rPr>
        <w:t>(</w:t>
      </w:r>
      <w:r w:rsidRPr="00102927">
        <w:rPr>
          <w:rFonts w:ascii="Calibri" w:hAnsi="Calibri"/>
          <w:iCs/>
        </w:rPr>
        <w:t>pietra, sabbia e argilla</w:t>
      </w:r>
      <w:r w:rsidR="00102927" w:rsidRPr="00102927">
        <w:rPr>
          <w:rFonts w:ascii="Calibri" w:hAnsi="Calibri"/>
          <w:iCs/>
        </w:rPr>
        <w:t>)</w:t>
      </w:r>
      <w:r w:rsidR="00D45D0C">
        <w:rPr>
          <w:rFonts w:ascii="Calibri" w:hAnsi="Calibri"/>
          <w:iCs/>
        </w:rPr>
        <w:t>,</w:t>
      </w:r>
      <w:r w:rsidRPr="00286404">
        <w:rPr>
          <w:rFonts w:ascii="Calibri" w:hAnsi="Calibri"/>
          <w:iCs/>
        </w:rPr>
        <w:t xml:space="preserve"> che nella prima metà del 2025 ha registrato un</w:t>
      </w:r>
      <w:r w:rsidR="00102927">
        <w:rPr>
          <w:rFonts w:ascii="Calibri" w:hAnsi="Calibri"/>
          <w:iCs/>
        </w:rPr>
        <w:t>a flessione</w:t>
      </w:r>
      <w:r w:rsidR="00D45D0C">
        <w:rPr>
          <w:rFonts w:ascii="Calibri" w:hAnsi="Calibri"/>
          <w:iCs/>
        </w:rPr>
        <w:t xml:space="preserve"> delle esportazioni</w:t>
      </w:r>
      <w:r w:rsidR="00102927">
        <w:rPr>
          <w:rFonts w:ascii="Calibri" w:hAnsi="Calibri"/>
          <w:iCs/>
        </w:rPr>
        <w:t xml:space="preserve"> </w:t>
      </w:r>
      <w:r w:rsidRPr="00286404">
        <w:rPr>
          <w:rFonts w:ascii="Calibri" w:hAnsi="Calibri"/>
          <w:iCs/>
        </w:rPr>
        <w:t xml:space="preserve">del 6,7%, </w:t>
      </w:r>
      <w:r w:rsidR="00D45D0C">
        <w:rPr>
          <w:rFonts w:ascii="Calibri" w:hAnsi="Calibri"/>
          <w:iCs/>
        </w:rPr>
        <w:t xml:space="preserve">fermandosi </w:t>
      </w:r>
      <w:r w:rsidRPr="00286404">
        <w:rPr>
          <w:rFonts w:ascii="Calibri" w:hAnsi="Calibri"/>
          <w:iCs/>
        </w:rPr>
        <w:t>a 91 milioni di euro. La Cina, principale mercato di destinazione</w:t>
      </w:r>
      <w:r w:rsidR="00102927">
        <w:rPr>
          <w:rFonts w:ascii="Calibri" w:hAnsi="Calibri"/>
          <w:iCs/>
        </w:rPr>
        <w:t xml:space="preserve"> dei blocchi estratti</w:t>
      </w:r>
      <w:r w:rsidRPr="00286404">
        <w:rPr>
          <w:rFonts w:ascii="Calibri" w:hAnsi="Calibri"/>
          <w:iCs/>
        </w:rPr>
        <w:t xml:space="preserve"> con oltre 51 milioni di euro, </w:t>
      </w:r>
      <w:r w:rsidR="00102927">
        <w:rPr>
          <w:rFonts w:ascii="Calibri" w:hAnsi="Calibri"/>
          <w:iCs/>
        </w:rPr>
        <w:t xml:space="preserve">ha </w:t>
      </w:r>
      <w:r w:rsidRPr="00286404">
        <w:rPr>
          <w:rFonts w:ascii="Calibri" w:hAnsi="Calibri"/>
          <w:iCs/>
        </w:rPr>
        <w:t>segna</w:t>
      </w:r>
      <w:r w:rsidR="00102927">
        <w:rPr>
          <w:rFonts w:ascii="Calibri" w:hAnsi="Calibri"/>
          <w:iCs/>
        </w:rPr>
        <w:t>to</w:t>
      </w:r>
      <w:r w:rsidRPr="00286404">
        <w:rPr>
          <w:rFonts w:ascii="Calibri" w:hAnsi="Calibri"/>
          <w:iCs/>
        </w:rPr>
        <w:t xml:space="preserve"> un lieve aumento (+0,6%). </w:t>
      </w:r>
      <w:r w:rsidR="00D76AE5">
        <w:rPr>
          <w:rFonts w:ascii="Calibri" w:hAnsi="Calibri"/>
          <w:iCs/>
        </w:rPr>
        <w:t>A seguire</w:t>
      </w:r>
      <w:r w:rsidR="00102927">
        <w:rPr>
          <w:rFonts w:ascii="Calibri" w:hAnsi="Calibri"/>
          <w:iCs/>
        </w:rPr>
        <w:t xml:space="preserve"> </w:t>
      </w:r>
      <w:r w:rsidRPr="00286404">
        <w:rPr>
          <w:rFonts w:ascii="Calibri" w:hAnsi="Calibri"/>
          <w:iCs/>
        </w:rPr>
        <w:t>l’India</w:t>
      </w:r>
      <w:r w:rsidR="00102927">
        <w:rPr>
          <w:rFonts w:ascii="Calibri" w:hAnsi="Calibri"/>
          <w:iCs/>
        </w:rPr>
        <w:t xml:space="preserve">, con 7,6 milioni in calo del 20,3%, </w:t>
      </w:r>
      <w:r w:rsidR="00D45D0C">
        <w:rPr>
          <w:rFonts w:ascii="Calibri" w:hAnsi="Calibri"/>
          <w:iCs/>
        </w:rPr>
        <w:t xml:space="preserve">e </w:t>
      </w:r>
      <w:r w:rsidRPr="00286404">
        <w:rPr>
          <w:rFonts w:ascii="Calibri" w:hAnsi="Calibri"/>
          <w:iCs/>
        </w:rPr>
        <w:t>l’Arabia Saudita</w:t>
      </w:r>
      <w:r w:rsidR="00102927">
        <w:rPr>
          <w:rFonts w:ascii="Calibri" w:hAnsi="Calibri"/>
          <w:iCs/>
        </w:rPr>
        <w:t xml:space="preserve"> (3,3 milioni)</w:t>
      </w:r>
      <w:r w:rsidRPr="00286404">
        <w:rPr>
          <w:rFonts w:ascii="Calibri" w:hAnsi="Calibri"/>
          <w:iCs/>
        </w:rPr>
        <w:t xml:space="preserve"> che è scesa del 14,4%</w:t>
      </w:r>
      <w:r w:rsidR="00102927">
        <w:rPr>
          <w:rFonts w:ascii="Calibri" w:hAnsi="Calibri"/>
          <w:iCs/>
        </w:rPr>
        <w:t xml:space="preserve">. Gli </w:t>
      </w:r>
      <w:r w:rsidRPr="00286404">
        <w:rPr>
          <w:rFonts w:ascii="Calibri" w:hAnsi="Calibri"/>
          <w:iCs/>
        </w:rPr>
        <w:t>Stati Uniti</w:t>
      </w:r>
      <w:r w:rsidR="00102927">
        <w:rPr>
          <w:rFonts w:ascii="Calibri" w:hAnsi="Calibri"/>
          <w:iCs/>
        </w:rPr>
        <w:t xml:space="preserve"> e l’Indonesia </w:t>
      </w:r>
      <w:r w:rsidR="00D76AE5">
        <w:rPr>
          <w:rFonts w:ascii="Calibri" w:hAnsi="Calibri"/>
          <w:iCs/>
        </w:rPr>
        <w:t xml:space="preserve">hanno </w:t>
      </w:r>
      <w:r w:rsidR="00102927">
        <w:rPr>
          <w:rFonts w:ascii="Calibri" w:hAnsi="Calibri"/>
          <w:iCs/>
        </w:rPr>
        <w:t>segna</w:t>
      </w:r>
      <w:r w:rsidR="00D76AE5">
        <w:rPr>
          <w:rFonts w:ascii="Calibri" w:hAnsi="Calibri"/>
          <w:iCs/>
        </w:rPr>
        <w:t>to</w:t>
      </w:r>
      <w:r w:rsidR="00102927">
        <w:rPr>
          <w:rFonts w:ascii="Calibri" w:hAnsi="Calibri"/>
          <w:iCs/>
        </w:rPr>
        <w:t xml:space="preserve"> contrazioni superiori al 50%, mentre </w:t>
      </w:r>
      <w:r w:rsidR="00D45D0C">
        <w:rPr>
          <w:rFonts w:ascii="Calibri" w:hAnsi="Calibri"/>
          <w:iCs/>
        </w:rPr>
        <w:t xml:space="preserve">in positivo </w:t>
      </w:r>
      <w:r w:rsidR="00D76AE5">
        <w:rPr>
          <w:rFonts w:ascii="Calibri" w:hAnsi="Calibri"/>
          <w:iCs/>
        </w:rPr>
        <w:t xml:space="preserve">si sono distinte </w:t>
      </w:r>
      <w:r w:rsidR="00102927">
        <w:rPr>
          <w:rFonts w:ascii="Calibri" w:hAnsi="Calibri"/>
          <w:iCs/>
        </w:rPr>
        <w:t>Francia (2,5 milioni, +7,4%) e Siria (1,3 milioni).</w:t>
      </w:r>
    </w:p>
    <w:p w14:paraId="1F0D3D91" w14:textId="77777777" w:rsidR="00DF30BC" w:rsidRPr="00286404" w:rsidRDefault="007C1666" w:rsidP="00286404">
      <w:pPr>
        <w:jc w:val="both"/>
        <w:rPr>
          <w:rFonts w:ascii="Calibri" w:hAnsi="Calibri"/>
          <w:iCs/>
        </w:rPr>
      </w:pPr>
      <w:r w:rsidRPr="00286404">
        <w:rPr>
          <w:rFonts w:ascii="Calibri" w:hAnsi="Calibri"/>
        </w:rPr>
        <w:t>N</w:t>
      </w:r>
      <w:r w:rsidRPr="00286404">
        <w:rPr>
          <w:rFonts w:ascii="Calibri" w:hAnsi="Calibri"/>
          <w:iCs/>
        </w:rPr>
        <w:t>ella filiera</w:t>
      </w:r>
      <w:r w:rsidR="00DF30BC" w:rsidRPr="00286404">
        <w:rPr>
          <w:rFonts w:ascii="Calibri" w:hAnsi="Calibri"/>
          <w:iCs/>
        </w:rPr>
        <w:t xml:space="preserve"> lapide</w:t>
      </w:r>
      <w:r w:rsidRPr="00286404">
        <w:rPr>
          <w:rFonts w:ascii="Calibri" w:hAnsi="Calibri"/>
          <w:iCs/>
        </w:rPr>
        <w:t>a</w:t>
      </w:r>
      <w:r w:rsidR="00DF30BC" w:rsidRPr="00286404">
        <w:rPr>
          <w:rFonts w:ascii="Calibri" w:hAnsi="Calibri"/>
          <w:iCs/>
        </w:rPr>
        <w:t xml:space="preserve"> </w:t>
      </w:r>
      <w:r w:rsidR="002C3BBC">
        <w:rPr>
          <w:rFonts w:ascii="Calibri" w:hAnsi="Calibri"/>
          <w:iCs/>
        </w:rPr>
        <w:t xml:space="preserve">è da </w:t>
      </w:r>
      <w:r w:rsidR="00DF30BC" w:rsidRPr="00286404">
        <w:rPr>
          <w:rFonts w:ascii="Calibri" w:hAnsi="Calibri"/>
          <w:iCs/>
        </w:rPr>
        <w:t>evidenzia</w:t>
      </w:r>
      <w:r w:rsidR="002C3BBC">
        <w:rPr>
          <w:rFonts w:ascii="Calibri" w:hAnsi="Calibri"/>
          <w:iCs/>
        </w:rPr>
        <w:t>re</w:t>
      </w:r>
      <w:r w:rsidR="00DF30BC" w:rsidRPr="00286404">
        <w:rPr>
          <w:rFonts w:ascii="Calibri" w:hAnsi="Calibri"/>
          <w:iCs/>
        </w:rPr>
        <w:t xml:space="preserve"> </w:t>
      </w:r>
      <w:r w:rsidR="00036072">
        <w:rPr>
          <w:rFonts w:ascii="Calibri" w:hAnsi="Calibri"/>
          <w:iCs/>
        </w:rPr>
        <w:t>la</w:t>
      </w:r>
      <w:r w:rsidRPr="00286404">
        <w:rPr>
          <w:rFonts w:ascii="Calibri" w:hAnsi="Calibri"/>
          <w:iCs/>
        </w:rPr>
        <w:t xml:space="preserve"> </w:t>
      </w:r>
      <w:r w:rsidR="00286404" w:rsidRPr="00286404">
        <w:rPr>
          <w:rFonts w:ascii="Calibri" w:hAnsi="Calibri"/>
          <w:iCs/>
        </w:rPr>
        <w:t>crescita</w:t>
      </w:r>
      <w:r w:rsidRPr="00286404">
        <w:rPr>
          <w:rFonts w:ascii="Calibri" w:hAnsi="Calibri"/>
          <w:iCs/>
        </w:rPr>
        <w:t xml:space="preserve"> del </w:t>
      </w:r>
      <w:r w:rsidR="00036072">
        <w:rPr>
          <w:rFonts w:ascii="Calibri" w:hAnsi="Calibri"/>
          <w:iCs/>
        </w:rPr>
        <w:t>14,8</w:t>
      </w:r>
      <w:r w:rsidRPr="00286404">
        <w:rPr>
          <w:rFonts w:ascii="Calibri" w:hAnsi="Calibri"/>
          <w:iCs/>
        </w:rPr>
        <w:t xml:space="preserve">% </w:t>
      </w:r>
      <w:r w:rsidR="00DF30BC" w:rsidRPr="00286404">
        <w:rPr>
          <w:rFonts w:ascii="Calibri" w:hAnsi="Calibri"/>
          <w:iCs/>
        </w:rPr>
        <w:t>dell</w:t>
      </w:r>
      <w:r w:rsidR="00036072">
        <w:rPr>
          <w:rFonts w:ascii="Calibri" w:hAnsi="Calibri"/>
          <w:iCs/>
        </w:rPr>
        <w:t xml:space="preserve">’export </w:t>
      </w:r>
      <w:r w:rsidR="00DF30BC" w:rsidRPr="00286404">
        <w:rPr>
          <w:rFonts w:ascii="Calibri" w:hAnsi="Calibri"/>
          <w:iCs/>
        </w:rPr>
        <w:t xml:space="preserve">di </w:t>
      </w:r>
      <w:r w:rsidR="00DF30BC" w:rsidRPr="00286404">
        <w:rPr>
          <w:rFonts w:ascii="Calibri" w:hAnsi="Calibri"/>
          <w:b/>
          <w:i/>
        </w:rPr>
        <w:t>prodotti abrasivi</w:t>
      </w:r>
      <w:r w:rsidR="001858F2" w:rsidRPr="001858F2">
        <w:rPr>
          <w:rFonts w:ascii="Calibri" w:hAnsi="Calibri"/>
          <w:bCs/>
          <w:i/>
        </w:rPr>
        <w:t>,</w:t>
      </w:r>
      <w:r w:rsidR="00DF30BC" w:rsidRPr="00286404">
        <w:rPr>
          <w:rFonts w:ascii="Calibri" w:hAnsi="Calibri"/>
          <w:b/>
          <w:iCs/>
        </w:rPr>
        <w:t xml:space="preserve"> </w:t>
      </w:r>
      <w:r w:rsidR="00DF30BC" w:rsidRPr="00286404">
        <w:rPr>
          <w:rFonts w:ascii="Calibri" w:hAnsi="Calibri"/>
          <w:iCs/>
        </w:rPr>
        <w:t>che da gennaio a giugno 202</w:t>
      </w:r>
      <w:r w:rsidR="00286404" w:rsidRPr="00286404">
        <w:rPr>
          <w:rFonts w:ascii="Calibri" w:hAnsi="Calibri"/>
          <w:iCs/>
        </w:rPr>
        <w:t>5</w:t>
      </w:r>
      <w:r w:rsidR="00DF30BC" w:rsidRPr="00286404">
        <w:rPr>
          <w:rFonts w:ascii="Calibri" w:hAnsi="Calibri"/>
          <w:iCs/>
        </w:rPr>
        <w:t xml:space="preserve"> hanno </w:t>
      </w:r>
      <w:r w:rsidR="001858F2">
        <w:rPr>
          <w:rFonts w:ascii="Calibri" w:hAnsi="Calibri"/>
          <w:iCs/>
        </w:rPr>
        <w:t>realizzato</w:t>
      </w:r>
      <w:r w:rsidR="00DF30BC" w:rsidRPr="00286404">
        <w:rPr>
          <w:rFonts w:ascii="Calibri" w:hAnsi="Calibri"/>
          <w:iCs/>
        </w:rPr>
        <w:t xml:space="preserve"> vendite</w:t>
      </w:r>
      <w:r w:rsidR="00036072">
        <w:rPr>
          <w:rFonts w:ascii="Calibri" w:hAnsi="Calibri"/>
          <w:iCs/>
        </w:rPr>
        <w:t xml:space="preserve"> estere</w:t>
      </w:r>
      <w:r w:rsidR="00DF30BC" w:rsidRPr="00286404">
        <w:rPr>
          <w:rFonts w:ascii="Calibri" w:hAnsi="Calibri"/>
          <w:iCs/>
        </w:rPr>
        <w:t xml:space="preserve"> per </w:t>
      </w:r>
      <w:r w:rsidR="0046745A" w:rsidRPr="00286404">
        <w:rPr>
          <w:rFonts w:ascii="Calibri" w:hAnsi="Calibri"/>
          <w:iCs/>
        </w:rPr>
        <w:t xml:space="preserve">oltre </w:t>
      </w:r>
      <w:r w:rsidR="00286404" w:rsidRPr="00286404">
        <w:rPr>
          <w:rFonts w:ascii="Calibri" w:hAnsi="Calibri"/>
          <w:iCs/>
        </w:rPr>
        <w:t>8</w:t>
      </w:r>
      <w:r w:rsidR="0022419F">
        <w:rPr>
          <w:rFonts w:ascii="Calibri" w:hAnsi="Calibri"/>
          <w:iCs/>
        </w:rPr>
        <w:t>,5</w:t>
      </w:r>
      <w:r w:rsidR="00DF30BC" w:rsidRPr="00286404">
        <w:rPr>
          <w:rFonts w:ascii="Calibri" w:hAnsi="Calibri"/>
          <w:iCs/>
        </w:rPr>
        <w:t xml:space="preserve"> milioni</w:t>
      </w:r>
      <w:r w:rsidR="001858F2">
        <w:rPr>
          <w:rFonts w:ascii="Calibri" w:hAnsi="Calibri"/>
          <w:iCs/>
        </w:rPr>
        <w:t xml:space="preserve"> di euro.</w:t>
      </w:r>
    </w:p>
    <w:p w14:paraId="59FFA89C" w14:textId="77777777" w:rsidR="00DF30BC" w:rsidRPr="00A86CB8" w:rsidRDefault="0046745A" w:rsidP="00455534">
      <w:pPr>
        <w:jc w:val="both"/>
        <w:rPr>
          <w:rFonts w:ascii="Calibri" w:hAnsi="Calibri" w:cs="Calibri"/>
          <w:iCs/>
        </w:rPr>
      </w:pPr>
      <w:r w:rsidRPr="00C07ABD">
        <w:rPr>
          <w:rFonts w:ascii="Calibri" w:hAnsi="Calibri"/>
          <w:iCs/>
        </w:rPr>
        <w:t>I</w:t>
      </w:r>
      <w:r w:rsidR="00DF30BC" w:rsidRPr="00C07ABD">
        <w:rPr>
          <w:rFonts w:ascii="Calibri" w:hAnsi="Calibri"/>
          <w:iCs/>
        </w:rPr>
        <w:t xml:space="preserve">l comparto della chimica </w:t>
      </w:r>
      <w:r w:rsidR="00BF5525" w:rsidRPr="00C07ABD">
        <w:rPr>
          <w:rFonts w:ascii="Calibri" w:hAnsi="Calibri"/>
          <w:iCs/>
        </w:rPr>
        <w:t xml:space="preserve">ha </w:t>
      </w:r>
      <w:r w:rsidR="007C1666" w:rsidRPr="00C07ABD">
        <w:rPr>
          <w:rFonts w:ascii="Calibri" w:hAnsi="Calibri"/>
          <w:iCs/>
        </w:rPr>
        <w:t xml:space="preserve">registrato </w:t>
      </w:r>
      <w:r w:rsidR="00DF30BC" w:rsidRPr="00C07ABD">
        <w:rPr>
          <w:rFonts w:ascii="Calibri" w:hAnsi="Calibri"/>
          <w:iCs/>
        </w:rPr>
        <w:t xml:space="preserve">risultati </w:t>
      </w:r>
      <w:r w:rsidRPr="00C07ABD">
        <w:rPr>
          <w:rFonts w:ascii="Calibri" w:hAnsi="Calibri"/>
          <w:iCs/>
        </w:rPr>
        <w:t>differenziati</w:t>
      </w:r>
      <w:r w:rsidR="001858F2" w:rsidRPr="001858F2">
        <w:rPr>
          <w:rFonts w:ascii="Calibri" w:hAnsi="Calibri"/>
          <w:iCs/>
        </w:rPr>
        <w:t xml:space="preserve"> </w:t>
      </w:r>
      <w:r w:rsidR="001858F2" w:rsidRPr="00C07ABD">
        <w:rPr>
          <w:rFonts w:ascii="Calibri" w:hAnsi="Calibri"/>
          <w:iCs/>
        </w:rPr>
        <w:t>al suo interno</w:t>
      </w:r>
      <w:r w:rsidR="00DF30BC" w:rsidRPr="00C07ABD">
        <w:rPr>
          <w:rFonts w:ascii="Calibri" w:hAnsi="Calibri"/>
          <w:iCs/>
        </w:rPr>
        <w:t>.</w:t>
      </w:r>
      <w:r w:rsidRPr="00C07ABD">
        <w:rPr>
          <w:rFonts w:ascii="Calibri" w:hAnsi="Calibri"/>
          <w:iCs/>
        </w:rPr>
        <w:t xml:space="preserve"> I</w:t>
      </w:r>
      <w:r w:rsidR="00DF30BC" w:rsidRPr="00C07ABD">
        <w:rPr>
          <w:rFonts w:ascii="Calibri" w:hAnsi="Calibri"/>
          <w:iCs/>
        </w:rPr>
        <w:t xml:space="preserve"> </w:t>
      </w:r>
      <w:r w:rsidRPr="00C07ABD">
        <w:rPr>
          <w:rFonts w:ascii="Calibri" w:hAnsi="Calibri"/>
          <w:b/>
          <w:i/>
          <w:iCs/>
        </w:rPr>
        <w:t>prodotti chimici</w:t>
      </w:r>
      <w:r w:rsidRPr="00C07ABD">
        <w:rPr>
          <w:rFonts w:ascii="Calibri" w:hAnsi="Calibri"/>
          <w:i/>
          <w:iCs/>
        </w:rPr>
        <w:t xml:space="preserve"> </w:t>
      </w:r>
      <w:r w:rsidRPr="00C07ABD">
        <w:rPr>
          <w:rFonts w:ascii="Calibri" w:hAnsi="Calibri"/>
          <w:b/>
          <w:i/>
          <w:iCs/>
        </w:rPr>
        <w:t xml:space="preserve">di </w:t>
      </w:r>
      <w:r w:rsidRPr="00C07ABD">
        <w:rPr>
          <w:rFonts w:ascii="Calibri" w:hAnsi="Calibri" w:cs="Calibri"/>
          <w:b/>
          <w:i/>
          <w:iCs/>
        </w:rPr>
        <w:t>base</w:t>
      </w:r>
      <w:r w:rsidRPr="00C07ABD">
        <w:rPr>
          <w:rFonts w:ascii="Calibri" w:hAnsi="Calibri"/>
          <w:iCs/>
        </w:rPr>
        <w:t xml:space="preserve"> </w:t>
      </w:r>
      <w:r w:rsidR="00BF5525" w:rsidRPr="00C07ABD">
        <w:rPr>
          <w:rFonts w:ascii="Calibri" w:hAnsi="Calibri"/>
          <w:iCs/>
        </w:rPr>
        <w:t xml:space="preserve">hanno </w:t>
      </w:r>
      <w:r w:rsidR="0017413A" w:rsidRPr="00C07ABD">
        <w:rPr>
          <w:rFonts w:ascii="Calibri" w:hAnsi="Calibri"/>
          <w:iCs/>
        </w:rPr>
        <w:t xml:space="preserve">invertito la dinamica </w:t>
      </w:r>
      <w:r w:rsidR="002C3BBC">
        <w:rPr>
          <w:rFonts w:ascii="Calibri" w:hAnsi="Calibri"/>
          <w:iCs/>
        </w:rPr>
        <w:t xml:space="preserve">positiva </w:t>
      </w:r>
      <w:r w:rsidR="007C1666" w:rsidRPr="00C07ABD">
        <w:rPr>
          <w:rFonts w:ascii="Calibri" w:hAnsi="Calibri"/>
          <w:iCs/>
        </w:rPr>
        <w:t>dello scorso anno</w:t>
      </w:r>
      <w:r w:rsidR="00DF30BC" w:rsidRPr="00C07ABD">
        <w:rPr>
          <w:rFonts w:ascii="Calibri" w:hAnsi="Calibri"/>
          <w:iCs/>
        </w:rPr>
        <w:t xml:space="preserve"> </w:t>
      </w:r>
      <w:r w:rsidR="00C07ABD" w:rsidRPr="00C07ABD">
        <w:rPr>
          <w:rFonts w:ascii="Calibri" w:hAnsi="Calibri"/>
          <w:iCs/>
        </w:rPr>
        <w:t xml:space="preserve">flettendo sensibilmente (37,3%, -11 milioni di euro) </w:t>
      </w:r>
      <w:r w:rsidR="002C3BBC">
        <w:rPr>
          <w:rFonts w:ascii="Calibri" w:hAnsi="Calibri"/>
          <w:iCs/>
        </w:rPr>
        <w:t xml:space="preserve">e </w:t>
      </w:r>
      <w:r w:rsidR="00137B1D">
        <w:rPr>
          <w:rFonts w:ascii="Calibri" w:hAnsi="Calibri"/>
          <w:iCs/>
        </w:rPr>
        <w:t>fermandosi</w:t>
      </w:r>
      <w:r w:rsidR="00C07ABD" w:rsidRPr="00C07ABD">
        <w:rPr>
          <w:rFonts w:ascii="Calibri" w:hAnsi="Calibri"/>
          <w:iCs/>
        </w:rPr>
        <w:t xml:space="preserve"> poco oltre</w:t>
      </w:r>
      <w:r w:rsidR="006B1D10">
        <w:rPr>
          <w:rFonts w:ascii="Calibri" w:hAnsi="Calibri"/>
          <w:iCs/>
        </w:rPr>
        <w:t xml:space="preserve"> i </w:t>
      </w:r>
      <w:r w:rsidR="00C07ABD" w:rsidRPr="00C07ABD">
        <w:rPr>
          <w:rFonts w:ascii="Calibri" w:hAnsi="Calibri"/>
          <w:iCs/>
        </w:rPr>
        <w:t>19 milioni di euro.</w:t>
      </w:r>
      <w:r w:rsidR="00DF30BC" w:rsidRPr="00C07ABD">
        <w:rPr>
          <w:rFonts w:ascii="Calibri" w:hAnsi="Calibri"/>
          <w:iCs/>
        </w:rPr>
        <w:t xml:space="preserve"> </w:t>
      </w:r>
      <w:r w:rsidR="007C1666" w:rsidRPr="00C07ABD">
        <w:rPr>
          <w:rFonts w:ascii="Calibri" w:hAnsi="Calibri"/>
          <w:iCs/>
        </w:rPr>
        <w:t>I p</w:t>
      </w:r>
      <w:r w:rsidR="00DF30BC" w:rsidRPr="00C07ABD">
        <w:rPr>
          <w:rFonts w:ascii="Calibri" w:hAnsi="Calibri"/>
          <w:iCs/>
        </w:rPr>
        <w:t>rincipali mercati di sbocco</w:t>
      </w:r>
      <w:r w:rsidR="007C1666" w:rsidRPr="00C07ABD">
        <w:rPr>
          <w:rFonts w:ascii="Calibri" w:hAnsi="Calibri"/>
          <w:iCs/>
        </w:rPr>
        <w:t xml:space="preserve">, tutti in </w:t>
      </w:r>
      <w:r w:rsidR="00C07ABD" w:rsidRPr="00C07ABD">
        <w:rPr>
          <w:rFonts w:ascii="Calibri" w:hAnsi="Calibri"/>
          <w:iCs/>
        </w:rPr>
        <w:t>calo ad eccezione dell’Austria (+22%)</w:t>
      </w:r>
      <w:r w:rsidR="007C1666" w:rsidRPr="00C07ABD">
        <w:rPr>
          <w:rFonts w:ascii="Calibri" w:hAnsi="Calibri"/>
          <w:iCs/>
        </w:rPr>
        <w:t>, sono</w:t>
      </w:r>
      <w:r w:rsidR="00DF30BC" w:rsidRPr="00C07ABD">
        <w:rPr>
          <w:rFonts w:ascii="Calibri" w:hAnsi="Calibri"/>
          <w:iCs/>
        </w:rPr>
        <w:t xml:space="preserve"> </w:t>
      </w:r>
      <w:r w:rsidR="002C3BBC">
        <w:rPr>
          <w:rFonts w:ascii="Calibri" w:hAnsi="Calibri"/>
          <w:iCs/>
        </w:rPr>
        <w:t xml:space="preserve">risultati </w:t>
      </w:r>
      <w:r w:rsidR="00C07ABD" w:rsidRPr="00C07ABD">
        <w:rPr>
          <w:rFonts w:ascii="Calibri" w:hAnsi="Calibri"/>
          <w:iCs/>
        </w:rPr>
        <w:t xml:space="preserve">Germania, </w:t>
      </w:r>
      <w:r w:rsidR="003C30E4" w:rsidRPr="00C07ABD">
        <w:rPr>
          <w:rFonts w:ascii="Calibri" w:hAnsi="Calibri"/>
          <w:iCs/>
        </w:rPr>
        <w:t xml:space="preserve">Stati Uniti, </w:t>
      </w:r>
      <w:r w:rsidR="00D066B3">
        <w:rPr>
          <w:rFonts w:ascii="Calibri" w:hAnsi="Calibri"/>
          <w:iCs/>
        </w:rPr>
        <w:t>F</w:t>
      </w:r>
      <w:r w:rsidR="00C07ABD" w:rsidRPr="00C07ABD">
        <w:rPr>
          <w:rFonts w:ascii="Calibri" w:hAnsi="Calibri"/>
          <w:iCs/>
        </w:rPr>
        <w:t>inlandia</w:t>
      </w:r>
      <w:r w:rsidR="00D066B3">
        <w:rPr>
          <w:rFonts w:ascii="Calibri" w:hAnsi="Calibri"/>
          <w:iCs/>
        </w:rPr>
        <w:t xml:space="preserve"> e Cina</w:t>
      </w:r>
      <w:r w:rsidR="003C30E4" w:rsidRPr="00C07ABD">
        <w:rPr>
          <w:rFonts w:ascii="Calibri" w:hAnsi="Calibri"/>
          <w:iCs/>
        </w:rPr>
        <w:t xml:space="preserve">. </w:t>
      </w:r>
      <w:r w:rsidR="00DF30BC" w:rsidRPr="00A86CB8">
        <w:rPr>
          <w:rFonts w:ascii="Calibri" w:hAnsi="Calibri"/>
          <w:iCs/>
        </w:rPr>
        <w:t xml:space="preserve">In controtendenza </w:t>
      </w:r>
      <w:r w:rsidR="003C30E4" w:rsidRPr="00A86CB8">
        <w:rPr>
          <w:rFonts w:ascii="Calibri" w:hAnsi="Calibri"/>
          <w:iCs/>
        </w:rPr>
        <w:t>gl</w:t>
      </w:r>
      <w:r w:rsidRPr="00A86CB8">
        <w:rPr>
          <w:rFonts w:ascii="Calibri" w:hAnsi="Calibri"/>
          <w:iCs/>
        </w:rPr>
        <w:t xml:space="preserve">i </w:t>
      </w:r>
      <w:r w:rsidRPr="00A86CB8">
        <w:rPr>
          <w:rFonts w:ascii="Calibri" w:hAnsi="Calibri"/>
          <w:b/>
          <w:i/>
          <w:iCs/>
        </w:rPr>
        <w:t>altri prodotti chimici</w:t>
      </w:r>
      <w:r w:rsidR="00A86CB8" w:rsidRPr="00A86CB8">
        <w:rPr>
          <w:rFonts w:ascii="Calibri" w:hAnsi="Calibri"/>
          <w:b/>
          <w:i/>
          <w:iCs/>
        </w:rPr>
        <w:t xml:space="preserve"> </w:t>
      </w:r>
      <w:r w:rsidR="00A86CB8" w:rsidRPr="00A86CB8">
        <w:rPr>
          <w:rFonts w:ascii="Calibri" w:hAnsi="Calibri"/>
          <w:bCs/>
        </w:rPr>
        <w:t>che</w:t>
      </w:r>
      <w:r w:rsidR="00DF30BC" w:rsidRPr="00A86CB8">
        <w:rPr>
          <w:rFonts w:ascii="Calibri" w:hAnsi="Calibri" w:cs="Calibri"/>
          <w:bCs/>
        </w:rPr>
        <w:t xml:space="preserve">, </w:t>
      </w:r>
      <w:r w:rsidR="007C1666" w:rsidRPr="00A86CB8">
        <w:rPr>
          <w:rFonts w:ascii="Calibri" w:hAnsi="Calibri" w:cs="Calibri"/>
          <w:bCs/>
        </w:rPr>
        <w:t>c</w:t>
      </w:r>
      <w:r w:rsidR="00DF30BC" w:rsidRPr="00A86CB8">
        <w:rPr>
          <w:rFonts w:ascii="Calibri" w:hAnsi="Calibri" w:cs="Calibri"/>
          <w:bCs/>
        </w:rPr>
        <w:t>on</w:t>
      </w:r>
      <w:r w:rsidR="00DF30BC" w:rsidRPr="00A86CB8">
        <w:rPr>
          <w:rFonts w:ascii="Calibri" w:hAnsi="Calibri" w:cs="Calibri"/>
          <w:bCs/>
          <w:i/>
          <w:iCs/>
        </w:rPr>
        <w:t xml:space="preserve"> </w:t>
      </w:r>
      <w:r w:rsidR="00DF30BC" w:rsidRPr="00A86CB8">
        <w:rPr>
          <w:rFonts w:ascii="Calibri" w:hAnsi="Calibri" w:cs="Calibri"/>
          <w:iCs/>
        </w:rPr>
        <w:t xml:space="preserve">quasi </w:t>
      </w:r>
      <w:r w:rsidR="003C30E4" w:rsidRPr="00A86CB8">
        <w:rPr>
          <w:rFonts w:ascii="Calibri" w:hAnsi="Calibri" w:cs="Calibri"/>
          <w:iCs/>
        </w:rPr>
        <w:t>8</w:t>
      </w:r>
      <w:r w:rsidR="00A86CB8" w:rsidRPr="00A86CB8">
        <w:rPr>
          <w:rFonts w:ascii="Calibri" w:hAnsi="Calibri" w:cs="Calibri"/>
          <w:iCs/>
        </w:rPr>
        <w:t>6</w:t>
      </w:r>
      <w:r w:rsidR="00DF30BC" w:rsidRPr="00A86CB8">
        <w:rPr>
          <w:rFonts w:ascii="Calibri" w:hAnsi="Calibri" w:cs="Calibri"/>
          <w:iCs/>
        </w:rPr>
        <w:t xml:space="preserve"> milioni di euro di esportazioni nel semestre</w:t>
      </w:r>
      <w:r w:rsidR="00A86CB8" w:rsidRPr="00A86CB8">
        <w:rPr>
          <w:rFonts w:ascii="Calibri" w:hAnsi="Calibri" w:cs="Calibri"/>
          <w:iCs/>
        </w:rPr>
        <w:t>,</w:t>
      </w:r>
      <w:r w:rsidR="007C1666" w:rsidRPr="00A86CB8">
        <w:rPr>
          <w:rFonts w:ascii="Calibri" w:hAnsi="Calibri" w:cs="Calibri"/>
          <w:iCs/>
        </w:rPr>
        <w:t xml:space="preserve"> </w:t>
      </w:r>
      <w:r w:rsidR="00BF5525" w:rsidRPr="00A86CB8">
        <w:rPr>
          <w:rFonts w:ascii="Calibri" w:hAnsi="Calibri" w:cs="Calibri"/>
          <w:iCs/>
        </w:rPr>
        <w:t xml:space="preserve">hanno </w:t>
      </w:r>
      <w:r w:rsidR="002C3BBC">
        <w:rPr>
          <w:rFonts w:ascii="Calibri" w:hAnsi="Calibri" w:cs="Calibri"/>
          <w:iCs/>
        </w:rPr>
        <w:t>conseguito un</w:t>
      </w:r>
      <w:r w:rsidR="00A86CB8" w:rsidRPr="00A86CB8">
        <w:rPr>
          <w:rFonts w:ascii="Calibri" w:hAnsi="Calibri" w:cs="Calibri"/>
          <w:iCs/>
        </w:rPr>
        <w:t xml:space="preserve"> aument</w:t>
      </w:r>
      <w:r w:rsidR="002C3BBC">
        <w:rPr>
          <w:rFonts w:ascii="Calibri" w:hAnsi="Calibri" w:cs="Calibri"/>
          <w:iCs/>
        </w:rPr>
        <w:t>o</w:t>
      </w:r>
      <w:r w:rsidR="00A86CB8" w:rsidRPr="00A86CB8">
        <w:rPr>
          <w:rFonts w:ascii="Calibri" w:hAnsi="Calibri" w:cs="Calibri"/>
          <w:iCs/>
        </w:rPr>
        <w:t xml:space="preserve"> del 2,3</w:t>
      </w:r>
      <w:r w:rsidR="00DF30BC" w:rsidRPr="00A86CB8">
        <w:rPr>
          <w:rFonts w:ascii="Calibri" w:hAnsi="Calibri" w:cs="Calibri"/>
          <w:iCs/>
        </w:rPr>
        <w:t>%</w:t>
      </w:r>
      <w:r w:rsidR="00A86CB8">
        <w:rPr>
          <w:rFonts w:ascii="Calibri" w:hAnsi="Calibri" w:cs="Calibri"/>
          <w:iCs/>
        </w:rPr>
        <w:t>.</w:t>
      </w:r>
      <w:r w:rsidR="006B1D10">
        <w:rPr>
          <w:rFonts w:ascii="Calibri" w:hAnsi="Calibri" w:cs="Calibri"/>
          <w:iCs/>
        </w:rPr>
        <w:t xml:space="preserve"> La Germania, primo partner commerciale con 35 milioni, ha segnato un aumento del 2,3%, mentre la Francia </w:t>
      </w:r>
      <w:r w:rsidR="002C3BBC">
        <w:rPr>
          <w:rFonts w:ascii="Calibri" w:hAnsi="Calibri" w:cs="Calibri"/>
          <w:iCs/>
        </w:rPr>
        <w:t xml:space="preserve">ha </w:t>
      </w:r>
      <w:r w:rsidR="006B1D10">
        <w:rPr>
          <w:rFonts w:ascii="Calibri" w:hAnsi="Calibri" w:cs="Calibri"/>
          <w:iCs/>
        </w:rPr>
        <w:t xml:space="preserve">ridotto gli acquisti del 16,3% </w:t>
      </w:r>
      <w:r w:rsidR="002C3BBC">
        <w:rPr>
          <w:rFonts w:ascii="Calibri" w:hAnsi="Calibri" w:cs="Calibri"/>
          <w:iCs/>
        </w:rPr>
        <w:t xml:space="preserve">fermandosi </w:t>
      </w:r>
      <w:r w:rsidR="006B1D10">
        <w:rPr>
          <w:rFonts w:ascii="Calibri" w:hAnsi="Calibri" w:cs="Calibri"/>
          <w:iCs/>
        </w:rPr>
        <w:t>a quota 14,</w:t>
      </w:r>
      <w:r w:rsidR="0029632D">
        <w:rPr>
          <w:rFonts w:ascii="Calibri" w:hAnsi="Calibri" w:cs="Calibri"/>
          <w:iCs/>
        </w:rPr>
        <w:t>5</w:t>
      </w:r>
      <w:r w:rsidR="006B1D10">
        <w:rPr>
          <w:rFonts w:ascii="Calibri" w:hAnsi="Calibri" w:cs="Calibri"/>
          <w:iCs/>
        </w:rPr>
        <w:t xml:space="preserve"> milioni. </w:t>
      </w:r>
      <w:r w:rsidR="006B1D10">
        <w:rPr>
          <w:rFonts w:ascii="Calibri" w:hAnsi="Calibri" w:cs="Calibri"/>
          <w:iCs/>
        </w:rPr>
        <w:lastRenderedPageBreak/>
        <w:t xml:space="preserve">In recupero la Turchia, mentre tra i mercati </w:t>
      </w:r>
      <w:r w:rsidR="002C3BBC">
        <w:rPr>
          <w:rFonts w:ascii="Calibri" w:hAnsi="Calibri" w:cs="Calibri"/>
          <w:iCs/>
        </w:rPr>
        <w:t>emergenti è avanzato</w:t>
      </w:r>
      <w:r w:rsidR="006B1D10">
        <w:rPr>
          <w:rFonts w:ascii="Calibri" w:hAnsi="Calibri" w:cs="Calibri"/>
          <w:iCs/>
        </w:rPr>
        <w:t xml:space="preserve"> l’Azerbaigian (2,3 milion</w:t>
      </w:r>
      <w:r w:rsidR="0029632D">
        <w:rPr>
          <w:rFonts w:ascii="Calibri" w:hAnsi="Calibri" w:cs="Calibri"/>
          <w:iCs/>
        </w:rPr>
        <w:t>i per entrambi)</w:t>
      </w:r>
      <w:r w:rsidR="006B1D10">
        <w:rPr>
          <w:rFonts w:ascii="Calibri" w:hAnsi="Calibri" w:cs="Calibri"/>
          <w:iCs/>
        </w:rPr>
        <w:t>.</w:t>
      </w:r>
    </w:p>
    <w:p w14:paraId="3FF446B5" w14:textId="77777777" w:rsidR="0022419F" w:rsidRDefault="00A86CB8" w:rsidP="0022419F">
      <w:pPr>
        <w:spacing w:after="240"/>
        <w:jc w:val="both"/>
        <w:rPr>
          <w:rFonts w:ascii="Calibri" w:hAnsi="Calibri" w:cs="Calibri"/>
          <w:iCs/>
        </w:rPr>
      </w:pPr>
      <w:r w:rsidRPr="00A86CB8">
        <w:rPr>
          <w:rFonts w:ascii="Calibri" w:hAnsi="Calibri" w:cs="Calibri"/>
          <w:iCs/>
        </w:rPr>
        <w:t xml:space="preserve">Tra i settori di specializzazione si evidenzia la </w:t>
      </w:r>
      <w:r w:rsidR="006B1D10">
        <w:rPr>
          <w:rFonts w:ascii="Calibri" w:hAnsi="Calibri" w:cs="Calibri"/>
          <w:iCs/>
        </w:rPr>
        <w:t xml:space="preserve">forte </w:t>
      </w:r>
      <w:r w:rsidRPr="00A86CB8">
        <w:rPr>
          <w:rFonts w:ascii="Calibri" w:hAnsi="Calibri" w:cs="Calibri"/>
          <w:iCs/>
        </w:rPr>
        <w:t>crescita dell</w:t>
      </w:r>
      <w:r>
        <w:rPr>
          <w:rFonts w:ascii="Calibri" w:hAnsi="Calibri" w:cs="Calibri"/>
          <w:iCs/>
        </w:rPr>
        <w:t xml:space="preserve">a </w:t>
      </w:r>
      <w:r w:rsidRPr="0046087C">
        <w:rPr>
          <w:rFonts w:ascii="Calibri" w:hAnsi="Calibri" w:cs="Calibri"/>
          <w:b/>
          <w:i/>
        </w:rPr>
        <w:t>nautica da diporto</w:t>
      </w:r>
      <w:r w:rsidRPr="009F745F">
        <w:rPr>
          <w:rFonts w:ascii="Calibri" w:hAnsi="Calibri" w:cs="Calibri"/>
          <w:iCs/>
        </w:rPr>
        <w:t>,</w:t>
      </w:r>
      <w:r w:rsidRPr="00A86CB8">
        <w:rPr>
          <w:rFonts w:ascii="Calibri" w:hAnsi="Calibri" w:cs="Calibri"/>
          <w:iCs/>
        </w:rPr>
        <w:t xml:space="preserve"> </w:t>
      </w:r>
      <w:r>
        <w:rPr>
          <w:rFonts w:ascii="Calibri" w:hAnsi="Calibri" w:cs="Calibri"/>
          <w:iCs/>
        </w:rPr>
        <w:t xml:space="preserve">con </w:t>
      </w:r>
      <w:r w:rsidR="006B1D10">
        <w:rPr>
          <w:rFonts w:ascii="Calibri" w:hAnsi="Calibri" w:cs="Calibri"/>
          <w:iCs/>
        </w:rPr>
        <w:t>l’</w:t>
      </w:r>
      <w:r>
        <w:rPr>
          <w:rFonts w:ascii="Calibri" w:hAnsi="Calibri" w:cs="Calibri"/>
          <w:iCs/>
        </w:rPr>
        <w:t xml:space="preserve">export salito a </w:t>
      </w:r>
      <w:r w:rsidRPr="00A86CB8">
        <w:rPr>
          <w:rFonts w:ascii="Calibri" w:hAnsi="Calibri" w:cs="Calibri"/>
          <w:iCs/>
        </w:rPr>
        <w:t xml:space="preserve">oltre 135 milioni di euro nel primo semestre 2025 rispetto ai 23 milioni del pari periodo 2024. Si tratta di un incremento </w:t>
      </w:r>
      <w:r w:rsidR="006B1D10">
        <w:rPr>
          <w:rFonts w:ascii="Calibri" w:hAnsi="Calibri" w:cs="Calibri"/>
          <w:iCs/>
        </w:rPr>
        <w:t xml:space="preserve">dovuto alla consegna di natanti nelle Isole Cayman </w:t>
      </w:r>
      <w:r w:rsidRPr="00A86CB8">
        <w:rPr>
          <w:rFonts w:ascii="Calibri" w:hAnsi="Calibri" w:cs="Calibri"/>
          <w:iCs/>
        </w:rPr>
        <w:t xml:space="preserve">che </w:t>
      </w:r>
      <w:r w:rsidR="002C3BBC">
        <w:rPr>
          <w:rFonts w:ascii="Calibri" w:hAnsi="Calibri" w:cs="Calibri"/>
          <w:iCs/>
        </w:rPr>
        <w:t xml:space="preserve">ha </w:t>
      </w:r>
      <w:r w:rsidRPr="00A86CB8">
        <w:rPr>
          <w:rFonts w:ascii="Calibri" w:hAnsi="Calibri" w:cs="Calibri"/>
          <w:iCs/>
        </w:rPr>
        <w:t>apporta</w:t>
      </w:r>
      <w:r w:rsidR="002C3BBC">
        <w:rPr>
          <w:rFonts w:ascii="Calibri" w:hAnsi="Calibri" w:cs="Calibri"/>
          <w:iCs/>
        </w:rPr>
        <w:t>to</w:t>
      </w:r>
      <w:r w:rsidRPr="00A86CB8">
        <w:rPr>
          <w:rFonts w:ascii="Calibri" w:hAnsi="Calibri" w:cs="Calibri"/>
          <w:iCs/>
        </w:rPr>
        <w:t xml:space="preserve"> un contributo </w:t>
      </w:r>
      <w:r w:rsidR="0029632D" w:rsidRPr="00A86CB8">
        <w:rPr>
          <w:rFonts w:ascii="Calibri" w:hAnsi="Calibri" w:cs="Calibri"/>
          <w:iCs/>
        </w:rPr>
        <w:t>di quasi 9</w:t>
      </w:r>
      <w:r w:rsidR="0029632D">
        <w:rPr>
          <w:rFonts w:ascii="Calibri" w:hAnsi="Calibri" w:cs="Calibri"/>
          <w:iCs/>
        </w:rPr>
        <w:t>,8</w:t>
      </w:r>
      <w:r w:rsidR="0029632D" w:rsidRPr="00A86CB8">
        <w:rPr>
          <w:rFonts w:ascii="Calibri" w:hAnsi="Calibri" w:cs="Calibri"/>
          <w:iCs/>
        </w:rPr>
        <w:t xml:space="preserve"> punti percentuali </w:t>
      </w:r>
      <w:r w:rsidRPr="00A86CB8">
        <w:rPr>
          <w:rFonts w:ascii="Calibri" w:hAnsi="Calibri" w:cs="Calibri"/>
          <w:iCs/>
        </w:rPr>
        <w:t>alla crescita complessiva dell’export provinciale.</w:t>
      </w:r>
      <w:r w:rsidR="006B1D10">
        <w:rPr>
          <w:rFonts w:ascii="Calibri" w:hAnsi="Calibri" w:cs="Calibri"/>
          <w:iCs/>
        </w:rPr>
        <w:t xml:space="preserve"> C</w:t>
      </w:r>
      <w:r w:rsidRPr="00A86CB8">
        <w:rPr>
          <w:rFonts w:ascii="Calibri" w:hAnsi="Calibri" w:cs="Calibri"/>
          <w:iCs/>
        </w:rPr>
        <w:t xml:space="preserve">ome spesso accade nel settore </w:t>
      </w:r>
      <w:r w:rsidR="006B1D10">
        <w:rPr>
          <w:rFonts w:ascii="Calibri" w:hAnsi="Calibri" w:cs="Calibri"/>
          <w:iCs/>
        </w:rPr>
        <w:t xml:space="preserve">della cantieristica </w:t>
      </w:r>
      <w:r w:rsidRPr="00A86CB8">
        <w:rPr>
          <w:rFonts w:ascii="Calibri" w:hAnsi="Calibri" w:cs="Calibri"/>
          <w:iCs/>
        </w:rPr>
        <w:t>navale, la forte variabilità legata ai cicli di produzione e fatturazione</w:t>
      </w:r>
      <w:r w:rsidR="006B1D10">
        <w:rPr>
          <w:rFonts w:ascii="Calibri" w:hAnsi="Calibri" w:cs="Calibri"/>
          <w:iCs/>
        </w:rPr>
        <w:t xml:space="preserve"> </w:t>
      </w:r>
      <w:r w:rsidRPr="00A86CB8">
        <w:rPr>
          <w:rFonts w:ascii="Calibri" w:hAnsi="Calibri" w:cs="Calibri"/>
          <w:iCs/>
        </w:rPr>
        <w:t>può determinare oscillazioni significative</w:t>
      </w:r>
      <w:r w:rsidR="0046087C">
        <w:rPr>
          <w:rFonts w:ascii="Calibri" w:hAnsi="Calibri" w:cs="Calibri"/>
          <w:iCs/>
        </w:rPr>
        <w:t xml:space="preserve"> nei valori annuali parziali.</w:t>
      </w:r>
    </w:p>
    <w:p w14:paraId="19496606" w14:textId="77777777" w:rsidR="002F426C" w:rsidRPr="00087BE7" w:rsidRDefault="002F426C" w:rsidP="0022419F">
      <w:pPr>
        <w:jc w:val="both"/>
        <w:rPr>
          <w:rFonts w:ascii="Calibri" w:hAnsi="Calibri"/>
          <w:b/>
          <w:szCs w:val="22"/>
        </w:rPr>
      </w:pPr>
      <w:r w:rsidRPr="00087BE7">
        <w:rPr>
          <w:rFonts w:ascii="Calibri" w:hAnsi="Calibri"/>
          <w:b/>
          <w:szCs w:val="22"/>
        </w:rPr>
        <w:t>I mercati di destinazione</w:t>
      </w:r>
    </w:p>
    <w:p w14:paraId="2FDBA69C" w14:textId="77777777" w:rsidR="00DF30BC" w:rsidRPr="006A4507" w:rsidRDefault="00DF30BC" w:rsidP="00FD2B87">
      <w:pPr>
        <w:jc w:val="both"/>
        <w:rPr>
          <w:rFonts w:ascii="Calibri" w:hAnsi="Calibri"/>
          <w:iCs/>
          <w:szCs w:val="20"/>
        </w:rPr>
      </w:pPr>
      <w:r w:rsidRPr="006A4507">
        <w:rPr>
          <w:rFonts w:ascii="Calibri" w:hAnsi="Calibri"/>
          <w:iCs/>
        </w:rPr>
        <w:t xml:space="preserve">Gli Stati Uniti, con un’incidenza del </w:t>
      </w:r>
      <w:r w:rsidR="00274C5D" w:rsidRPr="006A4507">
        <w:rPr>
          <w:rFonts w:ascii="Calibri" w:hAnsi="Calibri"/>
          <w:iCs/>
        </w:rPr>
        <w:t>16,1</w:t>
      </w:r>
      <w:r w:rsidRPr="006A4507">
        <w:rPr>
          <w:rFonts w:ascii="Calibri" w:hAnsi="Calibri"/>
          <w:iCs/>
        </w:rPr>
        <w:t>% sul totale, seguiti dall</w:t>
      </w:r>
      <w:r w:rsidR="009F745F" w:rsidRPr="006A4507">
        <w:rPr>
          <w:rFonts w:ascii="Calibri" w:hAnsi="Calibri"/>
          <w:iCs/>
        </w:rPr>
        <w:t xml:space="preserve">e Isole-Cayman </w:t>
      </w:r>
      <w:r w:rsidRPr="006A4507">
        <w:rPr>
          <w:rFonts w:ascii="Calibri" w:hAnsi="Calibri"/>
          <w:iCs/>
        </w:rPr>
        <w:t>con</w:t>
      </w:r>
      <w:r w:rsidR="00A57F23" w:rsidRPr="006A4507">
        <w:rPr>
          <w:rFonts w:ascii="Calibri" w:hAnsi="Calibri"/>
          <w:iCs/>
        </w:rPr>
        <w:t xml:space="preserve"> </w:t>
      </w:r>
      <w:r w:rsidR="009F745F" w:rsidRPr="006A4507">
        <w:rPr>
          <w:rFonts w:ascii="Calibri" w:hAnsi="Calibri"/>
          <w:iCs/>
        </w:rPr>
        <w:t>il 12,2</w:t>
      </w:r>
      <w:r w:rsidRPr="006A4507">
        <w:rPr>
          <w:rFonts w:ascii="Calibri" w:hAnsi="Calibri"/>
          <w:iCs/>
        </w:rPr>
        <w:t>% e dal</w:t>
      </w:r>
      <w:r w:rsidR="003C30E4" w:rsidRPr="006A4507">
        <w:rPr>
          <w:rFonts w:ascii="Calibri" w:hAnsi="Calibri"/>
          <w:iCs/>
        </w:rPr>
        <w:t>la</w:t>
      </w:r>
      <w:r w:rsidRPr="006A4507">
        <w:rPr>
          <w:rFonts w:ascii="Calibri" w:hAnsi="Calibri"/>
          <w:iCs/>
        </w:rPr>
        <w:t xml:space="preserve"> </w:t>
      </w:r>
      <w:r w:rsidR="009F745F" w:rsidRPr="006A4507">
        <w:rPr>
          <w:rFonts w:ascii="Calibri" w:hAnsi="Calibri"/>
          <w:iCs/>
        </w:rPr>
        <w:t>Corea del Sud</w:t>
      </w:r>
      <w:r w:rsidRPr="006A4507">
        <w:rPr>
          <w:rFonts w:ascii="Calibri" w:hAnsi="Calibri"/>
          <w:iCs/>
        </w:rPr>
        <w:t xml:space="preserve"> con </w:t>
      </w:r>
      <w:r w:rsidR="009F745F" w:rsidRPr="006A4507">
        <w:rPr>
          <w:rFonts w:ascii="Calibri" w:hAnsi="Calibri"/>
          <w:iCs/>
        </w:rPr>
        <w:t>il</w:t>
      </w:r>
      <w:r w:rsidR="006B1D10" w:rsidRPr="006A4507">
        <w:rPr>
          <w:rFonts w:ascii="Calibri" w:hAnsi="Calibri"/>
          <w:iCs/>
        </w:rPr>
        <w:t xml:space="preserve"> 9</w:t>
      </w:r>
      <w:r w:rsidR="009F745F" w:rsidRPr="006A4507">
        <w:rPr>
          <w:rFonts w:ascii="Calibri" w:hAnsi="Calibri"/>
          <w:iCs/>
        </w:rPr>
        <w:t>,4</w:t>
      </w:r>
      <w:r w:rsidR="00FD2B87" w:rsidRPr="006A4507">
        <w:rPr>
          <w:rFonts w:ascii="Calibri" w:hAnsi="Calibri"/>
          <w:iCs/>
        </w:rPr>
        <w:t>%</w:t>
      </w:r>
      <w:r w:rsidRPr="006A4507">
        <w:rPr>
          <w:rFonts w:ascii="Calibri" w:hAnsi="Calibri"/>
          <w:iCs/>
        </w:rPr>
        <w:t xml:space="preserve">, rappresentano i principali mercati di </w:t>
      </w:r>
      <w:r w:rsidR="00A57F23" w:rsidRPr="006A4507">
        <w:rPr>
          <w:rFonts w:ascii="Calibri" w:hAnsi="Calibri"/>
          <w:iCs/>
        </w:rPr>
        <w:t>sbocco</w:t>
      </w:r>
      <w:r w:rsidRPr="006A4507">
        <w:rPr>
          <w:rFonts w:ascii="Calibri" w:hAnsi="Calibri"/>
          <w:iCs/>
        </w:rPr>
        <w:t xml:space="preserve"> per le aziende apuane. </w:t>
      </w:r>
    </w:p>
    <w:p w14:paraId="18936B84" w14:textId="77777777" w:rsidR="00DF30BC" w:rsidRDefault="00DF30BC" w:rsidP="0022419F">
      <w:pPr>
        <w:spacing w:after="240"/>
        <w:jc w:val="both"/>
        <w:rPr>
          <w:rFonts w:ascii="Calibri" w:hAnsi="Calibri"/>
          <w:iCs/>
        </w:rPr>
      </w:pPr>
      <w:r w:rsidRPr="00087BE7">
        <w:rPr>
          <w:rFonts w:ascii="Calibri" w:hAnsi="Calibri"/>
          <w:iCs/>
        </w:rPr>
        <w:t xml:space="preserve">Le </w:t>
      </w:r>
      <w:r w:rsidR="00274C5D">
        <w:rPr>
          <w:rFonts w:ascii="Calibri" w:hAnsi="Calibri"/>
          <w:iCs/>
        </w:rPr>
        <w:t>rispettive</w:t>
      </w:r>
      <w:r w:rsidR="00274C5D" w:rsidRPr="00087BE7">
        <w:rPr>
          <w:rFonts w:ascii="Calibri" w:hAnsi="Calibri"/>
          <w:iCs/>
        </w:rPr>
        <w:t xml:space="preserve"> </w:t>
      </w:r>
      <w:r w:rsidR="00274C5D">
        <w:rPr>
          <w:rFonts w:ascii="Calibri" w:hAnsi="Calibri"/>
          <w:iCs/>
        </w:rPr>
        <w:t>dinamiche</w:t>
      </w:r>
      <w:r w:rsidRPr="00087BE7">
        <w:rPr>
          <w:rFonts w:ascii="Calibri" w:hAnsi="Calibri"/>
          <w:iCs/>
        </w:rPr>
        <w:t xml:space="preserve"> </w:t>
      </w:r>
      <w:r w:rsidR="00274C5D">
        <w:rPr>
          <w:rFonts w:ascii="Calibri" w:hAnsi="Calibri"/>
          <w:iCs/>
        </w:rPr>
        <w:t>sono</w:t>
      </w:r>
      <w:r w:rsidRPr="00087BE7">
        <w:rPr>
          <w:rFonts w:ascii="Calibri" w:hAnsi="Calibri"/>
          <w:iCs/>
        </w:rPr>
        <w:t xml:space="preserve"> </w:t>
      </w:r>
      <w:r w:rsidR="00C3734A" w:rsidRPr="00087BE7">
        <w:rPr>
          <w:rFonts w:ascii="Calibri" w:hAnsi="Calibri"/>
          <w:iCs/>
        </w:rPr>
        <w:t xml:space="preserve">risultate </w:t>
      </w:r>
      <w:r w:rsidRPr="00087BE7">
        <w:rPr>
          <w:rFonts w:ascii="Calibri" w:hAnsi="Calibri"/>
          <w:iCs/>
        </w:rPr>
        <w:t xml:space="preserve">però diverse, con gli </w:t>
      </w:r>
      <w:r w:rsidRPr="006A4507">
        <w:rPr>
          <w:rFonts w:ascii="Calibri" w:hAnsi="Calibri"/>
          <w:b/>
          <w:bCs/>
          <w:iCs/>
        </w:rPr>
        <w:t xml:space="preserve">Stati Uniti </w:t>
      </w:r>
      <w:r w:rsidR="009F745F" w:rsidRPr="00087BE7">
        <w:rPr>
          <w:rFonts w:ascii="Calibri" w:hAnsi="Calibri"/>
          <w:iCs/>
        </w:rPr>
        <w:t xml:space="preserve">scesi dagli </w:t>
      </w:r>
      <w:r w:rsidR="00FD2B87" w:rsidRPr="00087BE7">
        <w:rPr>
          <w:rFonts w:ascii="Calibri" w:hAnsi="Calibri"/>
          <w:iCs/>
        </w:rPr>
        <w:t>oltre 500</w:t>
      </w:r>
      <w:r w:rsidRPr="00087BE7">
        <w:rPr>
          <w:rFonts w:ascii="Calibri" w:hAnsi="Calibri"/>
          <w:iCs/>
        </w:rPr>
        <w:t xml:space="preserve"> milioni di euro</w:t>
      </w:r>
      <w:r w:rsidR="009F745F" w:rsidRPr="00087BE7">
        <w:rPr>
          <w:rFonts w:ascii="Calibri" w:hAnsi="Calibri"/>
          <w:iCs/>
        </w:rPr>
        <w:t xml:space="preserve"> del primo semestre 2024 ai 174 milioni del pari periodo 2025 </w:t>
      </w:r>
      <w:r w:rsidR="00274C5D">
        <w:rPr>
          <w:rFonts w:ascii="Calibri" w:hAnsi="Calibri"/>
          <w:iCs/>
        </w:rPr>
        <w:t xml:space="preserve">(-65,2%) </w:t>
      </w:r>
      <w:r w:rsidR="009F745F" w:rsidRPr="00087BE7">
        <w:rPr>
          <w:rFonts w:ascii="Calibri" w:hAnsi="Calibri"/>
          <w:iCs/>
        </w:rPr>
        <w:t xml:space="preserve">per </w:t>
      </w:r>
      <w:r w:rsidR="002D5FFC">
        <w:rPr>
          <w:rFonts w:ascii="Calibri" w:hAnsi="Calibri"/>
          <w:iCs/>
        </w:rPr>
        <w:t>un</w:t>
      </w:r>
      <w:r w:rsidR="009F745F" w:rsidRPr="00087BE7">
        <w:rPr>
          <w:rFonts w:ascii="Calibri" w:hAnsi="Calibri"/>
          <w:iCs/>
        </w:rPr>
        <w:t xml:space="preserve">a consistente flessione </w:t>
      </w:r>
      <w:r w:rsidR="00274C5D">
        <w:rPr>
          <w:rFonts w:ascii="Calibri" w:hAnsi="Calibri"/>
          <w:iCs/>
        </w:rPr>
        <w:t>della meccanica</w:t>
      </w:r>
      <w:r w:rsidR="002D5FFC">
        <w:rPr>
          <w:rFonts w:ascii="Calibri" w:hAnsi="Calibri"/>
          <w:iCs/>
        </w:rPr>
        <w:t xml:space="preserve"> legata al completamento di grandi commesse del settore</w:t>
      </w:r>
      <w:r w:rsidR="00274C5D">
        <w:rPr>
          <w:rFonts w:ascii="Calibri" w:hAnsi="Calibri"/>
          <w:iCs/>
        </w:rPr>
        <w:t xml:space="preserve">, mentre </w:t>
      </w:r>
      <w:r w:rsidR="009F745F" w:rsidRPr="00087BE7">
        <w:rPr>
          <w:rFonts w:ascii="Calibri" w:hAnsi="Calibri"/>
          <w:iCs/>
        </w:rPr>
        <w:t xml:space="preserve">le </w:t>
      </w:r>
      <w:r w:rsidR="009F745F" w:rsidRPr="006A4507">
        <w:rPr>
          <w:rFonts w:ascii="Calibri" w:hAnsi="Calibri"/>
          <w:b/>
          <w:bCs/>
          <w:iCs/>
        </w:rPr>
        <w:t>Isole-Cayman</w:t>
      </w:r>
      <w:r w:rsidR="00274C5D">
        <w:rPr>
          <w:rFonts w:ascii="Calibri" w:hAnsi="Calibri"/>
          <w:iCs/>
        </w:rPr>
        <w:t xml:space="preserve"> sono</w:t>
      </w:r>
      <w:r w:rsidR="009F745F" w:rsidRPr="00087BE7">
        <w:rPr>
          <w:rFonts w:ascii="Calibri" w:hAnsi="Calibri"/>
          <w:iCs/>
        </w:rPr>
        <w:t xml:space="preserve"> balzate al secondo posto </w:t>
      </w:r>
      <w:r w:rsidR="00274C5D">
        <w:rPr>
          <w:rFonts w:ascii="Calibri" w:hAnsi="Calibri"/>
          <w:iCs/>
        </w:rPr>
        <w:t xml:space="preserve">con </w:t>
      </w:r>
      <w:r w:rsidR="009F745F" w:rsidRPr="00087BE7">
        <w:rPr>
          <w:rFonts w:ascii="Calibri" w:hAnsi="Calibri"/>
          <w:iCs/>
        </w:rPr>
        <w:t xml:space="preserve">quasi 132 milioni di </w:t>
      </w:r>
      <w:r w:rsidR="00087BE7" w:rsidRPr="00087BE7">
        <w:rPr>
          <w:rFonts w:ascii="Calibri" w:hAnsi="Calibri"/>
          <w:iCs/>
        </w:rPr>
        <w:t>e</w:t>
      </w:r>
      <w:r w:rsidR="009F745F" w:rsidRPr="00087BE7">
        <w:rPr>
          <w:rFonts w:ascii="Calibri" w:hAnsi="Calibri"/>
          <w:iCs/>
        </w:rPr>
        <w:t>uro</w:t>
      </w:r>
      <w:r w:rsidR="00274C5D">
        <w:rPr>
          <w:rFonts w:ascii="Calibri" w:hAnsi="Calibri"/>
          <w:iCs/>
        </w:rPr>
        <w:t xml:space="preserve"> grazie alle vendite di natanti</w:t>
      </w:r>
      <w:r w:rsidR="009F745F" w:rsidRPr="00087BE7">
        <w:rPr>
          <w:rFonts w:ascii="Calibri" w:hAnsi="Calibri"/>
          <w:iCs/>
        </w:rPr>
        <w:t>.</w:t>
      </w:r>
      <w:r w:rsidR="00274C5D">
        <w:rPr>
          <w:rFonts w:ascii="Calibri" w:hAnsi="Calibri"/>
          <w:iCs/>
        </w:rPr>
        <w:t xml:space="preserve"> Seguono, grazie ai forti incrementi degli acquisti di meccanica dalla provincia apuana, la</w:t>
      </w:r>
      <w:r w:rsidR="00087BE7" w:rsidRPr="00087BE7">
        <w:rPr>
          <w:rFonts w:ascii="Calibri" w:hAnsi="Calibri"/>
          <w:iCs/>
        </w:rPr>
        <w:t xml:space="preserve"> </w:t>
      </w:r>
      <w:r w:rsidR="00087BE7" w:rsidRPr="006A4507">
        <w:rPr>
          <w:rFonts w:ascii="Calibri" w:hAnsi="Calibri"/>
          <w:b/>
          <w:bCs/>
          <w:iCs/>
        </w:rPr>
        <w:t>Corea del Sud</w:t>
      </w:r>
      <w:r w:rsidR="00274C5D">
        <w:rPr>
          <w:rFonts w:ascii="Calibri" w:hAnsi="Calibri"/>
          <w:iCs/>
        </w:rPr>
        <w:t xml:space="preserve"> (101 milioni), gli </w:t>
      </w:r>
      <w:r w:rsidR="00087BE7" w:rsidRPr="006A4507">
        <w:rPr>
          <w:rFonts w:ascii="Calibri" w:hAnsi="Calibri"/>
          <w:b/>
          <w:bCs/>
          <w:iCs/>
        </w:rPr>
        <w:t>Emirati Arabi</w:t>
      </w:r>
      <w:r w:rsidR="00274C5D" w:rsidRPr="006A4507">
        <w:rPr>
          <w:rFonts w:ascii="Calibri" w:hAnsi="Calibri"/>
          <w:b/>
          <w:bCs/>
          <w:iCs/>
        </w:rPr>
        <w:t xml:space="preserve"> Uniti</w:t>
      </w:r>
      <w:r w:rsidR="00274C5D">
        <w:rPr>
          <w:rFonts w:ascii="Calibri" w:hAnsi="Calibri"/>
          <w:iCs/>
        </w:rPr>
        <w:t xml:space="preserve"> (65 milioni)</w:t>
      </w:r>
      <w:r w:rsidR="002D5FFC">
        <w:rPr>
          <w:rFonts w:ascii="Calibri" w:hAnsi="Calibri"/>
          <w:iCs/>
        </w:rPr>
        <w:t xml:space="preserve">, la </w:t>
      </w:r>
      <w:r w:rsidR="002D5FFC" w:rsidRPr="006A4507">
        <w:rPr>
          <w:rFonts w:ascii="Calibri" w:hAnsi="Calibri"/>
          <w:b/>
          <w:bCs/>
          <w:iCs/>
        </w:rPr>
        <w:t>Cina</w:t>
      </w:r>
      <w:r w:rsidR="002D5FFC">
        <w:rPr>
          <w:rFonts w:ascii="Calibri" w:hAnsi="Calibri"/>
          <w:iCs/>
        </w:rPr>
        <w:t xml:space="preserve"> (60 milioni)</w:t>
      </w:r>
      <w:r w:rsidR="00274C5D">
        <w:rPr>
          <w:rFonts w:ascii="Calibri" w:hAnsi="Calibri"/>
          <w:iCs/>
        </w:rPr>
        <w:t xml:space="preserve"> e il </w:t>
      </w:r>
      <w:r w:rsidR="00274C5D" w:rsidRPr="006A4507">
        <w:rPr>
          <w:rFonts w:ascii="Calibri" w:hAnsi="Calibri"/>
          <w:b/>
          <w:bCs/>
          <w:iCs/>
        </w:rPr>
        <w:t>Qatar</w:t>
      </w:r>
      <w:r w:rsidR="00274C5D">
        <w:rPr>
          <w:rFonts w:ascii="Calibri" w:hAnsi="Calibri"/>
          <w:iCs/>
        </w:rPr>
        <w:t xml:space="preserve"> (49 milioni). </w:t>
      </w:r>
      <w:r w:rsidR="002D5FFC">
        <w:rPr>
          <w:rFonts w:ascii="Calibri" w:hAnsi="Calibri"/>
          <w:iCs/>
        </w:rPr>
        <w:t xml:space="preserve">Anche le vendite in </w:t>
      </w:r>
      <w:r w:rsidRPr="00087BE7">
        <w:rPr>
          <w:rFonts w:ascii="Calibri" w:hAnsi="Calibri"/>
          <w:iCs/>
        </w:rPr>
        <w:t>Cina</w:t>
      </w:r>
      <w:r w:rsidR="002D5FFC">
        <w:rPr>
          <w:rFonts w:ascii="Calibri" w:hAnsi="Calibri"/>
          <w:iCs/>
        </w:rPr>
        <w:t xml:space="preserve"> hanno segnato una forte flessione (</w:t>
      </w:r>
      <w:r w:rsidR="00087BE7" w:rsidRPr="00087BE7">
        <w:rPr>
          <w:rFonts w:ascii="Calibri" w:hAnsi="Calibri"/>
          <w:iCs/>
        </w:rPr>
        <w:t>-41,3%)</w:t>
      </w:r>
      <w:r w:rsidR="00274C5D">
        <w:rPr>
          <w:rFonts w:ascii="Calibri" w:hAnsi="Calibri"/>
          <w:iCs/>
        </w:rPr>
        <w:t xml:space="preserve"> </w:t>
      </w:r>
      <w:r w:rsidR="002D5FFC">
        <w:rPr>
          <w:rFonts w:ascii="Calibri" w:hAnsi="Calibri"/>
          <w:iCs/>
        </w:rPr>
        <w:t xml:space="preserve">legata alle dinamiche del comparto </w:t>
      </w:r>
      <w:r w:rsidR="00274C5D">
        <w:rPr>
          <w:rFonts w:ascii="Calibri" w:hAnsi="Calibri"/>
          <w:iCs/>
        </w:rPr>
        <w:t>meccanic</w:t>
      </w:r>
      <w:r w:rsidR="002D5FFC">
        <w:rPr>
          <w:rFonts w:ascii="Calibri" w:hAnsi="Calibri"/>
          <w:iCs/>
        </w:rPr>
        <w:t>o</w:t>
      </w:r>
      <w:r w:rsidR="00274C5D">
        <w:rPr>
          <w:rFonts w:ascii="Calibri" w:hAnsi="Calibri"/>
          <w:iCs/>
        </w:rPr>
        <w:t>.</w:t>
      </w:r>
    </w:p>
    <w:tbl>
      <w:tblPr>
        <w:tblW w:w="8679" w:type="dxa"/>
        <w:tblInd w:w="70" w:type="dxa"/>
        <w:tblCellMar>
          <w:left w:w="70" w:type="dxa"/>
          <w:right w:w="70" w:type="dxa"/>
        </w:tblCellMar>
        <w:tblLook w:val="04A0" w:firstRow="1" w:lastRow="0" w:firstColumn="1" w:lastColumn="0" w:noHBand="0" w:noVBand="1"/>
      </w:tblPr>
      <w:tblGrid>
        <w:gridCol w:w="2057"/>
        <w:gridCol w:w="1375"/>
        <w:gridCol w:w="1375"/>
        <w:gridCol w:w="1219"/>
        <w:gridCol w:w="1030"/>
        <w:gridCol w:w="7"/>
        <w:gridCol w:w="1464"/>
        <w:gridCol w:w="152"/>
      </w:tblGrid>
      <w:tr w:rsidR="002B5E47" w14:paraId="41BE5F0B" w14:textId="77777777" w:rsidTr="008D3100">
        <w:trPr>
          <w:gridAfter w:val="1"/>
          <w:wAfter w:w="152" w:type="dxa"/>
          <w:trHeight w:val="283"/>
        </w:trPr>
        <w:tc>
          <w:tcPr>
            <w:tcW w:w="8527" w:type="dxa"/>
            <w:gridSpan w:val="7"/>
            <w:tcBorders>
              <w:top w:val="nil"/>
              <w:left w:val="nil"/>
              <w:bottom w:val="nil"/>
              <w:right w:val="nil"/>
            </w:tcBorders>
            <w:noWrap/>
            <w:vAlign w:val="center"/>
            <w:hideMark/>
          </w:tcPr>
          <w:p w14:paraId="6A906D4F" w14:textId="492BE273" w:rsidR="002B5E47" w:rsidRDefault="004C235D" w:rsidP="00A35AEF">
            <w:pPr>
              <w:rPr>
                <w:rFonts w:ascii="Calibri" w:hAnsi="Calibri" w:cs="Calibri"/>
                <w:b/>
                <w:bCs/>
                <w:color w:val="000000"/>
                <w:sz w:val="20"/>
                <w:szCs w:val="20"/>
              </w:rPr>
            </w:pPr>
            <w:r w:rsidRPr="004C235D">
              <w:rPr>
                <w:rFonts w:ascii="Calibri" w:hAnsi="Calibri" w:cs="Calibri"/>
                <w:b/>
                <w:bCs/>
                <w:color w:val="000000"/>
                <w:sz w:val="20"/>
                <w:szCs w:val="20"/>
              </w:rPr>
              <w:t xml:space="preserve">I principali paesi di destinazione delle esportazioni </w:t>
            </w:r>
            <w:r w:rsidR="002B5E47">
              <w:rPr>
                <w:rFonts w:ascii="Calibri" w:hAnsi="Calibri" w:cs="Calibri"/>
                <w:b/>
                <w:bCs/>
                <w:color w:val="000000"/>
                <w:sz w:val="20"/>
                <w:szCs w:val="20"/>
              </w:rPr>
              <w:t>della provincia di Massa-Carrara - I semestre 2025</w:t>
            </w:r>
          </w:p>
        </w:tc>
      </w:tr>
      <w:tr w:rsidR="002B5E47" w14:paraId="30D65144" w14:textId="77777777" w:rsidTr="008D3100">
        <w:trPr>
          <w:gridAfter w:val="1"/>
          <w:wAfter w:w="152" w:type="dxa"/>
          <w:trHeight w:val="283"/>
        </w:trPr>
        <w:tc>
          <w:tcPr>
            <w:tcW w:w="6026" w:type="dxa"/>
            <w:gridSpan w:val="4"/>
            <w:tcBorders>
              <w:top w:val="nil"/>
              <w:left w:val="nil"/>
              <w:bottom w:val="nil"/>
              <w:right w:val="nil"/>
            </w:tcBorders>
            <w:noWrap/>
            <w:vAlign w:val="center"/>
            <w:hideMark/>
          </w:tcPr>
          <w:p w14:paraId="3F50FFB0" w14:textId="77777777" w:rsidR="002B5E47" w:rsidRDefault="002B5E47" w:rsidP="00A35AEF">
            <w:pPr>
              <w:rPr>
                <w:rFonts w:ascii="Calibri" w:hAnsi="Calibri" w:cs="Calibri"/>
                <w:i/>
                <w:iCs/>
                <w:color w:val="000000"/>
                <w:sz w:val="20"/>
                <w:szCs w:val="20"/>
              </w:rPr>
            </w:pPr>
            <w:r>
              <w:rPr>
                <w:rFonts w:ascii="Calibri" w:hAnsi="Calibri" w:cs="Calibri"/>
                <w:i/>
                <w:iCs/>
                <w:color w:val="000000"/>
                <w:sz w:val="20"/>
                <w:szCs w:val="20"/>
              </w:rPr>
              <w:t>Valori assoluti in euro, var. % e contributi % alla crescita </w:t>
            </w:r>
          </w:p>
        </w:tc>
        <w:tc>
          <w:tcPr>
            <w:tcW w:w="1037" w:type="dxa"/>
            <w:gridSpan w:val="2"/>
            <w:tcBorders>
              <w:top w:val="nil"/>
              <w:left w:val="nil"/>
              <w:bottom w:val="nil"/>
              <w:right w:val="nil"/>
            </w:tcBorders>
            <w:noWrap/>
            <w:vAlign w:val="center"/>
            <w:hideMark/>
          </w:tcPr>
          <w:p w14:paraId="216DE2D9" w14:textId="77777777" w:rsidR="002B5E47" w:rsidRDefault="002B5E47" w:rsidP="00A35AEF">
            <w:pPr>
              <w:rPr>
                <w:rFonts w:ascii="Calibri" w:hAnsi="Calibri" w:cs="Calibri"/>
                <w:i/>
                <w:iCs/>
                <w:color w:val="000000"/>
                <w:sz w:val="20"/>
                <w:szCs w:val="20"/>
              </w:rPr>
            </w:pPr>
          </w:p>
        </w:tc>
        <w:tc>
          <w:tcPr>
            <w:tcW w:w="1464" w:type="dxa"/>
            <w:tcBorders>
              <w:top w:val="nil"/>
              <w:left w:val="nil"/>
              <w:bottom w:val="nil"/>
              <w:right w:val="nil"/>
            </w:tcBorders>
            <w:noWrap/>
            <w:vAlign w:val="center"/>
            <w:hideMark/>
          </w:tcPr>
          <w:p w14:paraId="0FA4657E" w14:textId="77777777" w:rsidR="002B5E47" w:rsidRDefault="002B5E47" w:rsidP="00A35AEF">
            <w:pPr>
              <w:rPr>
                <w:sz w:val="20"/>
                <w:szCs w:val="20"/>
              </w:rPr>
            </w:pPr>
          </w:p>
        </w:tc>
      </w:tr>
      <w:tr w:rsidR="002B5E47" w14:paraId="3603FB05" w14:textId="77777777" w:rsidTr="008D3100">
        <w:trPr>
          <w:gridAfter w:val="1"/>
          <w:wAfter w:w="152" w:type="dxa"/>
          <w:trHeight w:val="283"/>
        </w:trPr>
        <w:tc>
          <w:tcPr>
            <w:tcW w:w="2057" w:type="dxa"/>
            <w:vMerge w:val="restart"/>
            <w:tcBorders>
              <w:top w:val="single" w:sz="4" w:space="0" w:color="auto"/>
              <w:left w:val="nil"/>
              <w:bottom w:val="single" w:sz="4" w:space="0" w:color="000000"/>
              <w:right w:val="nil"/>
            </w:tcBorders>
            <w:noWrap/>
            <w:vAlign w:val="center"/>
            <w:hideMark/>
          </w:tcPr>
          <w:p w14:paraId="28F863EA" w14:textId="77777777" w:rsidR="002B5E47" w:rsidRDefault="002B5E47" w:rsidP="00A35AEF">
            <w:pPr>
              <w:rPr>
                <w:rFonts w:ascii="Calibri" w:hAnsi="Calibri" w:cs="Calibri"/>
                <w:b/>
                <w:bCs/>
                <w:color w:val="000000"/>
                <w:sz w:val="20"/>
                <w:szCs w:val="20"/>
              </w:rPr>
            </w:pPr>
            <w:r>
              <w:rPr>
                <w:rFonts w:ascii="Calibri" w:hAnsi="Calibri" w:cs="Calibri"/>
                <w:b/>
                <w:bCs/>
                <w:color w:val="000000"/>
                <w:sz w:val="20"/>
                <w:szCs w:val="20"/>
              </w:rPr>
              <w:t>Paesi</w:t>
            </w:r>
          </w:p>
        </w:tc>
        <w:tc>
          <w:tcPr>
            <w:tcW w:w="2750" w:type="dxa"/>
            <w:gridSpan w:val="2"/>
            <w:tcBorders>
              <w:top w:val="single" w:sz="4" w:space="0" w:color="auto"/>
              <w:left w:val="nil"/>
              <w:bottom w:val="single" w:sz="4" w:space="0" w:color="auto"/>
              <w:right w:val="nil"/>
            </w:tcBorders>
            <w:noWrap/>
            <w:vAlign w:val="center"/>
            <w:hideMark/>
          </w:tcPr>
          <w:p w14:paraId="5C1DC30D" w14:textId="77777777" w:rsidR="002B5E47" w:rsidRDefault="002B5E47" w:rsidP="00A35AEF">
            <w:pPr>
              <w:jc w:val="center"/>
              <w:rPr>
                <w:rFonts w:ascii="Calibri" w:hAnsi="Calibri" w:cs="Calibri"/>
                <w:b/>
                <w:bCs/>
                <w:color w:val="000000"/>
                <w:sz w:val="20"/>
                <w:szCs w:val="20"/>
              </w:rPr>
            </w:pPr>
            <w:r>
              <w:rPr>
                <w:rFonts w:ascii="Calibri" w:hAnsi="Calibri" w:cs="Calibri"/>
                <w:b/>
                <w:bCs/>
                <w:color w:val="000000"/>
                <w:sz w:val="20"/>
                <w:szCs w:val="20"/>
              </w:rPr>
              <w:t>Valori assoluti in euro</w:t>
            </w:r>
          </w:p>
        </w:tc>
        <w:tc>
          <w:tcPr>
            <w:tcW w:w="1219" w:type="dxa"/>
            <w:vMerge w:val="restart"/>
            <w:tcBorders>
              <w:top w:val="single" w:sz="4" w:space="0" w:color="auto"/>
              <w:left w:val="nil"/>
              <w:bottom w:val="single" w:sz="4" w:space="0" w:color="000000"/>
              <w:right w:val="nil"/>
            </w:tcBorders>
            <w:noWrap/>
            <w:vAlign w:val="center"/>
            <w:hideMark/>
          </w:tcPr>
          <w:p w14:paraId="7CD0A8A7" w14:textId="77777777" w:rsidR="002B5E47" w:rsidRDefault="002B5E47" w:rsidP="00A35AEF">
            <w:pPr>
              <w:jc w:val="center"/>
              <w:rPr>
                <w:rFonts w:ascii="Calibri" w:hAnsi="Calibri" w:cs="Calibri"/>
                <w:b/>
                <w:bCs/>
                <w:color w:val="000000"/>
                <w:sz w:val="20"/>
                <w:szCs w:val="20"/>
              </w:rPr>
            </w:pPr>
            <w:r>
              <w:rPr>
                <w:rFonts w:ascii="Calibri" w:hAnsi="Calibri" w:cs="Calibri"/>
                <w:b/>
                <w:bCs/>
                <w:color w:val="000000"/>
                <w:sz w:val="20"/>
                <w:szCs w:val="20"/>
              </w:rPr>
              <w:t>Quota %</w:t>
            </w:r>
          </w:p>
        </w:tc>
        <w:tc>
          <w:tcPr>
            <w:tcW w:w="1030" w:type="dxa"/>
            <w:vMerge w:val="restart"/>
            <w:tcBorders>
              <w:top w:val="single" w:sz="4" w:space="0" w:color="auto"/>
              <w:left w:val="nil"/>
              <w:bottom w:val="single" w:sz="4" w:space="0" w:color="000000"/>
              <w:right w:val="nil"/>
            </w:tcBorders>
            <w:noWrap/>
            <w:vAlign w:val="center"/>
            <w:hideMark/>
          </w:tcPr>
          <w:p w14:paraId="6BE31430" w14:textId="77777777" w:rsidR="002B5E47" w:rsidRDefault="002B5E47" w:rsidP="00A35AEF">
            <w:pPr>
              <w:jc w:val="center"/>
              <w:rPr>
                <w:rFonts w:ascii="Calibri" w:hAnsi="Calibri" w:cs="Calibri"/>
                <w:b/>
                <w:bCs/>
                <w:color w:val="000000"/>
                <w:sz w:val="20"/>
                <w:szCs w:val="20"/>
              </w:rPr>
            </w:pPr>
            <w:r>
              <w:rPr>
                <w:rFonts w:ascii="Calibri" w:hAnsi="Calibri" w:cs="Calibri"/>
                <w:b/>
                <w:bCs/>
                <w:color w:val="000000"/>
                <w:sz w:val="20"/>
                <w:szCs w:val="20"/>
              </w:rPr>
              <w:t>Var. %</w:t>
            </w:r>
          </w:p>
        </w:tc>
        <w:tc>
          <w:tcPr>
            <w:tcW w:w="1471" w:type="dxa"/>
            <w:gridSpan w:val="2"/>
            <w:vMerge w:val="restart"/>
            <w:tcBorders>
              <w:top w:val="single" w:sz="4" w:space="0" w:color="auto"/>
              <w:left w:val="nil"/>
              <w:bottom w:val="single" w:sz="4" w:space="0" w:color="000000"/>
              <w:right w:val="nil"/>
            </w:tcBorders>
            <w:vAlign w:val="center"/>
            <w:hideMark/>
          </w:tcPr>
          <w:p w14:paraId="018A69A8" w14:textId="77777777" w:rsidR="002B5E47" w:rsidRDefault="002B5E47" w:rsidP="00A35AEF">
            <w:pPr>
              <w:jc w:val="center"/>
              <w:rPr>
                <w:rFonts w:ascii="Calibri" w:hAnsi="Calibri" w:cs="Calibri"/>
                <w:b/>
                <w:bCs/>
                <w:color w:val="000000"/>
                <w:sz w:val="20"/>
                <w:szCs w:val="20"/>
              </w:rPr>
            </w:pPr>
            <w:r>
              <w:rPr>
                <w:rFonts w:ascii="Calibri" w:hAnsi="Calibri" w:cs="Calibri"/>
                <w:b/>
                <w:bCs/>
                <w:color w:val="000000"/>
                <w:sz w:val="20"/>
                <w:szCs w:val="20"/>
              </w:rPr>
              <w:t>Contributo %</w:t>
            </w:r>
          </w:p>
        </w:tc>
      </w:tr>
      <w:tr w:rsidR="002B5E47" w14:paraId="51832AAC" w14:textId="77777777" w:rsidTr="008D3100">
        <w:trPr>
          <w:gridAfter w:val="1"/>
          <w:wAfter w:w="152" w:type="dxa"/>
          <w:trHeight w:val="283"/>
        </w:trPr>
        <w:tc>
          <w:tcPr>
            <w:tcW w:w="2057" w:type="dxa"/>
            <w:vMerge/>
            <w:tcBorders>
              <w:top w:val="single" w:sz="4" w:space="0" w:color="auto"/>
              <w:left w:val="nil"/>
              <w:bottom w:val="single" w:sz="4" w:space="0" w:color="000000"/>
              <w:right w:val="nil"/>
            </w:tcBorders>
            <w:vAlign w:val="center"/>
            <w:hideMark/>
          </w:tcPr>
          <w:p w14:paraId="51C1B001" w14:textId="77777777" w:rsidR="002B5E47" w:rsidRDefault="002B5E47" w:rsidP="00A35AEF">
            <w:pPr>
              <w:rPr>
                <w:rFonts w:ascii="Calibri" w:hAnsi="Calibri" w:cs="Calibri"/>
                <w:b/>
                <w:bCs/>
                <w:color w:val="000000"/>
                <w:sz w:val="20"/>
                <w:szCs w:val="20"/>
              </w:rPr>
            </w:pPr>
          </w:p>
        </w:tc>
        <w:tc>
          <w:tcPr>
            <w:tcW w:w="1375" w:type="dxa"/>
            <w:tcBorders>
              <w:top w:val="nil"/>
              <w:left w:val="nil"/>
              <w:bottom w:val="single" w:sz="4" w:space="0" w:color="auto"/>
              <w:right w:val="nil"/>
            </w:tcBorders>
            <w:noWrap/>
            <w:vAlign w:val="center"/>
            <w:hideMark/>
          </w:tcPr>
          <w:p w14:paraId="0E89FCB8" w14:textId="77777777" w:rsidR="002B5E47" w:rsidRDefault="002B5E47" w:rsidP="00234F3A">
            <w:pPr>
              <w:jc w:val="center"/>
              <w:rPr>
                <w:rFonts w:ascii="Calibri" w:hAnsi="Calibri" w:cs="Calibri"/>
                <w:b/>
                <w:bCs/>
                <w:color w:val="000000"/>
                <w:sz w:val="20"/>
                <w:szCs w:val="20"/>
              </w:rPr>
            </w:pPr>
            <w:r>
              <w:rPr>
                <w:rFonts w:ascii="Calibri" w:hAnsi="Calibri" w:cs="Calibri"/>
                <w:b/>
                <w:bCs/>
                <w:color w:val="000000"/>
                <w:sz w:val="20"/>
                <w:szCs w:val="20"/>
              </w:rPr>
              <w:t xml:space="preserve">I </w:t>
            </w:r>
            <w:proofErr w:type="spellStart"/>
            <w:r>
              <w:rPr>
                <w:rFonts w:ascii="Calibri" w:hAnsi="Calibri" w:cs="Calibri"/>
                <w:b/>
                <w:bCs/>
                <w:color w:val="000000"/>
                <w:sz w:val="20"/>
                <w:szCs w:val="20"/>
              </w:rPr>
              <w:t>sem</w:t>
            </w:r>
            <w:proofErr w:type="spellEnd"/>
            <w:r>
              <w:rPr>
                <w:rFonts w:ascii="Calibri" w:hAnsi="Calibri" w:cs="Calibri"/>
                <w:b/>
                <w:bCs/>
                <w:color w:val="000000"/>
                <w:sz w:val="20"/>
                <w:szCs w:val="20"/>
              </w:rPr>
              <w:t xml:space="preserve"> 2024</w:t>
            </w:r>
          </w:p>
        </w:tc>
        <w:tc>
          <w:tcPr>
            <w:tcW w:w="1375" w:type="dxa"/>
            <w:tcBorders>
              <w:top w:val="nil"/>
              <w:left w:val="nil"/>
              <w:bottom w:val="single" w:sz="4" w:space="0" w:color="auto"/>
              <w:right w:val="nil"/>
            </w:tcBorders>
            <w:noWrap/>
            <w:vAlign w:val="center"/>
            <w:hideMark/>
          </w:tcPr>
          <w:p w14:paraId="5EB0D6F7" w14:textId="77777777" w:rsidR="002B5E47" w:rsidRDefault="002B5E47" w:rsidP="00234F3A">
            <w:pPr>
              <w:jc w:val="center"/>
              <w:rPr>
                <w:rFonts w:ascii="Calibri" w:hAnsi="Calibri" w:cs="Calibri"/>
                <w:b/>
                <w:bCs/>
                <w:color w:val="000000"/>
                <w:sz w:val="20"/>
                <w:szCs w:val="20"/>
              </w:rPr>
            </w:pPr>
            <w:r>
              <w:rPr>
                <w:rFonts w:ascii="Calibri" w:hAnsi="Calibri" w:cs="Calibri"/>
                <w:b/>
                <w:bCs/>
                <w:color w:val="000000"/>
                <w:sz w:val="20"/>
                <w:szCs w:val="20"/>
              </w:rPr>
              <w:t xml:space="preserve">I </w:t>
            </w:r>
            <w:proofErr w:type="spellStart"/>
            <w:r>
              <w:rPr>
                <w:rFonts w:ascii="Calibri" w:hAnsi="Calibri" w:cs="Calibri"/>
                <w:b/>
                <w:bCs/>
                <w:color w:val="000000"/>
                <w:sz w:val="20"/>
                <w:szCs w:val="20"/>
              </w:rPr>
              <w:t>sem</w:t>
            </w:r>
            <w:proofErr w:type="spellEnd"/>
            <w:r>
              <w:rPr>
                <w:rFonts w:ascii="Calibri" w:hAnsi="Calibri" w:cs="Calibri"/>
                <w:b/>
                <w:bCs/>
                <w:color w:val="000000"/>
                <w:sz w:val="20"/>
                <w:szCs w:val="20"/>
              </w:rPr>
              <w:t xml:space="preserve"> 2025</w:t>
            </w:r>
          </w:p>
        </w:tc>
        <w:tc>
          <w:tcPr>
            <w:tcW w:w="1219" w:type="dxa"/>
            <w:vMerge/>
            <w:tcBorders>
              <w:top w:val="single" w:sz="4" w:space="0" w:color="auto"/>
              <w:left w:val="nil"/>
              <w:bottom w:val="single" w:sz="4" w:space="0" w:color="000000"/>
              <w:right w:val="nil"/>
            </w:tcBorders>
            <w:vAlign w:val="center"/>
            <w:hideMark/>
          </w:tcPr>
          <w:p w14:paraId="41339D71" w14:textId="77777777" w:rsidR="002B5E47" w:rsidRDefault="002B5E47" w:rsidP="00A35AEF">
            <w:pPr>
              <w:jc w:val="center"/>
              <w:rPr>
                <w:rFonts w:ascii="Calibri" w:hAnsi="Calibri" w:cs="Calibri"/>
                <w:b/>
                <w:bCs/>
                <w:color w:val="000000"/>
                <w:sz w:val="20"/>
                <w:szCs w:val="20"/>
              </w:rPr>
            </w:pPr>
          </w:p>
        </w:tc>
        <w:tc>
          <w:tcPr>
            <w:tcW w:w="1030" w:type="dxa"/>
            <w:vMerge/>
            <w:tcBorders>
              <w:top w:val="single" w:sz="4" w:space="0" w:color="auto"/>
              <w:left w:val="nil"/>
              <w:bottom w:val="single" w:sz="4" w:space="0" w:color="000000"/>
              <w:right w:val="nil"/>
            </w:tcBorders>
            <w:vAlign w:val="center"/>
            <w:hideMark/>
          </w:tcPr>
          <w:p w14:paraId="742BDE7A" w14:textId="77777777" w:rsidR="002B5E47" w:rsidRDefault="002B5E47" w:rsidP="00A35AEF">
            <w:pPr>
              <w:jc w:val="center"/>
              <w:rPr>
                <w:rFonts w:ascii="Calibri" w:hAnsi="Calibri" w:cs="Calibri"/>
                <w:b/>
                <w:bCs/>
                <w:color w:val="000000"/>
                <w:sz w:val="20"/>
                <w:szCs w:val="20"/>
              </w:rPr>
            </w:pPr>
          </w:p>
        </w:tc>
        <w:tc>
          <w:tcPr>
            <w:tcW w:w="1471" w:type="dxa"/>
            <w:gridSpan w:val="2"/>
            <w:vMerge/>
            <w:tcBorders>
              <w:top w:val="single" w:sz="4" w:space="0" w:color="auto"/>
              <w:left w:val="nil"/>
              <w:bottom w:val="single" w:sz="4" w:space="0" w:color="000000"/>
              <w:right w:val="nil"/>
            </w:tcBorders>
            <w:vAlign w:val="center"/>
            <w:hideMark/>
          </w:tcPr>
          <w:p w14:paraId="5202D3C6" w14:textId="77777777" w:rsidR="002B5E47" w:rsidRDefault="002B5E47" w:rsidP="00A35AEF">
            <w:pPr>
              <w:jc w:val="center"/>
              <w:rPr>
                <w:rFonts w:ascii="Calibri" w:hAnsi="Calibri" w:cs="Calibri"/>
                <w:b/>
                <w:bCs/>
                <w:color w:val="000000"/>
                <w:sz w:val="20"/>
                <w:szCs w:val="20"/>
              </w:rPr>
            </w:pPr>
          </w:p>
        </w:tc>
      </w:tr>
      <w:tr w:rsidR="002B5E47" w14:paraId="3E4CBAB8" w14:textId="77777777" w:rsidTr="008D3100">
        <w:trPr>
          <w:gridAfter w:val="1"/>
          <w:wAfter w:w="152" w:type="dxa"/>
          <w:trHeight w:val="283"/>
        </w:trPr>
        <w:tc>
          <w:tcPr>
            <w:tcW w:w="2057" w:type="dxa"/>
            <w:tcBorders>
              <w:top w:val="nil"/>
              <w:left w:val="nil"/>
              <w:bottom w:val="nil"/>
              <w:right w:val="nil"/>
            </w:tcBorders>
            <w:noWrap/>
            <w:vAlign w:val="center"/>
            <w:hideMark/>
          </w:tcPr>
          <w:p w14:paraId="3008D6DC" w14:textId="77777777" w:rsidR="002B5E47" w:rsidRDefault="002B5E47" w:rsidP="00A35AEF">
            <w:pPr>
              <w:rPr>
                <w:rFonts w:ascii="Calibri" w:hAnsi="Calibri" w:cs="Calibri"/>
                <w:color w:val="000000"/>
                <w:sz w:val="20"/>
                <w:szCs w:val="20"/>
              </w:rPr>
            </w:pPr>
            <w:r>
              <w:rPr>
                <w:rFonts w:ascii="Calibri" w:hAnsi="Calibri" w:cs="Calibri"/>
                <w:color w:val="000000"/>
                <w:sz w:val="20"/>
                <w:szCs w:val="20"/>
              </w:rPr>
              <w:t>Stati Uniti</w:t>
            </w:r>
          </w:p>
        </w:tc>
        <w:tc>
          <w:tcPr>
            <w:tcW w:w="1375" w:type="dxa"/>
            <w:tcBorders>
              <w:top w:val="nil"/>
              <w:left w:val="nil"/>
              <w:bottom w:val="nil"/>
              <w:right w:val="nil"/>
            </w:tcBorders>
            <w:noWrap/>
            <w:vAlign w:val="center"/>
            <w:hideMark/>
          </w:tcPr>
          <w:p w14:paraId="5E278F9C" w14:textId="77777777" w:rsidR="002B5E47" w:rsidRDefault="002B5E47" w:rsidP="00234F3A">
            <w:pPr>
              <w:jc w:val="center"/>
              <w:rPr>
                <w:rFonts w:ascii="Calibri" w:hAnsi="Calibri" w:cs="Calibri"/>
                <w:color w:val="000000"/>
                <w:sz w:val="20"/>
                <w:szCs w:val="20"/>
              </w:rPr>
            </w:pPr>
            <w:r>
              <w:rPr>
                <w:rFonts w:ascii="Calibri" w:hAnsi="Calibri" w:cs="Calibri"/>
                <w:color w:val="000000"/>
                <w:sz w:val="20"/>
                <w:szCs w:val="20"/>
              </w:rPr>
              <w:t>501.204.184</w:t>
            </w:r>
          </w:p>
        </w:tc>
        <w:tc>
          <w:tcPr>
            <w:tcW w:w="1375" w:type="dxa"/>
            <w:tcBorders>
              <w:top w:val="nil"/>
              <w:left w:val="nil"/>
              <w:bottom w:val="nil"/>
              <w:right w:val="nil"/>
            </w:tcBorders>
            <w:noWrap/>
            <w:vAlign w:val="center"/>
            <w:hideMark/>
          </w:tcPr>
          <w:p w14:paraId="2EBD3DC6" w14:textId="77777777" w:rsidR="002B5E47" w:rsidRDefault="002B5E47" w:rsidP="00234F3A">
            <w:pPr>
              <w:jc w:val="center"/>
              <w:rPr>
                <w:rFonts w:ascii="Calibri" w:hAnsi="Calibri" w:cs="Calibri"/>
                <w:color w:val="000000"/>
                <w:sz w:val="20"/>
                <w:szCs w:val="20"/>
              </w:rPr>
            </w:pPr>
            <w:r>
              <w:rPr>
                <w:rFonts w:ascii="Calibri" w:hAnsi="Calibri" w:cs="Calibri"/>
                <w:color w:val="000000"/>
                <w:sz w:val="20"/>
                <w:szCs w:val="20"/>
              </w:rPr>
              <w:t>174.248.721</w:t>
            </w:r>
          </w:p>
        </w:tc>
        <w:tc>
          <w:tcPr>
            <w:tcW w:w="1219" w:type="dxa"/>
            <w:tcBorders>
              <w:top w:val="nil"/>
              <w:left w:val="nil"/>
              <w:bottom w:val="nil"/>
              <w:right w:val="nil"/>
            </w:tcBorders>
            <w:noWrap/>
            <w:vAlign w:val="center"/>
            <w:hideMark/>
          </w:tcPr>
          <w:p w14:paraId="2CF79033" w14:textId="77777777" w:rsidR="002B5E47" w:rsidRDefault="002B5E47" w:rsidP="00A35AEF">
            <w:pPr>
              <w:jc w:val="center"/>
              <w:rPr>
                <w:rFonts w:ascii="Calibri" w:hAnsi="Calibri" w:cs="Calibri"/>
                <w:color w:val="000000"/>
                <w:sz w:val="20"/>
                <w:szCs w:val="20"/>
              </w:rPr>
            </w:pPr>
            <w:r>
              <w:rPr>
                <w:rFonts w:ascii="Calibri" w:hAnsi="Calibri" w:cs="Calibri"/>
                <w:color w:val="000000"/>
                <w:sz w:val="20"/>
                <w:szCs w:val="20"/>
              </w:rPr>
              <w:t>16,1%</w:t>
            </w:r>
          </w:p>
        </w:tc>
        <w:tc>
          <w:tcPr>
            <w:tcW w:w="1030" w:type="dxa"/>
            <w:tcBorders>
              <w:top w:val="nil"/>
              <w:left w:val="nil"/>
              <w:bottom w:val="nil"/>
              <w:right w:val="nil"/>
            </w:tcBorders>
            <w:noWrap/>
            <w:vAlign w:val="center"/>
            <w:hideMark/>
          </w:tcPr>
          <w:p w14:paraId="3063C201" w14:textId="77777777" w:rsidR="002B5E47" w:rsidRDefault="002B5E47" w:rsidP="00A35AEF">
            <w:pPr>
              <w:jc w:val="center"/>
              <w:rPr>
                <w:rFonts w:ascii="Calibri" w:hAnsi="Calibri" w:cs="Calibri"/>
                <w:color w:val="000000"/>
                <w:sz w:val="20"/>
                <w:szCs w:val="20"/>
              </w:rPr>
            </w:pPr>
            <w:r>
              <w:rPr>
                <w:rFonts w:ascii="Calibri" w:hAnsi="Calibri" w:cs="Calibri"/>
                <w:color w:val="000000"/>
                <w:sz w:val="20"/>
                <w:szCs w:val="20"/>
              </w:rPr>
              <w:t>-65,2%</w:t>
            </w:r>
          </w:p>
        </w:tc>
        <w:tc>
          <w:tcPr>
            <w:tcW w:w="1471" w:type="dxa"/>
            <w:gridSpan w:val="2"/>
            <w:tcBorders>
              <w:top w:val="nil"/>
              <w:left w:val="nil"/>
              <w:bottom w:val="nil"/>
              <w:right w:val="nil"/>
            </w:tcBorders>
            <w:noWrap/>
            <w:vAlign w:val="center"/>
            <w:hideMark/>
          </w:tcPr>
          <w:p w14:paraId="7E167328" w14:textId="77777777" w:rsidR="002B5E47" w:rsidRDefault="002B5E47" w:rsidP="00A35AEF">
            <w:pPr>
              <w:jc w:val="center"/>
              <w:rPr>
                <w:rFonts w:ascii="Calibri" w:hAnsi="Calibri" w:cs="Calibri"/>
                <w:i/>
                <w:iCs/>
                <w:color w:val="000000"/>
                <w:sz w:val="20"/>
                <w:szCs w:val="20"/>
              </w:rPr>
            </w:pPr>
            <w:r>
              <w:rPr>
                <w:rFonts w:ascii="Calibri" w:hAnsi="Calibri" w:cs="Calibri"/>
                <w:i/>
                <w:iCs/>
                <w:color w:val="000000"/>
                <w:sz w:val="20"/>
                <w:szCs w:val="20"/>
              </w:rPr>
              <w:t>-28,4%</w:t>
            </w:r>
          </w:p>
        </w:tc>
      </w:tr>
      <w:tr w:rsidR="002B5E47" w14:paraId="07411E49" w14:textId="77777777" w:rsidTr="008D3100">
        <w:trPr>
          <w:gridAfter w:val="1"/>
          <w:wAfter w:w="152" w:type="dxa"/>
          <w:trHeight w:val="283"/>
        </w:trPr>
        <w:tc>
          <w:tcPr>
            <w:tcW w:w="2057" w:type="dxa"/>
            <w:tcBorders>
              <w:top w:val="nil"/>
              <w:left w:val="nil"/>
              <w:bottom w:val="nil"/>
              <w:right w:val="nil"/>
            </w:tcBorders>
            <w:noWrap/>
            <w:vAlign w:val="center"/>
            <w:hideMark/>
          </w:tcPr>
          <w:p w14:paraId="20A401FB" w14:textId="77777777" w:rsidR="002B5E47" w:rsidRDefault="002B5E47" w:rsidP="00A35AEF">
            <w:pPr>
              <w:rPr>
                <w:rFonts w:ascii="Calibri" w:hAnsi="Calibri" w:cs="Calibri"/>
                <w:color w:val="000000"/>
                <w:sz w:val="20"/>
                <w:szCs w:val="20"/>
              </w:rPr>
            </w:pPr>
            <w:r>
              <w:rPr>
                <w:rFonts w:ascii="Calibri" w:hAnsi="Calibri" w:cs="Calibri"/>
                <w:color w:val="000000"/>
                <w:sz w:val="20"/>
                <w:szCs w:val="20"/>
              </w:rPr>
              <w:t>Isole Cayman</w:t>
            </w:r>
          </w:p>
        </w:tc>
        <w:tc>
          <w:tcPr>
            <w:tcW w:w="1375" w:type="dxa"/>
            <w:tcBorders>
              <w:top w:val="nil"/>
              <w:left w:val="nil"/>
              <w:bottom w:val="nil"/>
              <w:right w:val="nil"/>
            </w:tcBorders>
            <w:noWrap/>
            <w:vAlign w:val="center"/>
            <w:hideMark/>
          </w:tcPr>
          <w:p w14:paraId="4EECCB8E" w14:textId="77777777" w:rsidR="002B5E47" w:rsidRDefault="002B5E47" w:rsidP="00234F3A">
            <w:pPr>
              <w:jc w:val="center"/>
              <w:rPr>
                <w:rFonts w:ascii="Calibri" w:hAnsi="Calibri" w:cs="Calibri"/>
                <w:color w:val="000000"/>
                <w:sz w:val="20"/>
                <w:szCs w:val="20"/>
              </w:rPr>
            </w:pPr>
            <w:r>
              <w:rPr>
                <w:rFonts w:ascii="Calibri" w:hAnsi="Calibri" w:cs="Calibri"/>
                <w:color w:val="000000"/>
                <w:sz w:val="20"/>
                <w:szCs w:val="20"/>
              </w:rPr>
              <w:t>4.015.500</w:t>
            </w:r>
          </w:p>
        </w:tc>
        <w:tc>
          <w:tcPr>
            <w:tcW w:w="1375" w:type="dxa"/>
            <w:tcBorders>
              <w:top w:val="nil"/>
              <w:left w:val="nil"/>
              <w:bottom w:val="nil"/>
              <w:right w:val="nil"/>
            </w:tcBorders>
            <w:noWrap/>
            <w:vAlign w:val="center"/>
            <w:hideMark/>
          </w:tcPr>
          <w:p w14:paraId="6D49EA77" w14:textId="77777777" w:rsidR="002B5E47" w:rsidRDefault="002B5E47" w:rsidP="00234F3A">
            <w:pPr>
              <w:jc w:val="center"/>
              <w:rPr>
                <w:rFonts w:ascii="Calibri" w:hAnsi="Calibri" w:cs="Calibri"/>
                <w:color w:val="000000"/>
                <w:sz w:val="20"/>
                <w:szCs w:val="20"/>
              </w:rPr>
            </w:pPr>
            <w:r>
              <w:rPr>
                <w:rFonts w:ascii="Calibri" w:hAnsi="Calibri" w:cs="Calibri"/>
                <w:color w:val="000000"/>
                <w:sz w:val="20"/>
                <w:szCs w:val="20"/>
              </w:rPr>
              <w:t>131.592.381</w:t>
            </w:r>
          </w:p>
        </w:tc>
        <w:tc>
          <w:tcPr>
            <w:tcW w:w="1219" w:type="dxa"/>
            <w:tcBorders>
              <w:top w:val="nil"/>
              <w:left w:val="nil"/>
              <w:bottom w:val="nil"/>
              <w:right w:val="nil"/>
            </w:tcBorders>
            <w:noWrap/>
            <w:vAlign w:val="center"/>
            <w:hideMark/>
          </w:tcPr>
          <w:p w14:paraId="47B4B5F1" w14:textId="77777777" w:rsidR="002B5E47" w:rsidRDefault="002B5E47" w:rsidP="00A35AEF">
            <w:pPr>
              <w:jc w:val="center"/>
              <w:rPr>
                <w:rFonts w:ascii="Calibri" w:hAnsi="Calibri" w:cs="Calibri"/>
                <w:color w:val="000000"/>
                <w:sz w:val="20"/>
                <w:szCs w:val="20"/>
              </w:rPr>
            </w:pPr>
            <w:r>
              <w:rPr>
                <w:rFonts w:ascii="Calibri" w:hAnsi="Calibri" w:cs="Calibri"/>
                <w:color w:val="000000"/>
                <w:sz w:val="20"/>
                <w:szCs w:val="20"/>
              </w:rPr>
              <w:t>12,2%</w:t>
            </w:r>
          </w:p>
        </w:tc>
        <w:tc>
          <w:tcPr>
            <w:tcW w:w="1030" w:type="dxa"/>
            <w:tcBorders>
              <w:top w:val="nil"/>
              <w:left w:val="nil"/>
              <w:bottom w:val="nil"/>
              <w:right w:val="nil"/>
            </w:tcBorders>
            <w:noWrap/>
            <w:vAlign w:val="center"/>
            <w:hideMark/>
          </w:tcPr>
          <w:p w14:paraId="7AB4A8CD" w14:textId="77777777" w:rsidR="002B5E47" w:rsidRDefault="002B5E47" w:rsidP="00A35AEF">
            <w:pPr>
              <w:jc w:val="center"/>
              <w:rPr>
                <w:rFonts w:ascii="Calibri" w:hAnsi="Calibri" w:cs="Calibri"/>
                <w:color w:val="000000"/>
                <w:sz w:val="20"/>
                <w:szCs w:val="20"/>
              </w:rPr>
            </w:pPr>
            <w:r>
              <w:rPr>
                <w:rFonts w:ascii="Calibri" w:hAnsi="Calibri" w:cs="Calibri"/>
                <w:color w:val="000000"/>
                <w:sz w:val="20"/>
                <w:szCs w:val="20"/>
              </w:rPr>
              <w:t>3177,1%</w:t>
            </w:r>
          </w:p>
        </w:tc>
        <w:tc>
          <w:tcPr>
            <w:tcW w:w="1471" w:type="dxa"/>
            <w:gridSpan w:val="2"/>
            <w:tcBorders>
              <w:top w:val="nil"/>
              <w:left w:val="nil"/>
              <w:bottom w:val="nil"/>
              <w:right w:val="nil"/>
            </w:tcBorders>
            <w:noWrap/>
            <w:vAlign w:val="center"/>
            <w:hideMark/>
          </w:tcPr>
          <w:p w14:paraId="7FBCC0E5" w14:textId="77777777" w:rsidR="002B5E47" w:rsidRDefault="002B5E47" w:rsidP="00A35AEF">
            <w:pPr>
              <w:jc w:val="center"/>
              <w:rPr>
                <w:rFonts w:ascii="Calibri" w:hAnsi="Calibri" w:cs="Calibri"/>
                <w:i/>
                <w:iCs/>
                <w:color w:val="000000"/>
                <w:sz w:val="20"/>
                <w:szCs w:val="20"/>
              </w:rPr>
            </w:pPr>
            <w:r>
              <w:rPr>
                <w:rFonts w:ascii="Calibri" w:hAnsi="Calibri" w:cs="Calibri"/>
                <w:i/>
                <w:iCs/>
                <w:color w:val="000000"/>
                <w:sz w:val="20"/>
                <w:szCs w:val="20"/>
              </w:rPr>
              <w:t>11,1%</w:t>
            </w:r>
          </w:p>
        </w:tc>
      </w:tr>
      <w:tr w:rsidR="002B5E47" w14:paraId="4FC1B49F" w14:textId="77777777" w:rsidTr="008D3100">
        <w:trPr>
          <w:gridAfter w:val="1"/>
          <w:wAfter w:w="152" w:type="dxa"/>
          <w:trHeight w:val="283"/>
        </w:trPr>
        <w:tc>
          <w:tcPr>
            <w:tcW w:w="2057" w:type="dxa"/>
            <w:tcBorders>
              <w:top w:val="nil"/>
              <w:left w:val="nil"/>
              <w:bottom w:val="nil"/>
              <w:right w:val="nil"/>
            </w:tcBorders>
            <w:noWrap/>
            <w:vAlign w:val="center"/>
            <w:hideMark/>
          </w:tcPr>
          <w:p w14:paraId="68338B31" w14:textId="77777777" w:rsidR="002B5E47" w:rsidRDefault="002B5E47" w:rsidP="00A35AEF">
            <w:pPr>
              <w:rPr>
                <w:rFonts w:ascii="Calibri" w:hAnsi="Calibri" w:cs="Calibri"/>
                <w:color w:val="000000"/>
                <w:sz w:val="20"/>
                <w:szCs w:val="20"/>
              </w:rPr>
            </w:pPr>
            <w:r>
              <w:rPr>
                <w:rFonts w:ascii="Calibri" w:hAnsi="Calibri" w:cs="Calibri"/>
                <w:color w:val="000000"/>
                <w:sz w:val="20"/>
                <w:szCs w:val="20"/>
              </w:rPr>
              <w:t>Corea del Sud</w:t>
            </w:r>
          </w:p>
        </w:tc>
        <w:tc>
          <w:tcPr>
            <w:tcW w:w="1375" w:type="dxa"/>
            <w:tcBorders>
              <w:top w:val="nil"/>
              <w:left w:val="nil"/>
              <w:bottom w:val="nil"/>
              <w:right w:val="nil"/>
            </w:tcBorders>
            <w:noWrap/>
            <w:vAlign w:val="center"/>
            <w:hideMark/>
          </w:tcPr>
          <w:p w14:paraId="1C6FCB3E" w14:textId="77777777" w:rsidR="002B5E47" w:rsidRDefault="002B5E47" w:rsidP="00234F3A">
            <w:pPr>
              <w:jc w:val="center"/>
              <w:rPr>
                <w:rFonts w:ascii="Calibri" w:hAnsi="Calibri" w:cs="Calibri"/>
                <w:color w:val="000000"/>
                <w:sz w:val="20"/>
                <w:szCs w:val="20"/>
              </w:rPr>
            </w:pPr>
            <w:r>
              <w:rPr>
                <w:rFonts w:ascii="Calibri" w:hAnsi="Calibri" w:cs="Calibri"/>
                <w:color w:val="000000"/>
                <w:sz w:val="20"/>
                <w:szCs w:val="20"/>
              </w:rPr>
              <w:t>2.041.379</w:t>
            </w:r>
          </w:p>
        </w:tc>
        <w:tc>
          <w:tcPr>
            <w:tcW w:w="1375" w:type="dxa"/>
            <w:tcBorders>
              <w:top w:val="nil"/>
              <w:left w:val="nil"/>
              <w:bottom w:val="nil"/>
              <w:right w:val="nil"/>
            </w:tcBorders>
            <w:noWrap/>
            <w:vAlign w:val="center"/>
            <w:hideMark/>
          </w:tcPr>
          <w:p w14:paraId="07D4C758" w14:textId="77777777" w:rsidR="002B5E47" w:rsidRDefault="002B5E47" w:rsidP="00234F3A">
            <w:pPr>
              <w:jc w:val="center"/>
              <w:rPr>
                <w:rFonts w:ascii="Calibri" w:hAnsi="Calibri" w:cs="Calibri"/>
                <w:color w:val="000000"/>
                <w:sz w:val="20"/>
                <w:szCs w:val="20"/>
              </w:rPr>
            </w:pPr>
            <w:r>
              <w:rPr>
                <w:rFonts w:ascii="Calibri" w:hAnsi="Calibri" w:cs="Calibri"/>
                <w:color w:val="000000"/>
                <w:sz w:val="20"/>
                <w:szCs w:val="20"/>
              </w:rPr>
              <w:t>101.131.491</w:t>
            </w:r>
          </w:p>
        </w:tc>
        <w:tc>
          <w:tcPr>
            <w:tcW w:w="1219" w:type="dxa"/>
            <w:tcBorders>
              <w:top w:val="nil"/>
              <w:left w:val="nil"/>
              <w:bottom w:val="nil"/>
              <w:right w:val="nil"/>
            </w:tcBorders>
            <w:noWrap/>
            <w:vAlign w:val="center"/>
            <w:hideMark/>
          </w:tcPr>
          <w:p w14:paraId="08F028D4" w14:textId="77777777" w:rsidR="002B5E47" w:rsidRDefault="002B5E47" w:rsidP="00A35AEF">
            <w:pPr>
              <w:jc w:val="center"/>
              <w:rPr>
                <w:rFonts w:ascii="Calibri" w:hAnsi="Calibri" w:cs="Calibri"/>
                <w:color w:val="000000"/>
                <w:sz w:val="20"/>
                <w:szCs w:val="20"/>
              </w:rPr>
            </w:pPr>
            <w:r>
              <w:rPr>
                <w:rFonts w:ascii="Calibri" w:hAnsi="Calibri" w:cs="Calibri"/>
                <w:color w:val="000000"/>
                <w:sz w:val="20"/>
                <w:szCs w:val="20"/>
              </w:rPr>
              <w:t>9,4%</w:t>
            </w:r>
          </w:p>
        </w:tc>
        <w:tc>
          <w:tcPr>
            <w:tcW w:w="1030" w:type="dxa"/>
            <w:tcBorders>
              <w:top w:val="nil"/>
              <w:left w:val="nil"/>
              <w:bottom w:val="nil"/>
              <w:right w:val="nil"/>
            </w:tcBorders>
            <w:noWrap/>
            <w:vAlign w:val="center"/>
            <w:hideMark/>
          </w:tcPr>
          <w:p w14:paraId="005B06CA" w14:textId="77777777" w:rsidR="002B5E47" w:rsidRDefault="002B5E47" w:rsidP="00A35AEF">
            <w:pPr>
              <w:jc w:val="center"/>
              <w:rPr>
                <w:rFonts w:ascii="Calibri" w:hAnsi="Calibri" w:cs="Calibri"/>
                <w:color w:val="000000"/>
                <w:sz w:val="20"/>
                <w:szCs w:val="20"/>
              </w:rPr>
            </w:pPr>
            <w:r>
              <w:rPr>
                <w:rFonts w:ascii="Calibri" w:hAnsi="Calibri" w:cs="Calibri"/>
                <w:color w:val="000000"/>
                <w:sz w:val="20"/>
                <w:szCs w:val="20"/>
              </w:rPr>
              <w:t>4854,1%</w:t>
            </w:r>
          </w:p>
        </w:tc>
        <w:tc>
          <w:tcPr>
            <w:tcW w:w="1471" w:type="dxa"/>
            <w:gridSpan w:val="2"/>
            <w:tcBorders>
              <w:top w:val="nil"/>
              <w:left w:val="nil"/>
              <w:bottom w:val="nil"/>
              <w:right w:val="nil"/>
            </w:tcBorders>
            <w:noWrap/>
            <w:vAlign w:val="center"/>
            <w:hideMark/>
          </w:tcPr>
          <w:p w14:paraId="3F202895" w14:textId="77777777" w:rsidR="002B5E47" w:rsidRDefault="002B5E47" w:rsidP="00A35AEF">
            <w:pPr>
              <w:jc w:val="center"/>
              <w:rPr>
                <w:rFonts w:ascii="Calibri" w:hAnsi="Calibri" w:cs="Calibri"/>
                <w:i/>
                <w:iCs/>
                <w:color w:val="000000"/>
                <w:sz w:val="20"/>
                <w:szCs w:val="20"/>
              </w:rPr>
            </w:pPr>
            <w:r>
              <w:rPr>
                <w:rFonts w:ascii="Calibri" w:hAnsi="Calibri" w:cs="Calibri"/>
                <w:i/>
                <w:iCs/>
                <w:color w:val="000000"/>
                <w:sz w:val="20"/>
                <w:szCs w:val="20"/>
              </w:rPr>
              <w:t>8,6%</w:t>
            </w:r>
          </w:p>
        </w:tc>
      </w:tr>
      <w:tr w:rsidR="002B5E47" w14:paraId="687197DD" w14:textId="77777777" w:rsidTr="008D3100">
        <w:trPr>
          <w:gridAfter w:val="1"/>
          <w:wAfter w:w="152" w:type="dxa"/>
          <w:trHeight w:val="283"/>
        </w:trPr>
        <w:tc>
          <w:tcPr>
            <w:tcW w:w="2057" w:type="dxa"/>
            <w:tcBorders>
              <w:top w:val="nil"/>
              <w:left w:val="nil"/>
              <w:bottom w:val="nil"/>
              <w:right w:val="nil"/>
            </w:tcBorders>
            <w:noWrap/>
            <w:vAlign w:val="center"/>
            <w:hideMark/>
          </w:tcPr>
          <w:p w14:paraId="553B0D7B" w14:textId="77777777" w:rsidR="002B5E47" w:rsidRDefault="002B5E47" w:rsidP="00A35AEF">
            <w:pPr>
              <w:rPr>
                <w:rFonts w:ascii="Calibri" w:hAnsi="Calibri" w:cs="Calibri"/>
                <w:color w:val="000000"/>
                <w:sz w:val="20"/>
                <w:szCs w:val="20"/>
              </w:rPr>
            </w:pPr>
            <w:r>
              <w:rPr>
                <w:rFonts w:ascii="Calibri" w:hAnsi="Calibri" w:cs="Calibri"/>
                <w:color w:val="000000"/>
                <w:sz w:val="20"/>
                <w:szCs w:val="20"/>
              </w:rPr>
              <w:t>Emirati Arabi Uniti</w:t>
            </w:r>
          </w:p>
        </w:tc>
        <w:tc>
          <w:tcPr>
            <w:tcW w:w="1375" w:type="dxa"/>
            <w:tcBorders>
              <w:top w:val="nil"/>
              <w:left w:val="nil"/>
              <w:bottom w:val="nil"/>
              <w:right w:val="nil"/>
            </w:tcBorders>
            <w:noWrap/>
            <w:vAlign w:val="center"/>
            <w:hideMark/>
          </w:tcPr>
          <w:p w14:paraId="5580F9BB" w14:textId="77777777" w:rsidR="002B5E47" w:rsidRDefault="002B5E47" w:rsidP="00234F3A">
            <w:pPr>
              <w:jc w:val="center"/>
              <w:rPr>
                <w:rFonts w:ascii="Calibri" w:hAnsi="Calibri" w:cs="Calibri"/>
                <w:color w:val="000000"/>
                <w:sz w:val="20"/>
                <w:szCs w:val="20"/>
              </w:rPr>
            </w:pPr>
            <w:r>
              <w:rPr>
                <w:rFonts w:ascii="Calibri" w:hAnsi="Calibri" w:cs="Calibri"/>
                <w:color w:val="000000"/>
                <w:sz w:val="20"/>
                <w:szCs w:val="20"/>
              </w:rPr>
              <w:t>20.834.512</w:t>
            </w:r>
          </w:p>
        </w:tc>
        <w:tc>
          <w:tcPr>
            <w:tcW w:w="1375" w:type="dxa"/>
            <w:tcBorders>
              <w:top w:val="nil"/>
              <w:left w:val="nil"/>
              <w:bottom w:val="nil"/>
              <w:right w:val="nil"/>
            </w:tcBorders>
            <w:noWrap/>
            <w:vAlign w:val="center"/>
            <w:hideMark/>
          </w:tcPr>
          <w:p w14:paraId="4FF950CD" w14:textId="77777777" w:rsidR="002B5E47" w:rsidRDefault="002B5E47" w:rsidP="00234F3A">
            <w:pPr>
              <w:jc w:val="center"/>
              <w:rPr>
                <w:rFonts w:ascii="Calibri" w:hAnsi="Calibri" w:cs="Calibri"/>
                <w:color w:val="000000"/>
                <w:sz w:val="20"/>
                <w:szCs w:val="20"/>
              </w:rPr>
            </w:pPr>
            <w:r>
              <w:rPr>
                <w:rFonts w:ascii="Calibri" w:hAnsi="Calibri" w:cs="Calibri"/>
                <w:color w:val="000000"/>
                <w:sz w:val="20"/>
                <w:szCs w:val="20"/>
              </w:rPr>
              <w:t>65.419.378</w:t>
            </w:r>
          </w:p>
        </w:tc>
        <w:tc>
          <w:tcPr>
            <w:tcW w:w="1219" w:type="dxa"/>
            <w:tcBorders>
              <w:top w:val="nil"/>
              <w:left w:val="nil"/>
              <w:bottom w:val="nil"/>
              <w:right w:val="nil"/>
            </w:tcBorders>
            <w:noWrap/>
            <w:vAlign w:val="center"/>
            <w:hideMark/>
          </w:tcPr>
          <w:p w14:paraId="2A9DA875" w14:textId="77777777" w:rsidR="002B5E47" w:rsidRDefault="002B5E47" w:rsidP="00A35AEF">
            <w:pPr>
              <w:jc w:val="center"/>
              <w:rPr>
                <w:rFonts w:ascii="Calibri" w:hAnsi="Calibri" w:cs="Calibri"/>
                <w:color w:val="000000"/>
                <w:sz w:val="20"/>
                <w:szCs w:val="20"/>
              </w:rPr>
            </w:pPr>
            <w:r>
              <w:rPr>
                <w:rFonts w:ascii="Calibri" w:hAnsi="Calibri" w:cs="Calibri"/>
                <w:color w:val="000000"/>
                <w:sz w:val="20"/>
                <w:szCs w:val="20"/>
              </w:rPr>
              <w:t>6,1%</w:t>
            </w:r>
          </w:p>
        </w:tc>
        <w:tc>
          <w:tcPr>
            <w:tcW w:w="1030" w:type="dxa"/>
            <w:tcBorders>
              <w:top w:val="nil"/>
              <w:left w:val="nil"/>
              <w:bottom w:val="nil"/>
              <w:right w:val="nil"/>
            </w:tcBorders>
            <w:noWrap/>
            <w:vAlign w:val="center"/>
            <w:hideMark/>
          </w:tcPr>
          <w:p w14:paraId="7D545E20" w14:textId="77777777" w:rsidR="002B5E47" w:rsidRDefault="002B5E47" w:rsidP="00A35AEF">
            <w:pPr>
              <w:jc w:val="center"/>
              <w:rPr>
                <w:rFonts w:ascii="Calibri" w:hAnsi="Calibri" w:cs="Calibri"/>
                <w:color w:val="000000"/>
                <w:sz w:val="20"/>
                <w:szCs w:val="20"/>
              </w:rPr>
            </w:pPr>
            <w:r>
              <w:rPr>
                <w:rFonts w:ascii="Calibri" w:hAnsi="Calibri" w:cs="Calibri"/>
                <w:color w:val="000000"/>
                <w:sz w:val="20"/>
                <w:szCs w:val="20"/>
              </w:rPr>
              <w:t>214,0%</w:t>
            </w:r>
          </w:p>
        </w:tc>
        <w:tc>
          <w:tcPr>
            <w:tcW w:w="1471" w:type="dxa"/>
            <w:gridSpan w:val="2"/>
            <w:tcBorders>
              <w:top w:val="nil"/>
              <w:left w:val="nil"/>
              <w:bottom w:val="nil"/>
              <w:right w:val="nil"/>
            </w:tcBorders>
            <w:noWrap/>
            <w:vAlign w:val="center"/>
            <w:hideMark/>
          </w:tcPr>
          <w:p w14:paraId="28ABF8B9" w14:textId="77777777" w:rsidR="002B5E47" w:rsidRDefault="002B5E47" w:rsidP="00A35AEF">
            <w:pPr>
              <w:jc w:val="center"/>
              <w:rPr>
                <w:rFonts w:ascii="Calibri" w:hAnsi="Calibri" w:cs="Calibri"/>
                <w:i/>
                <w:iCs/>
                <w:color w:val="000000"/>
                <w:sz w:val="20"/>
                <w:szCs w:val="20"/>
              </w:rPr>
            </w:pPr>
            <w:r>
              <w:rPr>
                <w:rFonts w:ascii="Calibri" w:hAnsi="Calibri" w:cs="Calibri"/>
                <w:i/>
                <w:iCs/>
                <w:color w:val="000000"/>
                <w:sz w:val="20"/>
                <w:szCs w:val="20"/>
              </w:rPr>
              <w:t>3,9%</w:t>
            </w:r>
          </w:p>
        </w:tc>
      </w:tr>
      <w:tr w:rsidR="002B5E47" w14:paraId="4FA5671E" w14:textId="77777777" w:rsidTr="008D3100">
        <w:trPr>
          <w:gridAfter w:val="1"/>
          <w:wAfter w:w="152" w:type="dxa"/>
          <w:trHeight w:val="283"/>
        </w:trPr>
        <w:tc>
          <w:tcPr>
            <w:tcW w:w="2057" w:type="dxa"/>
            <w:tcBorders>
              <w:top w:val="nil"/>
              <w:left w:val="nil"/>
              <w:bottom w:val="nil"/>
              <w:right w:val="nil"/>
            </w:tcBorders>
            <w:noWrap/>
            <w:vAlign w:val="center"/>
            <w:hideMark/>
          </w:tcPr>
          <w:p w14:paraId="68DBDE23" w14:textId="77777777" w:rsidR="002B5E47" w:rsidRDefault="002B5E47" w:rsidP="00A35AEF">
            <w:pPr>
              <w:rPr>
                <w:rFonts w:ascii="Calibri" w:hAnsi="Calibri" w:cs="Calibri"/>
                <w:color w:val="000000"/>
                <w:sz w:val="20"/>
                <w:szCs w:val="20"/>
              </w:rPr>
            </w:pPr>
            <w:r>
              <w:rPr>
                <w:rFonts w:ascii="Calibri" w:hAnsi="Calibri" w:cs="Calibri"/>
                <w:color w:val="000000"/>
                <w:sz w:val="20"/>
                <w:szCs w:val="20"/>
              </w:rPr>
              <w:t>Cina</w:t>
            </w:r>
          </w:p>
        </w:tc>
        <w:tc>
          <w:tcPr>
            <w:tcW w:w="1375" w:type="dxa"/>
            <w:tcBorders>
              <w:top w:val="nil"/>
              <w:left w:val="nil"/>
              <w:bottom w:val="nil"/>
              <w:right w:val="nil"/>
            </w:tcBorders>
            <w:noWrap/>
            <w:vAlign w:val="center"/>
            <w:hideMark/>
          </w:tcPr>
          <w:p w14:paraId="55E5D149" w14:textId="77777777" w:rsidR="002B5E47" w:rsidRDefault="002B5E47" w:rsidP="00234F3A">
            <w:pPr>
              <w:jc w:val="center"/>
              <w:rPr>
                <w:rFonts w:ascii="Calibri" w:hAnsi="Calibri" w:cs="Calibri"/>
                <w:color w:val="000000"/>
                <w:sz w:val="20"/>
                <w:szCs w:val="20"/>
              </w:rPr>
            </w:pPr>
            <w:r>
              <w:rPr>
                <w:rFonts w:ascii="Calibri" w:hAnsi="Calibri" w:cs="Calibri"/>
                <w:color w:val="000000"/>
                <w:sz w:val="20"/>
                <w:szCs w:val="20"/>
              </w:rPr>
              <w:t>101.648.177</w:t>
            </w:r>
          </w:p>
        </w:tc>
        <w:tc>
          <w:tcPr>
            <w:tcW w:w="1375" w:type="dxa"/>
            <w:tcBorders>
              <w:top w:val="nil"/>
              <w:left w:val="nil"/>
              <w:bottom w:val="nil"/>
              <w:right w:val="nil"/>
            </w:tcBorders>
            <w:noWrap/>
            <w:vAlign w:val="center"/>
            <w:hideMark/>
          </w:tcPr>
          <w:p w14:paraId="6C9ABEED" w14:textId="77777777" w:rsidR="002B5E47" w:rsidRDefault="002B5E47" w:rsidP="00234F3A">
            <w:pPr>
              <w:jc w:val="center"/>
              <w:rPr>
                <w:rFonts w:ascii="Calibri" w:hAnsi="Calibri" w:cs="Calibri"/>
                <w:color w:val="000000"/>
                <w:sz w:val="20"/>
                <w:szCs w:val="20"/>
              </w:rPr>
            </w:pPr>
            <w:r>
              <w:rPr>
                <w:rFonts w:ascii="Calibri" w:hAnsi="Calibri" w:cs="Calibri"/>
                <w:color w:val="000000"/>
                <w:sz w:val="20"/>
                <w:szCs w:val="20"/>
              </w:rPr>
              <w:t>59.698.127</w:t>
            </w:r>
          </w:p>
        </w:tc>
        <w:tc>
          <w:tcPr>
            <w:tcW w:w="1219" w:type="dxa"/>
            <w:tcBorders>
              <w:top w:val="nil"/>
              <w:left w:val="nil"/>
              <w:bottom w:val="nil"/>
              <w:right w:val="nil"/>
            </w:tcBorders>
            <w:noWrap/>
            <w:vAlign w:val="center"/>
            <w:hideMark/>
          </w:tcPr>
          <w:p w14:paraId="079B6909" w14:textId="77777777" w:rsidR="002B5E47" w:rsidRDefault="002B5E47" w:rsidP="00A35AEF">
            <w:pPr>
              <w:jc w:val="center"/>
              <w:rPr>
                <w:rFonts w:ascii="Calibri" w:hAnsi="Calibri" w:cs="Calibri"/>
                <w:color w:val="000000"/>
                <w:sz w:val="20"/>
                <w:szCs w:val="20"/>
              </w:rPr>
            </w:pPr>
            <w:r>
              <w:rPr>
                <w:rFonts w:ascii="Calibri" w:hAnsi="Calibri" w:cs="Calibri"/>
                <w:color w:val="000000"/>
                <w:sz w:val="20"/>
                <w:szCs w:val="20"/>
              </w:rPr>
              <w:t>5,5%</w:t>
            </w:r>
          </w:p>
        </w:tc>
        <w:tc>
          <w:tcPr>
            <w:tcW w:w="1030" w:type="dxa"/>
            <w:tcBorders>
              <w:top w:val="nil"/>
              <w:left w:val="nil"/>
              <w:bottom w:val="nil"/>
              <w:right w:val="nil"/>
            </w:tcBorders>
            <w:noWrap/>
            <w:vAlign w:val="center"/>
            <w:hideMark/>
          </w:tcPr>
          <w:p w14:paraId="70193723" w14:textId="77777777" w:rsidR="002B5E47" w:rsidRDefault="002B5E47" w:rsidP="00A35AEF">
            <w:pPr>
              <w:jc w:val="center"/>
              <w:rPr>
                <w:rFonts w:ascii="Calibri" w:hAnsi="Calibri" w:cs="Calibri"/>
                <w:color w:val="000000"/>
                <w:sz w:val="20"/>
                <w:szCs w:val="20"/>
              </w:rPr>
            </w:pPr>
            <w:r>
              <w:rPr>
                <w:rFonts w:ascii="Calibri" w:hAnsi="Calibri" w:cs="Calibri"/>
                <w:color w:val="000000"/>
                <w:sz w:val="20"/>
                <w:szCs w:val="20"/>
              </w:rPr>
              <w:t>-41,3%</w:t>
            </w:r>
          </w:p>
        </w:tc>
        <w:tc>
          <w:tcPr>
            <w:tcW w:w="1471" w:type="dxa"/>
            <w:gridSpan w:val="2"/>
            <w:tcBorders>
              <w:top w:val="nil"/>
              <w:left w:val="nil"/>
              <w:bottom w:val="nil"/>
              <w:right w:val="nil"/>
            </w:tcBorders>
            <w:noWrap/>
            <w:vAlign w:val="center"/>
            <w:hideMark/>
          </w:tcPr>
          <w:p w14:paraId="126534C0" w14:textId="77777777" w:rsidR="002B5E47" w:rsidRDefault="002B5E47" w:rsidP="00A35AEF">
            <w:pPr>
              <w:jc w:val="center"/>
              <w:rPr>
                <w:rFonts w:ascii="Calibri" w:hAnsi="Calibri" w:cs="Calibri"/>
                <w:i/>
                <w:iCs/>
                <w:color w:val="000000"/>
                <w:sz w:val="20"/>
                <w:szCs w:val="20"/>
              </w:rPr>
            </w:pPr>
            <w:r>
              <w:rPr>
                <w:rFonts w:ascii="Calibri" w:hAnsi="Calibri" w:cs="Calibri"/>
                <w:i/>
                <w:iCs/>
                <w:color w:val="000000"/>
                <w:sz w:val="20"/>
                <w:szCs w:val="20"/>
              </w:rPr>
              <w:t>-3,6%</w:t>
            </w:r>
          </w:p>
        </w:tc>
      </w:tr>
      <w:tr w:rsidR="002B5E47" w14:paraId="6D702C6F" w14:textId="77777777" w:rsidTr="008D3100">
        <w:trPr>
          <w:gridAfter w:val="1"/>
          <w:wAfter w:w="152" w:type="dxa"/>
          <w:trHeight w:val="283"/>
        </w:trPr>
        <w:tc>
          <w:tcPr>
            <w:tcW w:w="2057" w:type="dxa"/>
            <w:tcBorders>
              <w:top w:val="nil"/>
              <w:left w:val="nil"/>
              <w:bottom w:val="nil"/>
              <w:right w:val="nil"/>
            </w:tcBorders>
            <w:noWrap/>
            <w:vAlign w:val="center"/>
            <w:hideMark/>
          </w:tcPr>
          <w:p w14:paraId="1771BAAD" w14:textId="77777777" w:rsidR="002B5E47" w:rsidRDefault="002B5E47" w:rsidP="00A35AEF">
            <w:pPr>
              <w:rPr>
                <w:rFonts w:ascii="Calibri" w:hAnsi="Calibri" w:cs="Calibri"/>
                <w:color w:val="000000"/>
                <w:sz w:val="20"/>
                <w:szCs w:val="20"/>
              </w:rPr>
            </w:pPr>
            <w:r>
              <w:rPr>
                <w:rFonts w:ascii="Calibri" w:hAnsi="Calibri" w:cs="Calibri"/>
                <w:color w:val="000000"/>
                <w:sz w:val="20"/>
                <w:szCs w:val="20"/>
              </w:rPr>
              <w:t>Qatar</w:t>
            </w:r>
          </w:p>
        </w:tc>
        <w:tc>
          <w:tcPr>
            <w:tcW w:w="1375" w:type="dxa"/>
            <w:tcBorders>
              <w:top w:val="nil"/>
              <w:left w:val="nil"/>
              <w:bottom w:val="nil"/>
              <w:right w:val="nil"/>
            </w:tcBorders>
            <w:noWrap/>
            <w:vAlign w:val="center"/>
            <w:hideMark/>
          </w:tcPr>
          <w:p w14:paraId="01132AFC" w14:textId="77777777" w:rsidR="002B5E47" w:rsidRDefault="002B5E47" w:rsidP="00234F3A">
            <w:pPr>
              <w:jc w:val="center"/>
              <w:rPr>
                <w:rFonts w:ascii="Calibri" w:hAnsi="Calibri" w:cs="Calibri"/>
                <w:color w:val="000000"/>
                <w:sz w:val="20"/>
                <w:szCs w:val="20"/>
              </w:rPr>
            </w:pPr>
            <w:r>
              <w:rPr>
                <w:rFonts w:ascii="Calibri" w:hAnsi="Calibri" w:cs="Calibri"/>
                <w:color w:val="000000"/>
                <w:sz w:val="20"/>
                <w:szCs w:val="20"/>
              </w:rPr>
              <w:t>6.485.943</w:t>
            </w:r>
          </w:p>
        </w:tc>
        <w:tc>
          <w:tcPr>
            <w:tcW w:w="1375" w:type="dxa"/>
            <w:tcBorders>
              <w:top w:val="nil"/>
              <w:left w:val="nil"/>
              <w:bottom w:val="nil"/>
              <w:right w:val="nil"/>
            </w:tcBorders>
            <w:noWrap/>
            <w:vAlign w:val="center"/>
            <w:hideMark/>
          </w:tcPr>
          <w:p w14:paraId="5764B87F" w14:textId="77777777" w:rsidR="002B5E47" w:rsidRDefault="002B5E47" w:rsidP="00234F3A">
            <w:pPr>
              <w:jc w:val="center"/>
              <w:rPr>
                <w:rFonts w:ascii="Calibri" w:hAnsi="Calibri" w:cs="Calibri"/>
                <w:color w:val="000000"/>
                <w:sz w:val="20"/>
                <w:szCs w:val="20"/>
              </w:rPr>
            </w:pPr>
            <w:r>
              <w:rPr>
                <w:rFonts w:ascii="Calibri" w:hAnsi="Calibri" w:cs="Calibri"/>
                <w:color w:val="000000"/>
                <w:sz w:val="20"/>
                <w:szCs w:val="20"/>
              </w:rPr>
              <w:t>49.425.768</w:t>
            </w:r>
          </w:p>
        </w:tc>
        <w:tc>
          <w:tcPr>
            <w:tcW w:w="1219" w:type="dxa"/>
            <w:tcBorders>
              <w:top w:val="nil"/>
              <w:left w:val="nil"/>
              <w:bottom w:val="nil"/>
              <w:right w:val="nil"/>
            </w:tcBorders>
            <w:noWrap/>
            <w:vAlign w:val="center"/>
            <w:hideMark/>
          </w:tcPr>
          <w:p w14:paraId="4E06CDC2" w14:textId="77777777" w:rsidR="002B5E47" w:rsidRDefault="002B5E47" w:rsidP="00A35AEF">
            <w:pPr>
              <w:jc w:val="center"/>
              <w:rPr>
                <w:rFonts w:ascii="Calibri" w:hAnsi="Calibri" w:cs="Calibri"/>
                <w:color w:val="000000"/>
                <w:sz w:val="20"/>
                <w:szCs w:val="20"/>
              </w:rPr>
            </w:pPr>
            <w:r>
              <w:rPr>
                <w:rFonts w:ascii="Calibri" w:hAnsi="Calibri" w:cs="Calibri"/>
                <w:color w:val="000000"/>
                <w:sz w:val="20"/>
                <w:szCs w:val="20"/>
              </w:rPr>
              <w:t>4,6%</w:t>
            </w:r>
          </w:p>
        </w:tc>
        <w:tc>
          <w:tcPr>
            <w:tcW w:w="1030" w:type="dxa"/>
            <w:tcBorders>
              <w:top w:val="nil"/>
              <w:left w:val="nil"/>
              <w:bottom w:val="nil"/>
              <w:right w:val="nil"/>
            </w:tcBorders>
            <w:noWrap/>
            <w:vAlign w:val="center"/>
            <w:hideMark/>
          </w:tcPr>
          <w:p w14:paraId="761066D0" w14:textId="77777777" w:rsidR="002B5E47" w:rsidRDefault="002B5E47" w:rsidP="00A35AEF">
            <w:pPr>
              <w:jc w:val="center"/>
              <w:rPr>
                <w:rFonts w:ascii="Calibri" w:hAnsi="Calibri" w:cs="Calibri"/>
                <w:color w:val="000000"/>
                <w:sz w:val="20"/>
                <w:szCs w:val="20"/>
              </w:rPr>
            </w:pPr>
            <w:r>
              <w:rPr>
                <w:rFonts w:ascii="Calibri" w:hAnsi="Calibri" w:cs="Calibri"/>
                <w:color w:val="000000"/>
                <w:sz w:val="20"/>
                <w:szCs w:val="20"/>
              </w:rPr>
              <w:t>662,0%</w:t>
            </w:r>
          </w:p>
        </w:tc>
        <w:tc>
          <w:tcPr>
            <w:tcW w:w="1471" w:type="dxa"/>
            <w:gridSpan w:val="2"/>
            <w:tcBorders>
              <w:top w:val="nil"/>
              <w:left w:val="nil"/>
              <w:bottom w:val="nil"/>
              <w:right w:val="nil"/>
            </w:tcBorders>
            <w:noWrap/>
            <w:vAlign w:val="center"/>
            <w:hideMark/>
          </w:tcPr>
          <w:p w14:paraId="6E452382" w14:textId="77777777" w:rsidR="002B5E47" w:rsidRDefault="002B5E47" w:rsidP="00A35AEF">
            <w:pPr>
              <w:jc w:val="center"/>
              <w:rPr>
                <w:rFonts w:ascii="Calibri" w:hAnsi="Calibri" w:cs="Calibri"/>
                <w:i/>
                <w:iCs/>
                <w:color w:val="000000"/>
                <w:sz w:val="20"/>
                <w:szCs w:val="20"/>
              </w:rPr>
            </w:pPr>
            <w:r>
              <w:rPr>
                <w:rFonts w:ascii="Calibri" w:hAnsi="Calibri" w:cs="Calibri"/>
                <w:i/>
                <w:iCs/>
                <w:color w:val="000000"/>
                <w:sz w:val="20"/>
                <w:szCs w:val="20"/>
              </w:rPr>
              <w:t>3,7%</w:t>
            </w:r>
          </w:p>
        </w:tc>
      </w:tr>
      <w:tr w:rsidR="002B5E47" w14:paraId="17493BA5" w14:textId="77777777" w:rsidTr="008D3100">
        <w:trPr>
          <w:gridAfter w:val="1"/>
          <w:wAfter w:w="152" w:type="dxa"/>
          <w:trHeight w:val="283"/>
        </w:trPr>
        <w:tc>
          <w:tcPr>
            <w:tcW w:w="2057" w:type="dxa"/>
            <w:tcBorders>
              <w:top w:val="nil"/>
              <w:left w:val="nil"/>
              <w:bottom w:val="nil"/>
              <w:right w:val="nil"/>
            </w:tcBorders>
            <w:noWrap/>
            <w:vAlign w:val="center"/>
            <w:hideMark/>
          </w:tcPr>
          <w:p w14:paraId="0365820F" w14:textId="77777777" w:rsidR="002B5E47" w:rsidRDefault="002B5E47" w:rsidP="00A35AEF">
            <w:pPr>
              <w:rPr>
                <w:rFonts w:ascii="Calibri" w:hAnsi="Calibri" w:cs="Calibri"/>
                <w:color w:val="000000"/>
                <w:sz w:val="20"/>
                <w:szCs w:val="20"/>
              </w:rPr>
            </w:pPr>
            <w:r>
              <w:rPr>
                <w:rFonts w:ascii="Calibri" w:hAnsi="Calibri" w:cs="Calibri"/>
                <w:color w:val="000000"/>
                <w:sz w:val="20"/>
                <w:szCs w:val="20"/>
              </w:rPr>
              <w:t>Germania</w:t>
            </w:r>
          </w:p>
        </w:tc>
        <w:tc>
          <w:tcPr>
            <w:tcW w:w="1375" w:type="dxa"/>
            <w:tcBorders>
              <w:top w:val="nil"/>
              <w:left w:val="nil"/>
              <w:bottom w:val="nil"/>
              <w:right w:val="nil"/>
            </w:tcBorders>
            <w:noWrap/>
            <w:vAlign w:val="center"/>
            <w:hideMark/>
          </w:tcPr>
          <w:p w14:paraId="683B23EE" w14:textId="77777777" w:rsidR="002B5E47" w:rsidRDefault="002B5E47" w:rsidP="00234F3A">
            <w:pPr>
              <w:jc w:val="center"/>
              <w:rPr>
                <w:rFonts w:ascii="Calibri" w:hAnsi="Calibri" w:cs="Calibri"/>
                <w:color w:val="000000"/>
                <w:sz w:val="20"/>
                <w:szCs w:val="20"/>
              </w:rPr>
            </w:pPr>
            <w:r>
              <w:rPr>
                <w:rFonts w:ascii="Calibri" w:hAnsi="Calibri" w:cs="Calibri"/>
                <w:color w:val="000000"/>
                <w:sz w:val="20"/>
                <w:szCs w:val="20"/>
              </w:rPr>
              <w:t>50.998.603</w:t>
            </w:r>
          </w:p>
        </w:tc>
        <w:tc>
          <w:tcPr>
            <w:tcW w:w="1375" w:type="dxa"/>
            <w:tcBorders>
              <w:top w:val="nil"/>
              <w:left w:val="nil"/>
              <w:bottom w:val="nil"/>
              <w:right w:val="nil"/>
            </w:tcBorders>
            <w:noWrap/>
            <w:vAlign w:val="center"/>
            <w:hideMark/>
          </w:tcPr>
          <w:p w14:paraId="3FDE614A" w14:textId="77777777" w:rsidR="002B5E47" w:rsidRDefault="002B5E47" w:rsidP="00234F3A">
            <w:pPr>
              <w:jc w:val="center"/>
              <w:rPr>
                <w:rFonts w:ascii="Calibri" w:hAnsi="Calibri" w:cs="Calibri"/>
                <w:color w:val="000000"/>
                <w:sz w:val="20"/>
                <w:szCs w:val="20"/>
              </w:rPr>
            </w:pPr>
            <w:r>
              <w:rPr>
                <w:rFonts w:ascii="Calibri" w:hAnsi="Calibri" w:cs="Calibri"/>
                <w:color w:val="000000"/>
                <w:sz w:val="20"/>
                <w:szCs w:val="20"/>
              </w:rPr>
              <w:t>48.833.651</w:t>
            </w:r>
          </w:p>
        </w:tc>
        <w:tc>
          <w:tcPr>
            <w:tcW w:w="1219" w:type="dxa"/>
            <w:tcBorders>
              <w:top w:val="nil"/>
              <w:left w:val="nil"/>
              <w:bottom w:val="nil"/>
              <w:right w:val="nil"/>
            </w:tcBorders>
            <w:noWrap/>
            <w:vAlign w:val="center"/>
            <w:hideMark/>
          </w:tcPr>
          <w:p w14:paraId="51472913" w14:textId="77777777" w:rsidR="002B5E47" w:rsidRDefault="002B5E47" w:rsidP="00A35AEF">
            <w:pPr>
              <w:jc w:val="center"/>
              <w:rPr>
                <w:rFonts w:ascii="Calibri" w:hAnsi="Calibri" w:cs="Calibri"/>
                <w:color w:val="000000"/>
                <w:sz w:val="20"/>
                <w:szCs w:val="20"/>
              </w:rPr>
            </w:pPr>
            <w:r>
              <w:rPr>
                <w:rFonts w:ascii="Calibri" w:hAnsi="Calibri" w:cs="Calibri"/>
                <w:color w:val="000000"/>
                <w:sz w:val="20"/>
                <w:szCs w:val="20"/>
              </w:rPr>
              <w:t>4,5%</w:t>
            </w:r>
          </w:p>
        </w:tc>
        <w:tc>
          <w:tcPr>
            <w:tcW w:w="1030" w:type="dxa"/>
            <w:tcBorders>
              <w:top w:val="nil"/>
              <w:left w:val="nil"/>
              <w:bottom w:val="nil"/>
              <w:right w:val="nil"/>
            </w:tcBorders>
            <w:noWrap/>
            <w:vAlign w:val="center"/>
            <w:hideMark/>
          </w:tcPr>
          <w:p w14:paraId="31FFABE6" w14:textId="77777777" w:rsidR="002B5E47" w:rsidRDefault="002B5E47" w:rsidP="00A35AEF">
            <w:pPr>
              <w:jc w:val="center"/>
              <w:rPr>
                <w:rFonts w:ascii="Calibri" w:hAnsi="Calibri" w:cs="Calibri"/>
                <w:color w:val="000000"/>
                <w:sz w:val="20"/>
                <w:szCs w:val="20"/>
              </w:rPr>
            </w:pPr>
            <w:r>
              <w:rPr>
                <w:rFonts w:ascii="Calibri" w:hAnsi="Calibri" w:cs="Calibri"/>
                <w:color w:val="000000"/>
                <w:sz w:val="20"/>
                <w:szCs w:val="20"/>
              </w:rPr>
              <w:t>-4,2%</w:t>
            </w:r>
          </w:p>
        </w:tc>
        <w:tc>
          <w:tcPr>
            <w:tcW w:w="1471" w:type="dxa"/>
            <w:gridSpan w:val="2"/>
            <w:tcBorders>
              <w:top w:val="nil"/>
              <w:left w:val="nil"/>
              <w:bottom w:val="nil"/>
              <w:right w:val="nil"/>
            </w:tcBorders>
            <w:noWrap/>
            <w:vAlign w:val="center"/>
            <w:hideMark/>
          </w:tcPr>
          <w:p w14:paraId="387262E8" w14:textId="77777777" w:rsidR="002B5E47" w:rsidRDefault="002B5E47" w:rsidP="00A35AEF">
            <w:pPr>
              <w:jc w:val="center"/>
              <w:rPr>
                <w:rFonts w:ascii="Calibri" w:hAnsi="Calibri" w:cs="Calibri"/>
                <w:i/>
                <w:iCs/>
                <w:color w:val="000000"/>
                <w:sz w:val="20"/>
                <w:szCs w:val="20"/>
              </w:rPr>
            </w:pPr>
            <w:r>
              <w:rPr>
                <w:rFonts w:ascii="Calibri" w:hAnsi="Calibri" w:cs="Calibri"/>
                <w:i/>
                <w:iCs/>
                <w:color w:val="000000"/>
                <w:sz w:val="20"/>
                <w:szCs w:val="20"/>
              </w:rPr>
              <w:t>-0,2%</w:t>
            </w:r>
          </w:p>
        </w:tc>
      </w:tr>
      <w:tr w:rsidR="002B5E47" w14:paraId="29A41856" w14:textId="77777777" w:rsidTr="008D3100">
        <w:trPr>
          <w:gridAfter w:val="1"/>
          <w:wAfter w:w="152" w:type="dxa"/>
          <w:trHeight w:val="283"/>
        </w:trPr>
        <w:tc>
          <w:tcPr>
            <w:tcW w:w="2057" w:type="dxa"/>
            <w:tcBorders>
              <w:top w:val="nil"/>
              <w:left w:val="nil"/>
              <w:bottom w:val="nil"/>
              <w:right w:val="nil"/>
            </w:tcBorders>
            <w:noWrap/>
            <w:vAlign w:val="center"/>
            <w:hideMark/>
          </w:tcPr>
          <w:p w14:paraId="6F81E8DA" w14:textId="77777777" w:rsidR="002B5E47" w:rsidRDefault="002B5E47" w:rsidP="00A35AEF">
            <w:pPr>
              <w:rPr>
                <w:rFonts w:ascii="Calibri" w:hAnsi="Calibri" w:cs="Calibri"/>
                <w:color w:val="000000"/>
                <w:sz w:val="20"/>
                <w:szCs w:val="20"/>
              </w:rPr>
            </w:pPr>
            <w:r>
              <w:rPr>
                <w:rFonts w:ascii="Calibri" w:hAnsi="Calibri" w:cs="Calibri"/>
                <w:color w:val="000000"/>
                <w:sz w:val="20"/>
                <w:szCs w:val="20"/>
              </w:rPr>
              <w:t>Singapore</w:t>
            </w:r>
          </w:p>
        </w:tc>
        <w:tc>
          <w:tcPr>
            <w:tcW w:w="1375" w:type="dxa"/>
            <w:tcBorders>
              <w:top w:val="nil"/>
              <w:left w:val="nil"/>
              <w:bottom w:val="nil"/>
              <w:right w:val="nil"/>
            </w:tcBorders>
            <w:noWrap/>
            <w:vAlign w:val="center"/>
            <w:hideMark/>
          </w:tcPr>
          <w:p w14:paraId="65CEF113" w14:textId="77777777" w:rsidR="002B5E47" w:rsidRDefault="002B5E47" w:rsidP="00234F3A">
            <w:pPr>
              <w:jc w:val="center"/>
              <w:rPr>
                <w:rFonts w:ascii="Calibri" w:hAnsi="Calibri" w:cs="Calibri"/>
                <w:color w:val="000000"/>
                <w:sz w:val="20"/>
                <w:szCs w:val="20"/>
              </w:rPr>
            </w:pPr>
            <w:r>
              <w:rPr>
                <w:rFonts w:ascii="Calibri" w:hAnsi="Calibri" w:cs="Calibri"/>
                <w:color w:val="000000"/>
                <w:sz w:val="20"/>
                <w:szCs w:val="20"/>
              </w:rPr>
              <w:t>5.163.429</w:t>
            </w:r>
          </w:p>
        </w:tc>
        <w:tc>
          <w:tcPr>
            <w:tcW w:w="1375" w:type="dxa"/>
            <w:tcBorders>
              <w:top w:val="nil"/>
              <w:left w:val="nil"/>
              <w:bottom w:val="nil"/>
              <w:right w:val="nil"/>
            </w:tcBorders>
            <w:noWrap/>
            <w:vAlign w:val="center"/>
            <w:hideMark/>
          </w:tcPr>
          <w:p w14:paraId="4F0345BC" w14:textId="77777777" w:rsidR="002B5E47" w:rsidRDefault="002B5E47" w:rsidP="00234F3A">
            <w:pPr>
              <w:jc w:val="center"/>
              <w:rPr>
                <w:rFonts w:ascii="Calibri" w:hAnsi="Calibri" w:cs="Calibri"/>
                <w:color w:val="000000"/>
                <w:sz w:val="20"/>
                <w:szCs w:val="20"/>
              </w:rPr>
            </w:pPr>
            <w:r>
              <w:rPr>
                <w:rFonts w:ascii="Calibri" w:hAnsi="Calibri" w:cs="Calibri"/>
                <w:color w:val="000000"/>
                <w:sz w:val="20"/>
                <w:szCs w:val="20"/>
              </w:rPr>
              <w:t>36.212.420</w:t>
            </w:r>
          </w:p>
        </w:tc>
        <w:tc>
          <w:tcPr>
            <w:tcW w:w="1219" w:type="dxa"/>
            <w:tcBorders>
              <w:top w:val="nil"/>
              <w:left w:val="nil"/>
              <w:bottom w:val="nil"/>
              <w:right w:val="nil"/>
            </w:tcBorders>
            <w:noWrap/>
            <w:vAlign w:val="center"/>
            <w:hideMark/>
          </w:tcPr>
          <w:p w14:paraId="4B972359" w14:textId="77777777" w:rsidR="002B5E47" w:rsidRDefault="002B5E47" w:rsidP="00A35AEF">
            <w:pPr>
              <w:jc w:val="center"/>
              <w:rPr>
                <w:rFonts w:ascii="Calibri" w:hAnsi="Calibri" w:cs="Calibri"/>
                <w:color w:val="000000"/>
                <w:sz w:val="20"/>
                <w:szCs w:val="20"/>
              </w:rPr>
            </w:pPr>
            <w:r>
              <w:rPr>
                <w:rFonts w:ascii="Calibri" w:hAnsi="Calibri" w:cs="Calibri"/>
                <w:color w:val="000000"/>
                <w:sz w:val="20"/>
                <w:szCs w:val="20"/>
              </w:rPr>
              <w:t>3,4%</w:t>
            </w:r>
          </w:p>
        </w:tc>
        <w:tc>
          <w:tcPr>
            <w:tcW w:w="1030" w:type="dxa"/>
            <w:tcBorders>
              <w:top w:val="nil"/>
              <w:left w:val="nil"/>
              <w:bottom w:val="nil"/>
              <w:right w:val="nil"/>
            </w:tcBorders>
            <w:noWrap/>
            <w:vAlign w:val="center"/>
            <w:hideMark/>
          </w:tcPr>
          <w:p w14:paraId="0033F650" w14:textId="77777777" w:rsidR="002B5E47" w:rsidRDefault="002B5E47" w:rsidP="00A35AEF">
            <w:pPr>
              <w:jc w:val="center"/>
              <w:rPr>
                <w:rFonts w:ascii="Calibri" w:hAnsi="Calibri" w:cs="Calibri"/>
                <w:color w:val="000000"/>
                <w:sz w:val="20"/>
                <w:szCs w:val="20"/>
              </w:rPr>
            </w:pPr>
            <w:r>
              <w:rPr>
                <w:rFonts w:ascii="Calibri" w:hAnsi="Calibri" w:cs="Calibri"/>
                <w:color w:val="000000"/>
                <w:sz w:val="20"/>
                <w:szCs w:val="20"/>
              </w:rPr>
              <w:t>601,3%</w:t>
            </w:r>
          </w:p>
        </w:tc>
        <w:tc>
          <w:tcPr>
            <w:tcW w:w="1471" w:type="dxa"/>
            <w:gridSpan w:val="2"/>
            <w:tcBorders>
              <w:top w:val="nil"/>
              <w:left w:val="nil"/>
              <w:bottom w:val="nil"/>
              <w:right w:val="nil"/>
            </w:tcBorders>
            <w:noWrap/>
            <w:vAlign w:val="center"/>
            <w:hideMark/>
          </w:tcPr>
          <w:p w14:paraId="647CFA88" w14:textId="77777777" w:rsidR="002B5E47" w:rsidRDefault="002B5E47" w:rsidP="00A35AEF">
            <w:pPr>
              <w:jc w:val="center"/>
              <w:rPr>
                <w:rFonts w:ascii="Calibri" w:hAnsi="Calibri" w:cs="Calibri"/>
                <w:i/>
                <w:iCs/>
                <w:color w:val="000000"/>
                <w:sz w:val="20"/>
                <w:szCs w:val="20"/>
              </w:rPr>
            </w:pPr>
            <w:r>
              <w:rPr>
                <w:rFonts w:ascii="Calibri" w:hAnsi="Calibri" w:cs="Calibri"/>
                <w:i/>
                <w:iCs/>
                <w:color w:val="000000"/>
                <w:sz w:val="20"/>
                <w:szCs w:val="20"/>
              </w:rPr>
              <w:t>2,7%</w:t>
            </w:r>
          </w:p>
        </w:tc>
      </w:tr>
      <w:tr w:rsidR="002B5E47" w14:paraId="4F9BCAD9" w14:textId="77777777" w:rsidTr="008D3100">
        <w:trPr>
          <w:gridAfter w:val="1"/>
          <w:wAfter w:w="152" w:type="dxa"/>
          <w:trHeight w:val="283"/>
        </w:trPr>
        <w:tc>
          <w:tcPr>
            <w:tcW w:w="2057" w:type="dxa"/>
            <w:tcBorders>
              <w:top w:val="nil"/>
              <w:left w:val="nil"/>
              <w:bottom w:val="nil"/>
              <w:right w:val="nil"/>
            </w:tcBorders>
            <w:noWrap/>
            <w:vAlign w:val="center"/>
            <w:hideMark/>
          </w:tcPr>
          <w:p w14:paraId="174676CF" w14:textId="77777777" w:rsidR="002B5E47" w:rsidRDefault="002B5E47" w:rsidP="00A35AEF">
            <w:pPr>
              <w:rPr>
                <w:rFonts w:ascii="Calibri" w:hAnsi="Calibri" w:cs="Calibri"/>
                <w:color w:val="000000"/>
                <w:sz w:val="20"/>
                <w:szCs w:val="20"/>
              </w:rPr>
            </w:pPr>
            <w:r>
              <w:rPr>
                <w:rFonts w:ascii="Calibri" w:hAnsi="Calibri" w:cs="Calibri"/>
                <w:color w:val="000000"/>
                <w:sz w:val="20"/>
                <w:szCs w:val="20"/>
              </w:rPr>
              <w:t>Francia</w:t>
            </w:r>
          </w:p>
        </w:tc>
        <w:tc>
          <w:tcPr>
            <w:tcW w:w="1375" w:type="dxa"/>
            <w:tcBorders>
              <w:top w:val="nil"/>
              <w:left w:val="nil"/>
              <w:bottom w:val="nil"/>
              <w:right w:val="nil"/>
            </w:tcBorders>
            <w:noWrap/>
            <w:vAlign w:val="center"/>
            <w:hideMark/>
          </w:tcPr>
          <w:p w14:paraId="05489555" w14:textId="77777777" w:rsidR="002B5E47" w:rsidRDefault="002B5E47" w:rsidP="00234F3A">
            <w:pPr>
              <w:jc w:val="center"/>
              <w:rPr>
                <w:rFonts w:ascii="Calibri" w:hAnsi="Calibri" w:cs="Calibri"/>
                <w:color w:val="000000"/>
                <w:sz w:val="20"/>
                <w:szCs w:val="20"/>
              </w:rPr>
            </w:pPr>
            <w:r>
              <w:rPr>
                <w:rFonts w:ascii="Calibri" w:hAnsi="Calibri" w:cs="Calibri"/>
                <w:color w:val="000000"/>
                <w:sz w:val="20"/>
                <w:szCs w:val="20"/>
              </w:rPr>
              <w:t>41.731.172</w:t>
            </w:r>
          </w:p>
        </w:tc>
        <w:tc>
          <w:tcPr>
            <w:tcW w:w="1375" w:type="dxa"/>
            <w:tcBorders>
              <w:top w:val="nil"/>
              <w:left w:val="nil"/>
              <w:bottom w:val="nil"/>
              <w:right w:val="nil"/>
            </w:tcBorders>
            <w:noWrap/>
            <w:vAlign w:val="center"/>
            <w:hideMark/>
          </w:tcPr>
          <w:p w14:paraId="4C957ED9" w14:textId="77777777" w:rsidR="002B5E47" w:rsidRDefault="002B5E47" w:rsidP="00234F3A">
            <w:pPr>
              <w:jc w:val="center"/>
              <w:rPr>
                <w:rFonts w:ascii="Calibri" w:hAnsi="Calibri" w:cs="Calibri"/>
                <w:color w:val="000000"/>
                <w:sz w:val="20"/>
                <w:szCs w:val="20"/>
              </w:rPr>
            </w:pPr>
            <w:r>
              <w:rPr>
                <w:rFonts w:ascii="Calibri" w:hAnsi="Calibri" w:cs="Calibri"/>
                <w:color w:val="000000"/>
                <w:sz w:val="20"/>
                <w:szCs w:val="20"/>
              </w:rPr>
              <w:t>34.541.484</w:t>
            </w:r>
          </w:p>
        </w:tc>
        <w:tc>
          <w:tcPr>
            <w:tcW w:w="1219" w:type="dxa"/>
            <w:tcBorders>
              <w:top w:val="nil"/>
              <w:left w:val="nil"/>
              <w:bottom w:val="nil"/>
              <w:right w:val="nil"/>
            </w:tcBorders>
            <w:noWrap/>
            <w:vAlign w:val="center"/>
            <w:hideMark/>
          </w:tcPr>
          <w:p w14:paraId="1E3021AD" w14:textId="77777777" w:rsidR="002B5E47" w:rsidRDefault="002B5E47" w:rsidP="00A35AEF">
            <w:pPr>
              <w:jc w:val="center"/>
              <w:rPr>
                <w:rFonts w:ascii="Calibri" w:hAnsi="Calibri" w:cs="Calibri"/>
                <w:color w:val="000000"/>
                <w:sz w:val="20"/>
                <w:szCs w:val="20"/>
              </w:rPr>
            </w:pPr>
            <w:r>
              <w:rPr>
                <w:rFonts w:ascii="Calibri" w:hAnsi="Calibri" w:cs="Calibri"/>
                <w:color w:val="000000"/>
                <w:sz w:val="20"/>
                <w:szCs w:val="20"/>
              </w:rPr>
              <w:t>3,2%</w:t>
            </w:r>
          </w:p>
        </w:tc>
        <w:tc>
          <w:tcPr>
            <w:tcW w:w="1030" w:type="dxa"/>
            <w:tcBorders>
              <w:top w:val="nil"/>
              <w:left w:val="nil"/>
              <w:bottom w:val="nil"/>
              <w:right w:val="nil"/>
            </w:tcBorders>
            <w:noWrap/>
            <w:vAlign w:val="center"/>
            <w:hideMark/>
          </w:tcPr>
          <w:p w14:paraId="3788B155" w14:textId="77777777" w:rsidR="002B5E47" w:rsidRDefault="002B5E47" w:rsidP="00A35AEF">
            <w:pPr>
              <w:jc w:val="center"/>
              <w:rPr>
                <w:rFonts w:ascii="Calibri" w:hAnsi="Calibri" w:cs="Calibri"/>
                <w:color w:val="000000"/>
                <w:sz w:val="20"/>
                <w:szCs w:val="20"/>
              </w:rPr>
            </w:pPr>
            <w:r>
              <w:rPr>
                <w:rFonts w:ascii="Calibri" w:hAnsi="Calibri" w:cs="Calibri"/>
                <w:color w:val="000000"/>
                <w:sz w:val="20"/>
                <w:szCs w:val="20"/>
              </w:rPr>
              <w:t>-17,2%</w:t>
            </w:r>
          </w:p>
        </w:tc>
        <w:tc>
          <w:tcPr>
            <w:tcW w:w="1471" w:type="dxa"/>
            <w:gridSpan w:val="2"/>
            <w:tcBorders>
              <w:top w:val="nil"/>
              <w:left w:val="nil"/>
              <w:bottom w:val="nil"/>
              <w:right w:val="nil"/>
            </w:tcBorders>
            <w:noWrap/>
            <w:vAlign w:val="center"/>
            <w:hideMark/>
          </w:tcPr>
          <w:p w14:paraId="1207C84C" w14:textId="77777777" w:rsidR="002B5E47" w:rsidRDefault="002B5E47" w:rsidP="00A35AEF">
            <w:pPr>
              <w:jc w:val="center"/>
              <w:rPr>
                <w:rFonts w:ascii="Calibri" w:hAnsi="Calibri" w:cs="Calibri"/>
                <w:i/>
                <w:iCs/>
                <w:color w:val="000000"/>
                <w:sz w:val="20"/>
                <w:szCs w:val="20"/>
              </w:rPr>
            </w:pPr>
            <w:r>
              <w:rPr>
                <w:rFonts w:ascii="Calibri" w:hAnsi="Calibri" w:cs="Calibri"/>
                <w:i/>
                <w:iCs/>
                <w:color w:val="000000"/>
                <w:sz w:val="20"/>
                <w:szCs w:val="20"/>
              </w:rPr>
              <w:t>-0,6%</w:t>
            </w:r>
          </w:p>
        </w:tc>
      </w:tr>
      <w:tr w:rsidR="002B5E47" w14:paraId="0E980158" w14:textId="77777777" w:rsidTr="008D3100">
        <w:trPr>
          <w:gridAfter w:val="1"/>
          <w:wAfter w:w="152" w:type="dxa"/>
          <w:trHeight w:val="283"/>
        </w:trPr>
        <w:tc>
          <w:tcPr>
            <w:tcW w:w="2057" w:type="dxa"/>
            <w:tcBorders>
              <w:top w:val="nil"/>
              <w:left w:val="nil"/>
              <w:bottom w:val="nil"/>
              <w:right w:val="nil"/>
            </w:tcBorders>
            <w:noWrap/>
            <w:vAlign w:val="center"/>
            <w:hideMark/>
          </w:tcPr>
          <w:p w14:paraId="26C1CC5D" w14:textId="77777777" w:rsidR="002B5E47" w:rsidRDefault="002B5E47" w:rsidP="00A35AEF">
            <w:pPr>
              <w:rPr>
                <w:rFonts w:ascii="Calibri" w:hAnsi="Calibri" w:cs="Calibri"/>
                <w:color w:val="000000"/>
                <w:sz w:val="20"/>
                <w:szCs w:val="20"/>
              </w:rPr>
            </w:pPr>
            <w:r>
              <w:rPr>
                <w:rFonts w:ascii="Calibri" w:hAnsi="Calibri" w:cs="Calibri"/>
                <w:color w:val="000000"/>
                <w:sz w:val="20"/>
                <w:szCs w:val="20"/>
              </w:rPr>
              <w:t>India</w:t>
            </w:r>
          </w:p>
        </w:tc>
        <w:tc>
          <w:tcPr>
            <w:tcW w:w="1375" w:type="dxa"/>
            <w:tcBorders>
              <w:top w:val="nil"/>
              <w:left w:val="nil"/>
              <w:bottom w:val="nil"/>
              <w:right w:val="nil"/>
            </w:tcBorders>
            <w:noWrap/>
            <w:vAlign w:val="center"/>
            <w:hideMark/>
          </w:tcPr>
          <w:p w14:paraId="73C9C3FB" w14:textId="77777777" w:rsidR="002B5E47" w:rsidRDefault="002B5E47" w:rsidP="00234F3A">
            <w:pPr>
              <w:jc w:val="center"/>
              <w:rPr>
                <w:rFonts w:ascii="Calibri" w:hAnsi="Calibri" w:cs="Calibri"/>
                <w:color w:val="000000"/>
                <w:sz w:val="20"/>
                <w:szCs w:val="20"/>
              </w:rPr>
            </w:pPr>
            <w:r>
              <w:rPr>
                <w:rFonts w:ascii="Calibri" w:hAnsi="Calibri" w:cs="Calibri"/>
                <w:color w:val="000000"/>
                <w:sz w:val="20"/>
                <w:szCs w:val="20"/>
              </w:rPr>
              <w:t>16.709.652</w:t>
            </w:r>
          </w:p>
        </w:tc>
        <w:tc>
          <w:tcPr>
            <w:tcW w:w="1375" w:type="dxa"/>
            <w:tcBorders>
              <w:top w:val="nil"/>
              <w:left w:val="nil"/>
              <w:bottom w:val="nil"/>
              <w:right w:val="nil"/>
            </w:tcBorders>
            <w:noWrap/>
            <w:vAlign w:val="center"/>
            <w:hideMark/>
          </w:tcPr>
          <w:p w14:paraId="1E7056DE" w14:textId="77777777" w:rsidR="002B5E47" w:rsidRDefault="002B5E47" w:rsidP="00234F3A">
            <w:pPr>
              <w:jc w:val="center"/>
              <w:rPr>
                <w:rFonts w:ascii="Calibri" w:hAnsi="Calibri" w:cs="Calibri"/>
                <w:color w:val="000000"/>
                <w:sz w:val="20"/>
                <w:szCs w:val="20"/>
              </w:rPr>
            </w:pPr>
            <w:r>
              <w:rPr>
                <w:rFonts w:ascii="Calibri" w:hAnsi="Calibri" w:cs="Calibri"/>
                <w:color w:val="000000"/>
                <w:sz w:val="20"/>
                <w:szCs w:val="20"/>
              </w:rPr>
              <w:t>32.578.025</w:t>
            </w:r>
          </w:p>
        </w:tc>
        <w:tc>
          <w:tcPr>
            <w:tcW w:w="1219" w:type="dxa"/>
            <w:tcBorders>
              <w:top w:val="nil"/>
              <w:left w:val="nil"/>
              <w:bottom w:val="nil"/>
              <w:right w:val="nil"/>
            </w:tcBorders>
            <w:noWrap/>
            <w:vAlign w:val="center"/>
            <w:hideMark/>
          </w:tcPr>
          <w:p w14:paraId="56C13EAA" w14:textId="77777777" w:rsidR="002B5E47" w:rsidRDefault="002B5E47" w:rsidP="00A35AEF">
            <w:pPr>
              <w:jc w:val="center"/>
              <w:rPr>
                <w:rFonts w:ascii="Calibri" w:hAnsi="Calibri" w:cs="Calibri"/>
                <w:color w:val="000000"/>
                <w:sz w:val="20"/>
                <w:szCs w:val="20"/>
              </w:rPr>
            </w:pPr>
            <w:r>
              <w:rPr>
                <w:rFonts w:ascii="Calibri" w:hAnsi="Calibri" w:cs="Calibri"/>
                <w:color w:val="000000"/>
                <w:sz w:val="20"/>
                <w:szCs w:val="20"/>
              </w:rPr>
              <w:t>3,0%</w:t>
            </w:r>
          </w:p>
        </w:tc>
        <w:tc>
          <w:tcPr>
            <w:tcW w:w="1030" w:type="dxa"/>
            <w:tcBorders>
              <w:top w:val="nil"/>
              <w:left w:val="nil"/>
              <w:bottom w:val="nil"/>
              <w:right w:val="nil"/>
            </w:tcBorders>
            <w:noWrap/>
            <w:vAlign w:val="center"/>
            <w:hideMark/>
          </w:tcPr>
          <w:p w14:paraId="4E8DEC8E" w14:textId="77777777" w:rsidR="002B5E47" w:rsidRDefault="002B5E47" w:rsidP="00A35AEF">
            <w:pPr>
              <w:jc w:val="center"/>
              <w:rPr>
                <w:rFonts w:ascii="Calibri" w:hAnsi="Calibri" w:cs="Calibri"/>
                <w:color w:val="000000"/>
                <w:sz w:val="20"/>
                <w:szCs w:val="20"/>
              </w:rPr>
            </w:pPr>
            <w:r>
              <w:rPr>
                <w:rFonts w:ascii="Calibri" w:hAnsi="Calibri" w:cs="Calibri"/>
                <w:color w:val="000000"/>
                <w:sz w:val="20"/>
                <w:szCs w:val="20"/>
              </w:rPr>
              <w:t>95,0%</w:t>
            </w:r>
          </w:p>
        </w:tc>
        <w:tc>
          <w:tcPr>
            <w:tcW w:w="1471" w:type="dxa"/>
            <w:gridSpan w:val="2"/>
            <w:tcBorders>
              <w:top w:val="nil"/>
              <w:left w:val="nil"/>
              <w:bottom w:val="nil"/>
              <w:right w:val="nil"/>
            </w:tcBorders>
            <w:noWrap/>
            <w:vAlign w:val="center"/>
            <w:hideMark/>
          </w:tcPr>
          <w:p w14:paraId="35B8D389" w14:textId="77777777" w:rsidR="002B5E47" w:rsidRDefault="002B5E47" w:rsidP="00A35AEF">
            <w:pPr>
              <w:jc w:val="center"/>
              <w:rPr>
                <w:rFonts w:ascii="Calibri" w:hAnsi="Calibri" w:cs="Calibri"/>
                <w:i/>
                <w:iCs/>
                <w:color w:val="000000"/>
                <w:sz w:val="20"/>
                <w:szCs w:val="20"/>
              </w:rPr>
            </w:pPr>
            <w:r>
              <w:rPr>
                <w:rFonts w:ascii="Calibri" w:hAnsi="Calibri" w:cs="Calibri"/>
                <w:i/>
                <w:iCs/>
                <w:color w:val="000000"/>
                <w:sz w:val="20"/>
                <w:szCs w:val="20"/>
              </w:rPr>
              <w:t>1,4%</w:t>
            </w:r>
          </w:p>
        </w:tc>
      </w:tr>
      <w:tr w:rsidR="002B5E47" w14:paraId="502080A9" w14:textId="77777777" w:rsidTr="008D3100">
        <w:trPr>
          <w:gridAfter w:val="1"/>
          <w:wAfter w:w="152" w:type="dxa"/>
          <w:trHeight w:val="283"/>
        </w:trPr>
        <w:tc>
          <w:tcPr>
            <w:tcW w:w="2057" w:type="dxa"/>
            <w:tcBorders>
              <w:top w:val="nil"/>
              <w:left w:val="nil"/>
              <w:bottom w:val="nil"/>
              <w:right w:val="nil"/>
            </w:tcBorders>
            <w:noWrap/>
            <w:vAlign w:val="center"/>
            <w:hideMark/>
          </w:tcPr>
          <w:p w14:paraId="787846E3" w14:textId="77777777" w:rsidR="002B5E47" w:rsidRDefault="002B5E47" w:rsidP="00A35AEF">
            <w:pPr>
              <w:rPr>
                <w:rFonts w:ascii="Calibri" w:hAnsi="Calibri" w:cs="Calibri"/>
                <w:color w:val="000000"/>
                <w:sz w:val="20"/>
                <w:szCs w:val="20"/>
              </w:rPr>
            </w:pPr>
            <w:r>
              <w:rPr>
                <w:rFonts w:ascii="Calibri" w:hAnsi="Calibri" w:cs="Calibri"/>
                <w:color w:val="000000"/>
                <w:sz w:val="20"/>
                <w:szCs w:val="20"/>
              </w:rPr>
              <w:t>Arabia Saudita</w:t>
            </w:r>
          </w:p>
        </w:tc>
        <w:tc>
          <w:tcPr>
            <w:tcW w:w="1375" w:type="dxa"/>
            <w:tcBorders>
              <w:top w:val="nil"/>
              <w:left w:val="nil"/>
              <w:bottom w:val="nil"/>
              <w:right w:val="nil"/>
            </w:tcBorders>
            <w:noWrap/>
            <w:vAlign w:val="center"/>
            <w:hideMark/>
          </w:tcPr>
          <w:p w14:paraId="39445BF7" w14:textId="77777777" w:rsidR="002B5E47" w:rsidRDefault="002B5E47" w:rsidP="00234F3A">
            <w:pPr>
              <w:jc w:val="center"/>
              <w:rPr>
                <w:rFonts w:ascii="Calibri" w:hAnsi="Calibri" w:cs="Calibri"/>
                <w:color w:val="000000"/>
                <w:sz w:val="20"/>
                <w:szCs w:val="20"/>
              </w:rPr>
            </w:pPr>
            <w:r>
              <w:rPr>
                <w:rFonts w:ascii="Calibri" w:hAnsi="Calibri" w:cs="Calibri"/>
                <w:color w:val="000000"/>
                <w:sz w:val="20"/>
                <w:szCs w:val="20"/>
              </w:rPr>
              <w:t>42.032.060</w:t>
            </w:r>
          </w:p>
        </w:tc>
        <w:tc>
          <w:tcPr>
            <w:tcW w:w="1375" w:type="dxa"/>
            <w:tcBorders>
              <w:top w:val="nil"/>
              <w:left w:val="nil"/>
              <w:bottom w:val="nil"/>
              <w:right w:val="nil"/>
            </w:tcBorders>
            <w:noWrap/>
            <w:vAlign w:val="center"/>
            <w:hideMark/>
          </w:tcPr>
          <w:p w14:paraId="0E88E2FB" w14:textId="77777777" w:rsidR="002B5E47" w:rsidRDefault="002B5E47" w:rsidP="00234F3A">
            <w:pPr>
              <w:jc w:val="center"/>
              <w:rPr>
                <w:rFonts w:ascii="Calibri" w:hAnsi="Calibri" w:cs="Calibri"/>
                <w:color w:val="000000"/>
                <w:sz w:val="20"/>
                <w:szCs w:val="20"/>
              </w:rPr>
            </w:pPr>
            <w:r>
              <w:rPr>
                <w:rFonts w:ascii="Calibri" w:hAnsi="Calibri" w:cs="Calibri"/>
                <w:color w:val="000000"/>
                <w:sz w:val="20"/>
                <w:szCs w:val="20"/>
              </w:rPr>
              <w:t>27.732.892</w:t>
            </w:r>
          </w:p>
        </w:tc>
        <w:tc>
          <w:tcPr>
            <w:tcW w:w="1219" w:type="dxa"/>
            <w:tcBorders>
              <w:top w:val="nil"/>
              <w:left w:val="nil"/>
              <w:bottom w:val="nil"/>
              <w:right w:val="nil"/>
            </w:tcBorders>
            <w:noWrap/>
            <w:vAlign w:val="center"/>
            <w:hideMark/>
          </w:tcPr>
          <w:p w14:paraId="34787F44" w14:textId="77777777" w:rsidR="002B5E47" w:rsidRDefault="002B5E47" w:rsidP="00A35AEF">
            <w:pPr>
              <w:jc w:val="center"/>
              <w:rPr>
                <w:rFonts w:ascii="Calibri" w:hAnsi="Calibri" w:cs="Calibri"/>
                <w:color w:val="000000"/>
                <w:sz w:val="20"/>
                <w:szCs w:val="20"/>
              </w:rPr>
            </w:pPr>
            <w:r>
              <w:rPr>
                <w:rFonts w:ascii="Calibri" w:hAnsi="Calibri" w:cs="Calibri"/>
                <w:color w:val="000000"/>
                <w:sz w:val="20"/>
                <w:szCs w:val="20"/>
              </w:rPr>
              <w:t>2,6%</w:t>
            </w:r>
          </w:p>
        </w:tc>
        <w:tc>
          <w:tcPr>
            <w:tcW w:w="1030" w:type="dxa"/>
            <w:tcBorders>
              <w:top w:val="nil"/>
              <w:left w:val="nil"/>
              <w:bottom w:val="nil"/>
              <w:right w:val="nil"/>
            </w:tcBorders>
            <w:noWrap/>
            <w:vAlign w:val="center"/>
            <w:hideMark/>
          </w:tcPr>
          <w:p w14:paraId="0DB72381" w14:textId="77777777" w:rsidR="002B5E47" w:rsidRDefault="002B5E47" w:rsidP="00A35AEF">
            <w:pPr>
              <w:jc w:val="center"/>
              <w:rPr>
                <w:rFonts w:ascii="Calibri" w:hAnsi="Calibri" w:cs="Calibri"/>
                <w:color w:val="000000"/>
                <w:sz w:val="20"/>
                <w:szCs w:val="20"/>
              </w:rPr>
            </w:pPr>
            <w:r>
              <w:rPr>
                <w:rFonts w:ascii="Calibri" w:hAnsi="Calibri" w:cs="Calibri"/>
                <w:color w:val="000000"/>
                <w:sz w:val="20"/>
                <w:szCs w:val="20"/>
              </w:rPr>
              <w:t>-34,0%</w:t>
            </w:r>
          </w:p>
        </w:tc>
        <w:tc>
          <w:tcPr>
            <w:tcW w:w="1471" w:type="dxa"/>
            <w:gridSpan w:val="2"/>
            <w:tcBorders>
              <w:top w:val="nil"/>
              <w:left w:val="nil"/>
              <w:bottom w:val="nil"/>
              <w:right w:val="nil"/>
            </w:tcBorders>
            <w:noWrap/>
            <w:vAlign w:val="center"/>
            <w:hideMark/>
          </w:tcPr>
          <w:p w14:paraId="45D9D07F" w14:textId="77777777" w:rsidR="002B5E47" w:rsidRDefault="002B5E47" w:rsidP="00A35AEF">
            <w:pPr>
              <w:jc w:val="center"/>
              <w:rPr>
                <w:rFonts w:ascii="Calibri" w:hAnsi="Calibri" w:cs="Calibri"/>
                <w:i/>
                <w:iCs/>
                <w:color w:val="000000"/>
                <w:sz w:val="20"/>
                <w:szCs w:val="20"/>
              </w:rPr>
            </w:pPr>
            <w:r>
              <w:rPr>
                <w:rFonts w:ascii="Calibri" w:hAnsi="Calibri" w:cs="Calibri"/>
                <w:i/>
                <w:iCs/>
                <w:color w:val="000000"/>
                <w:sz w:val="20"/>
                <w:szCs w:val="20"/>
              </w:rPr>
              <w:t>-1,2%</w:t>
            </w:r>
          </w:p>
        </w:tc>
      </w:tr>
      <w:tr w:rsidR="002B5E47" w14:paraId="5D0C7BBB" w14:textId="77777777" w:rsidTr="008D3100">
        <w:trPr>
          <w:gridAfter w:val="1"/>
          <w:wAfter w:w="152" w:type="dxa"/>
          <w:trHeight w:val="283"/>
        </w:trPr>
        <w:tc>
          <w:tcPr>
            <w:tcW w:w="2057" w:type="dxa"/>
            <w:tcBorders>
              <w:top w:val="nil"/>
              <w:left w:val="nil"/>
              <w:bottom w:val="nil"/>
              <w:right w:val="nil"/>
            </w:tcBorders>
            <w:noWrap/>
            <w:vAlign w:val="center"/>
            <w:hideMark/>
          </w:tcPr>
          <w:p w14:paraId="09F4BC26" w14:textId="77777777" w:rsidR="002B5E47" w:rsidRDefault="002B5E47" w:rsidP="00A35AEF">
            <w:pPr>
              <w:rPr>
                <w:rFonts w:ascii="Calibri" w:hAnsi="Calibri" w:cs="Calibri"/>
                <w:color w:val="000000"/>
                <w:sz w:val="20"/>
                <w:szCs w:val="20"/>
              </w:rPr>
            </w:pPr>
            <w:r>
              <w:rPr>
                <w:rFonts w:ascii="Calibri" w:hAnsi="Calibri" w:cs="Calibri"/>
                <w:color w:val="000000"/>
                <w:sz w:val="20"/>
                <w:szCs w:val="20"/>
              </w:rPr>
              <w:t>Spagna</w:t>
            </w:r>
          </w:p>
        </w:tc>
        <w:tc>
          <w:tcPr>
            <w:tcW w:w="1375" w:type="dxa"/>
            <w:tcBorders>
              <w:top w:val="nil"/>
              <w:left w:val="nil"/>
              <w:bottom w:val="nil"/>
              <w:right w:val="nil"/>
            </w:tcBorders>
            <w:noWrap/>
            <w:vAlign w:val="center"/>
            <w:hideMark/>
          </w:tcPr>
          <w:p w14:paraId="0CE2AEBC" w14:textId="77777777" w:rsidR="002B5E47" w:rsidRDefault="002B5E47" w:rsidP="00234F3A">
            <w:pPr>
              <w:jc w:val="center"/>
              <w:rPr>
                <w:rFonts w:ascii="Calibri" w:hAnsi="Calibri" w:cs="Calibri"/>
                <w:color w:val="000000"/>
                <w:sz w:val="20"/>
                <w:szCs w:val="20"/>
              </w:rPr>
            </w:pPr>
            <w:r>
              <w:rPr>
                <w:rFonts w:ascii="Calibri" w:hAnsi="Calibri" w:cs="Calibri"/>
                <w:color w:val="000000"/>
                <w:sz w:val="20"/>
                <w:szCs w:val="20"/>
              </w:rPr>
              <w:t>17.432.375</w:t>
            </w:r>
          </w:p>
        </w:tc>
        <w:tc>
          <w:tcPr>
            <w:tcW w:w="1375" w:type="dxa"/>
            <w:tcBorders>
              <w:top w:val="nil"/>
              <w:left w:val="nil"/>
              <w:bottom w:val="nil"/>
              <w:right w:val="nil"/>
            </w:tcBorders>
            <w:noWrap/>
            <w:vAlign w:val="center"/>
            <w:hideMark/>
          </w:tcPr>
          <w:p w14:paraId="6F562D39" w14:textId="77777777" w:rsidR="002B5E47" w:rsidRDefault="002B5E47" w:rsidP="00234F3A">
            <w:pPr>
              <w:jc w:val="center"/>
              <w:rPr>
                <w:rFonts w:ascii="Calibri" w:hAnsi="Calibri" w:cs="Calibri"/>
                <w:color w:val="000000"/>
                <w:sz w:val="20"/>
                <w:szCs w:val="20"/>
              </w:rPr>
            </w:pPr>
            <w:r>
              <w:rPr>
                <w:rFonts w:ascii="Calibri" w:hAnsi="Calibri" w:cs="Calibri"/>
                <w:color w:val="000000"/>
                <w:sz w:val="20"/>
                <w:szCs w:val="20"/>
              </w:rPr>
              <w:t>20.037.001</w:t>
            </w:r>
          </w:p>
        </w:tc>
        <w:tc>
          <w:tcPr>
            <w:tcW w:w="1219" w:type="dxa"/>
            <w:tcBorders>
              <w:top w:val="nil"/>
              <w:left w:val="nil"/>
              <w:bottom w:val="nil"/>
              <w:right w:val="nil"/>
            </w:tcBorders>
            <w:noWrap/>
            <w:vAlign w:val="center"/>
            <w:hideMark/>
          </w:tcPr>
          <w:p w14:paraId="5811D61F" w14:textId="77777777" w:rsidR="002B5E47" w:rsidRDefault="002B5E47" w:rsidP="00A35AEF">
            <w:pPr>
              <w:jc w:val="center"/>
              <w:rPr>
                <w:rFonts w:ascii="Calibri" w:hAnsi="Calibri" w:cs="Calibri"/>
                <w:color w:val="000000"/>
                <w:sz w:val="20"/>
                <w:szCs w:val="20"/>
              </w:rPr>
            </w:pPr>
            <w:r>
              <w:rPr>
                <w:rFonts w:ascii="Calibri" w:hAnsi="Calibri" w:cs="Calibri"/>
                <w:color w:val="000000"/>
                <w:sz w:val="20"/>
                <w:szCs w:val="20"/>
              </w:rPr>
              <w:t>1,9%</w:t>
            </w:r>
          </w:p>
        </w:tc>
        <w:tc>
          <w:tcPr>
            <w:tcW w:w="1030" w:type="dxa"/>
            <w:tcBorders>
              <w:top w:val="nil"/>
              <w:left w:val="nil"/>
              <w:bottom w:val="nil"/>
              <w:right w:val="nil"/>
            </w:tcBorders>
            <w:noWrap/>
            <w:vAlign w:val="center"/>
            <w:hideMark/>
          </w:tcPr>
          <w:p w14:paraId="3F504B30" w14:textId="77777777" w:rsidR="002B5E47" w:rsidRDefault="002B5E47" w:rsidP="00A35AEF">
            <w:pPr>
              <w:jc w:val="center"/>
              <w:rPr>
                <w:rFonts w:ascii="Calibri" w:hAnsi="Calibri" w:cs="Calibri"/>
                <w:color w:val="000000"/>
                <w:sz w:val="20"/>
                <w:szCs w:val="20"/>
              </w:rPr>
            </w:pPr>
            <w:r>
              <w:rPr>
                <w:rFonts w:ascii="Calibri" w:hAnsi="Calibri" w:cs="Calibri"/>
                <w:color w:val="000000"/>
                <w:sz w:val="20"/>
                <w:szCs w:val="20"/>
              </w:rPr>
              <w:t>14,9%</w:t>
            </w:r>
          </w:p>
        </w:tc>
        <w:tc>
          <w:tcPr>
            <w:tcW w:w="1471" w:type="dxa"/>
            <w:gridSpan w:val="2"/>
            <w:tcBorders>
              <w:top w:val="nil"/>
              <w:left w:val="nil"/>
              <w:bottom w:val="nil"/>
              <w:right w:val="nil"/>
            </w:tcBorders>
            <w:noWrap/>
            <w:vAlign w:val="center"/>
            <w:hideMark/>
          </w:tcPr>
          <w:p w14:paraId="066147CF" w14:textId="77777777" w:rsidR="002B5E47" w:rsidRDefault="002B5E47" w:rsidP="00A35AEF">
            <w:pPr>
              <w:jc w:val="center"/>
              <w:rPr>
                <w:rFonts w:ascii="Calibri" w:hAnsi="Calibri" w:cs="Calibri"/>
                <w:i/>
                <w:iCs/>
                <w:color w:val="000000"/>
                <w:sz w:val="20"/>
                <w:szCs w:val="20"/>
              </w:rPr>
            </w:pPr>
            <w:r>
              <w:rPr>
                <w:rFonts w:ascii="Calibri" w:hAnsi="Calibri" w:cs="Calibri"/>
                <w:i/>
                <w:iCs/>
                <w:color w:val="000000"/>
                <w:sz w:val="20"/>
                <w:szCs w:val="20"/>
              </w:rPr>
              <w:t>0,2%</w:t>
            </w:r>
          </w:p>
        </w:tc>
      </w:tr>
      <w:tr w:rsidR="002B5E47" w14:paraId="4F9BC3BF" w14:textId="77777777" w:rsidTr="008D3100">
        <w:trPr>
          <w:gridAfter w:val="1"/>
          <w:wAfter w:w="152" w:type="dxa"/>
          <w:trHeight w:val="283"/>
        </w:trPr>
        <w:tc>
          <w:tcPr>
            <w:tcW w:w="2057" w:type="dxa"/>
            <w:tcBorders>
              <w:top w:val="nil"/>
              <w:left w:val="nil"/>
              <w:bottom w:val="nil"/>
              <w:right w:val="nil"/>
            </w:tcBorders>
            <w:noWrap/>
            <w:vAlign w:val="center"/>
            <w:hideMark/>
          </w:tcPr>
          <w:p w14:paraId="42F3A33A" w14:textId="77777777" w:rsidR="002B5E47" w:rsidRDefault="002B5E47" w:rsidP="00A35AEF">
            <w:pPr>
              <w:rPr>
                <w:rFonts w:ascii="Calibri" w:hAnsi="Calibri" w:cs="Calibri"/>
                <w:color w:val="000000"/>
                <w:sz w:val="20"/>
                <w:szCs w:val="20"/>
              </w:rPr>
            </w:pPr>
            <w:r>
              <w:rPr>
                <w:rFonts w:ascii="Calibri" w:hAnsi="Calibri" w:cs="Calibri"/>
                <w:color w:val="000000"/>
                <w:sz w:val="20"/>
                <w:szCs w:val="20"/>
              </w:rPr>
              <w:t>Algeria</w:t>
            </w:r>
          </w:p>
        </w:tc>
        <w:tc>
          <w:tcPr>
            <w:tcW w:w="1375" w:type="dxa"/>
            <w:tcBorders>
              <w:top w:val="nil"/>
              <w:left w:val="nil"/>
              <w:bottom w:val="nil"/>
              <w:right w:val="nil"/>
            </w:tcBorders>
            <w:noWrap/>
            <w:vAlign w:val="center"/>
            <w:hideMark/>
          </w:tcPr>
          <w:p w14:paraId="17C9D04C" w14:textId="77777777" w:rsidR="002B5E47" w:rsidRDefault="002B5E47" w:rsidP="00234F3A">
            <w:pPr>
              <w:jc w:val="center"/>
              <w:rPr>
                <w:rFonts w:ascii="Calibri" w:hAnsi="Calibri" w:cs="Calibri"/>
                <w:color w:val="000000"/>
                <w:sz w:val="20"/>
                <w:szCs w:val="20"/>
              </w:rPr>
            </w:pPr>
            <w:r>
              <w:rPr>
                <w:rFonts w:ascii="Calibri" w:hAnsi="Calibri" w:cs="Calibri"/>
                <w:color w:val="000000"/>
                <w:sz w:val="20"/>
                <w:szCs w:val="20"/>
              </w:rPr>
              <w:t>26.330.521</w:t>
            </w:r>
          </w:p>
        </w:tc>
        <w:tc>
          <w:tcPr>
            <w:tcW w:w="1375" w:type="dxa"/>
            <w:tcBorders>
              <w:top w:val="nil"/>
              <w:left w:val="nil"/>
              <w:bottom w:val="nil"/>
              <w:right w:val="nil"/>
            </w:tcBorders>
            <w:noWrap/>
            <w:vAlign w:val="center"/>
            <w:hideMark/>
          </w:tcPr>
          <w:p w14:paraId="3448C07D" w14:textId="77777777" w:rsidR="002B5E47" w:rsidRDefault="002B5E47" w:rsidP="00234F3A">
            <w:pPr>
              <w:jc w:val="center"/>
              <w:rPr>
                <w:rFonts w:ascii="Calibri" w:hAnsi="Calibri" w:cs="Calibri"/>
                <w:color w:val="000000"/>
                <w:sz w:val="20"/>
                <w:szCs w:val="20"/>
              </w:rPr>
            </w:pPr>
            <w:r>
              <w:rPr>
                <w:rFonts w:ascii="Calibri" w:hAnsi="Calibri" w:cs="Calibri"/>
                <w:color w:val="000000"/>
                <w:sz w:val="20"/>
                <w:szCs w:val="20"/>
              </w:rPr>
              <w:t>19.106.961</w:t>
            </w:r>
          </w:p>
        </w:tc>
        <w:tc>
          <w:tcPr>
            <w:tcW w:w="1219" w:type="dxa"/>
            <w:tcBorders>
              <w:top w:val="nil"/>
              <w:left w:val="nil"/>
              <w:bottom w:val="nil"/>
              <w:right w:val="nil"/>
            </w:tcBorders>
            <w:noWrap/>
            <w:vAlign w:val="center"/>
            <w:hideMark/>
          </w:tcPr>
          <w:p w14:paraId="660D3CD2" w14:textId="77777777" w:rsidR="002B5E47" w:rsidRDefault="002B5E47" w:rsidP="00A35AEF">
            <w:pPr>
              <w:jc w:val="center"/>
              <w:rPr>
                <w:rFonts w:ascii="Calibri" w:hAnsi="Calibri" w:cs="Calibri"/>
                <w:color w:val="000000"/>
                <w:sz w:val="20"/>
                <w:szCs w:val="20"/>
              </w:rPr>
            </w:pPr>
            <w:r>
              <w:rPr>
                <w:rFonts w:ascii="Calibri" w:hAnsi="Calibri" w:cs="Calibri"/>
                <w:color w:val="000000"/>
                <w:sz w:val="20"/>
                <w:szCs w:val="20"/>
              </w:rPr>
              <w:t>1,8%</w:t>
            </w:r>
          </w:p>
        </w:tc>
        <w:tc>
          <w:tcPr>
            <w:tcW w:w="1030" w:type="dxa"/>
            <w:tcBorders>
              <w:top w:val="nil"/>
              <w:left w:val="nil"/>
              <w:bottom w:val="nil"/>
              <w:right w:val="nil"/>
            </w:tcBorders>
            <w:noWrap/>
            <w:vAlign w:val="center"/>
            <w:hideMark/>
          </w:tcPr>
          <w:p w14:paraId="24E33416" w14:textId="77777777" w:rsidR="002B5E47" w:rsidRDefault="002B5E47" w:rsidP="00A35AEF">
            <w:pPr>
              <w:jc w:val="center"/>
              <w:rPr>
                <w:rFonts w:ascii="Calibri" w:hAnsi="Calibri" w:cs="Calibri"/>
                <w:color w:val="000000"/>
                <w:sz w:val="20"/>
                <w:szCs w:val="20"/>
              </w:rPr>
            </w:pPr>
            <w:r>
              <w:rPr>
                <w:rFonts w:ascii="Calibri" w:hAnsi="Calibri" w:cs="Calibri"/>
                <w:color w:val="000000"/>
                <w:sz w:val="20"/>
                <w:szCs w:val="20"/>
              </w:rPr>
              <w:t>-27,4%</w:t>
            </w:r>
          </w:p>
        </w:tc>
        <w:tc>
          <w:tcPr>
            <w:tcW w:w="1471" w:type="dxa"/>
            <w:gridSpan w:val="2"/>
            <w:tcBorders>
              <w:top w:val="nil"/>
              <w:left w:val="nil"/>
              <w:bottom w:val="nil"/>
              <w:right w:val="nil"/>
            </w:tcBorders>
            <w:noWrap/>
            <w:vAlign w:val="center"/>
            <w:hideMark/>
          </w:tcPr>
          <w:p w14:paraId="3B51E3C5" w14:textId="77777777" w:rsidR="002B5E47" w:rsidRDefault="002B5E47" w:rsidP="00A35AEF">
            <w:pPr>
              <w:jc w:val="center"/>
              <w:rPr>
                <w:rFonts w:ascii="Calibri" w:hAnsi="Calibri" w:cs="Calibri"/>
                <w:i/>
                <w:iCs/>
                <w:color w:val="000000"/>
                <w:sz w:val="20"/>
                <w:szCs w:val="20"/>
              </w:rPr>
            </w:pPr>
            <w:r>
              <w:rPr>
                <w:rFonts w:ascii="Calibri" w:hAnsi="Calibri" w:cs="Calibri"/>
                <w:i/>
                <w:iCs/>
                <w:color w:val="000000"/>
                <w:sz w:val="20"/>
                <w:szCs w:val="20"/>
              </w:rPr>
              <w:t>-0,6%</w:t>
            </w:r>
          </w:p>
        </w:tc>
      </w:tr>
      <w:tr w:rsidR="002B5E47" w14:paraId="52A3AA15" w14:textId="77777777" w:rsidTr="008D3100">
        <w:trPr>
          <w:gridAfter w:val="1"/>
          <w:wAfter w:w="152" w:type="dxa"/>
          <w:trHeight w:val="283"/>
        </w:trPr>
        <w:tc>
          <w:tcPr>
            <w:tcW w:w="2057" w:type="dxa"/>
            <w:tcBorders>
              <w:top w:val="nil"/>
              <w:left w:val="nil"/>
              <w:bottom w:val="nil"/>
              <w:right w:val="nil"/>
            </w:tcBorders>
            <w:noWrap/>
            <w:vAlign w:val="center"/>
            <w:hideMark/>
          </w:tcPr>
          <w:p w14:paraId="25B165A8" w14:textId="77777777" w:rsidR="002B5E47" w:rsidRDefault="002B5E47" w:rsidP="00A35AEF">
            <w:pPr>
              <w:rPr>
                <w:rFonts w:ascii="Calibri" w:hAnsi="Calibri" w:cs="Calibri"/>
                <w:color w:val="000000"/>
                <w:sz w:val="20"/>
                <w:szCs w:val="20"/>
              </w:rPr>
            </w:pPr>
            <w:r>
              <w:rPr>
                <w:rFonts w:ascii="Calibri" w:hAnsi="Calibri" w:cs="Calibri"/>
                <w:color w:val="000000"/>
                <w:sz w:val="20"/>
                <w:szCs w:val="20"/>
              </w:rPr>
              <w:t>Brasile</w:t>
            </w:r>
          </w:p>
        </w:tc>
        <w:tc>
          <w:tcPr>
            <w:tcW w:w="1375" w:type="dxa"/>
            <w:tcBorders>
              <w:top w:val="nil"/>
              <w:left w:val="nil"/>
              <w:bottom w:val="nil"/>
              <w:right w:val="nil"/>
            </w:tcBorders>
            <w:noWrap/>
            <w:vAlign w:val="center"/>
            <w:hideMark/>
          </w:tcPr>
          <w:p w14:paraId="2195ADC2" w14:textId="77777777" w:rsidR="002B5E47" w:rsidRDefault="002B5E47" w:rsidP="00234F3A">
            <w:pPr>
              <w:jc w:val="center"/>
              <w:rPr>
                <w:rFonts w:ascii="Calibri" w:hAnsi="Calibri" w:cs="Calibri"/>
                <w:color w:val="000000"/>
                <w:sz w:val="20"/>
                <w:szCs w:val="20"/>
              </w:rPr>
            </w:pPr>
            <w:r>
              <w:rPr>
                <w:rFonts w:ascii="Calibri" w:hAnsi="Calibri" w:cs="Calibri"/>
                <w:color w:val="000000"/>
                <w:sz w:val="20"/>
                <w:szCs w:val="20"/>
              </w:rPr>
              <w:t>7.091.620</w:t>
            </w:r>
          </w:p>
        </w:tc>
        <w:tc>
          <w:tcPr>
            <w:tcW w:w="1375" w:type="dxa"/>
            <w:tcBorders>
              <w:top w:val="nil"/>
              <w:left w:val="nil"/>
              <w:bottom w:val="nil"/>
              <w:right w:val="nil"/>
            </w:tcBorders>
            <w:noWrap/>
            <w:vAlign w:val="center"/>
            <w:hideMark/>
          </w:tcPr>
          <w:p w14:paraId="0637A925" w14:textId="77777777" w:rsidR="002B5E47" w:rsidRDefault="002B5E47" w:rsidP="00234F3A">
            <w:pPr>
              <w:jc w:val="center"/>
              <w:rPr>
                <w:rFonts w:ascii="Calibri" w:hAnsi="Calibri" w:cs="Calibri"/>
                <w:color w:val="000000"/>
                <w:sz w:val="20"/>
                <w:szCs w:val="20"/>
              </w:rPr>
            </w:pPr>
            <w:r>
              <w:rPr>
                <w:rFonts w:ascii="Calibri" w:hAnsi="Calibri" w:cs="Calibri"/>
                <w:color w:val="000000"/>
                <w:sz w:val="20"/>
                <w:szCs w:val="20"/>
              </w:rPr>
              <w:t>18.268.258</w:t>
            </w:r>
          </w:p>
        </w:tc>
        <w:tc>
          <w:tcPr>
            <w:tcW w:w="1219" w:type="dxa"/>
            <w:tcBorders>
              <w:top w:val="nil"/>
              <w:left w:val="nil"/>
              <w:bottom w:val="nil"/>
              <w:right w:val="nil"/>
            </w:tcBorders>
            <w:noWrap/>
            <w:vAlign w:val="center"/>
            <w:hideMark/>
          </w:tcPr>
          <w:p w14:paraId="2060B6BA" w14:textId="77777777" w:rsidR="002B5E47" w:rsidRDefault="002B5E47" w:rsidP="00A35AEF">
            <w:pPr>
              <w:jc w:val="center"/>
              <w:rPr>
                <w:rFonts w:ascii="Calibri" w:hAnsi="Calibri" w:cs="Calibri"/>
                <w:color w:val="000000"/>
                <w:sz w:val="20"/>
                <w:szCs w:val="20"/>
              </w:rPr>
            </w:pPr>
            <w:r>
              <w:rPr>
                <w:rFonts w:ascii="Calibri" w:hAnsi="Calibri" w:cs="Calibri"/>
                <w:color w:val="000000"/>
                <w:sz w:val="20"/>
                <w:szCs w:val="20"/>
              </w:rPr>
              <w:t>1,7%</w:t>
            </w:r>
          </w:p>
        </w:tc>
        <w:tc>
          <w:tcPr>
            <w:tcW w:w="1030" w:type="dxa"/>
            <w:tcBorders>
              <w:top w:val="nil"/>
              <w:left w:val="nil"/>
              <w:bottom w:val="nil"/>
              <w:right w:val="nil"/>
            </w:tcBorders>
            <w:noWrap/>
            <w:vAlign w:val="center"/>
            <w:hideMark/>
          </w:tcPr>
          <w:p w14:paraId="394EBF95" w14:textId="77777777" w:rsidR="002B5E47" w:rsidRDefault="002B5E47" w:rsidP="00A35AEF">
            <w:pPr>
              <w:jc w:val="center"/>
              <w:rPr>
                <w:rFonts w:ascii="Calibri" w:hAnsi="Calibri" w:cs="Calibri"/>
                <w:color w:val="000000"/>
                <w:sz w:val="20"/>
                <w:szCs w:val="20"/>
              </w:rPr>
            </w:pPr>
            <w:r>
              <w:rPr>
                <w:rFonts w:ascii="Calibri" w:hAnsi="Calibri" w:cs="Calibri"/>
                <w:color w:val="000000"/>
                <w:sz w:val="20"/>
                <w:szCs w:val="20"/>
              </w:rPr>
              <w:t>157,6%</w:t>
            </w:r>
          </w:p>
        </w:tc>
        <w:tc>
          <w:tcPr>
            <w:tcW w:w="1471" w:type="dxa"/>
            <w:gridSpan w:val="2"/>
            <w:tcBorders>
              <w:top w:val="nil"/>
              <w:left w:val="nil"/>
              <w:bottom w:val="nil"/>
              <w:right w:val="nil"/>
            </w:tcBorders>
            <w:noWrap/>
            <w:vAlign w:val="center"/>
            <w:hideMark/>
          </w:tcPr>
          <w:p w14:paraId="1D1891F2" w14:textId="77777777" w:rsidR="002B5E47" w:rsidRDefault="002B5E47" w:rsidP="00A35AEF">
            <w:pPr>
              <w:jc w:val="center"/>
              <w:rPr>
                <w:rFonts w:ascii="Calibri" w:hAnsi="Calibri" w:cs="Calibri"/>
                <w:i/>
                <w:iCs/>
                <w:color w:val="000000"/>
                <w:sz w:val="20"/>
                <w:szCs w:val="20"/>
              </w:rPr>
            </w:pPr>
            <w:r>
              <w:rPr>
                <w:rFonts w:ascii="Calibri" w:hAnsi="Calibri" w:cs="Calibri"/>
                <w:i/>
                <w:iCs/>
                <w:color w:val="000000"/>
                <w:sz w:val="20"/>
                <w:szCs w:val="20"/>
              </w:rPr>
              <w:t>1,0%</w:t>
            </w:r>
          </w:p>
        </w:tc>
      </w:tr>
      <w:tr w:rsidR="002B5E47" w14:paraId="265FB323" w14:textId="77777777" w:rsidTr="008D3100">
        <w:trPr>
          <w:gridAfter w:val="1"/>
          <w:wAfter w:w="152" w:type="dxa"/>
          <w:trHeight w:val="283"/>
        </w:trPr>
        <w:tc>
          <w:tcPr>
            <w:tcW w:w="2057" w:type="dxa"/>
            <w:tcBorders>
              <w:top w:val="nil"/>
              <w:left w:val="nil"/>
              <w:bottom w:val="nil"/>
              <w:right w:val="nil"/>
            </w:tcBorders>
            <w:noWrap/>
            <w:vAlign w:val="center"/>
            <w:hideMark/>
          </w:tcPr>
          <w:p w14:paraId="6BC0D82B" w14:textId="77777777" w:rsidR="002B5E47" w:rsidRDefault="002B5E47" w:rsidP="00A35AEF">
            <w:pPr>
              <w:rPr>
                <w:rFonts w:ascii="Calibri" w:hAnsi="Calibri" w:cs="Calibri"/>
                <w:color w:val="000000"/>
                <w:sz w:val="20"/>
                <w:szCs w:val="20"/>
              </w:rPr>
            </w:pPr>
            <w:r>
              <w:rPr>
                <w:rFonts w:ascii="Calibri" w:hAnsi="Calibri" w:cs="Calibri"/>
                <w:color w:val="000000"/>
                <w:sz w:val="20"/>
                <w:szCs w:val="20"/>
              </w:rPr>
              <w:t>Australia</w:t>
            </w:r>
          </w:p>
        </w:tc>
        <w:tc>
          <w:tcPr>
            <w:tcW w:w="1375" w:type="dxa"/>
            <w:tcBorders>
              <w:top w:val="nil"/>
              <w:left w:val="nil"/>
              <w:bottom w:val="nil"/>
              <w:right w:val="nil"/>
            </w:tcBorders>
            <w:noWrap/>
            <w:vAlign w:val="center"/>
            <w:hideMark/>
          </w:tcPr>
          <w:p w14:paraId="6031E314" w14:textId="77777777" w:rsidR="002B5E47" w:rsidRDefault="002B5E47" w:rsidP="00234F3A">
            <w:pPr>
              <w:jc w:val="center"/>
              <w:rPr>
                <w:rFonts w:ascii="Calibri" w:hAnsi="Calibri" w:cs="Calibri"/>
                <w:color w:val="000000"/>
                <w:sz w:val="20"/>
                <w:szCs w:val="20"/>
              </w:rPr>
            </w:pPr>
            <w:r>
              <w:rPr>
                <w:rFonts w:ascii="Calibri" w:hAnsi="Calibri" w:cs="Calibri"/>
                <w:color w:val="000000"/>
                <w:sz w:val="20"/>
                <w:szCs w:val="20"/>
              </w:rPr>
              <w:t>25.425.730</w:t>
            </w:r>
          </w:p>
        </w:tc>
        <w:tc>
          <w:tcPr>
            <w:tcW w:w="1375" w:type="dxa"/>
            <w:tcBorders>
              <w:top w:val="nil"/>
              <w:left w:val="nil"/>
              <w:bottom w:val="nil"/>
              <w:right w:val="nil"/>
            </w:tcBorders>
            <w:noWrap/>
            <w:vAlign w:val="center"/>
            <w:hideMark/>
          </w:tcPr>
          <w:p w14:paraId="74E16109" w14:textId="77777777" w:rsidR="002B5E47" w:rsidRDefault="002B5E47" w:rsidP="00234F3A">
            <w:pPr>
              <w:jc w:val="center"/>
              <w:rPr>
                <w:rFonts w:ascii="Calibri" w:hAnsi="Calibri" w:cs="Calibri"/>
                <w:color w:val="000000"/>
                <w:sz w:val="20"/>
                <w:szCs w:val="20"/>
              </w:rPr>
            </w:pPr>
            <w:r>
              <w:rPr>
                <w:rFonts w:ascii="Calibri" w:hAnsi="Calibri" w:cs="Calibri"/>
                <w:color w:val="000000"/>
                <w:sz w:val="20"/>
                <w:szCs w:val="20"/>
              </w:rPr>
              <w:t>18.245.762</w:t>
            </w:r>
          </w:p>
        </w:tc>
        <w:tc>
          <w:tcPr>
            <w:tcW w:w="1219" w:type="dxa"/>
            <w:tcBorders>
              <w:top w:val="nil"/>
              <w:left w:val="nil"/>
              <w:bottom w:val="nil"/>
              <w:right w:val="nil"/>
            </w:tcBorders>
            <w:noWrap/>
            <w:vAlign w:val="center"/>
            <w:hideMark/>
          </w:tcPr>
          <w:p w14:paraId="05549042" w14:textId="77777777" w:rsidR="002B5E47" w:rsidRDefault="002B5E47" w:rsidP="00A35AEF">
            <w:pPr>
              <w:jc w:val="center"/>
              <w:rPr>
                <w:rFonts w:ascii="Calibri" w:hAnsi="Calibri" w:cs="Calibri"/>
                <w:color w:val="000000"/>
                <w:sz w:val="20"/>
                <w:szCs w:val="20"/>
              </w:rPr>
            </w:pPr>
            <w:r>
              <w:rPr>
                <w:rFonts w:ascii="Calibri" w:hAnsi="Calibri" w:cs="Calibri"/>
                <w:color w:val="000000"/>
                <w:sz w:val="20"/>
                <w:szCs w:val="20"/>
              </w:rPr>
              <w:t>1,7%</w:t>
            </w:r>
          </w:p>
        </w:tc>
        <w:tc>
          <w:tcPr>
            <w:tcW w:w="1030" w:type="dxa"/>
            <w:tcBorders>
              <w:top w:val="nil"/>
              <w:left w:val="nil"/>
              <w:bottom w:val="nil"/>
              <w:right w:val="nil"/>
            </w:tcBorders>
            <w:noWrap/>
            <w:vAlign w:val="center"/>
            <w:hideMark/>
          </w:tcPr>
          <w:p w14:paraId="182EDC5E" w14:textId="77777777" w:rsidR="002B5E47" w:rsidRDefault="002B5E47" w:rsidP="00A35AEF">
            <w:pPr>
              <w:jc w:val="center"/>
              <w:rPr>
                <w:rFonts w:ascii="Calibri" w:hAnsi="Calibri" w:cs="Calibri"/>
                <w:color w:val="000000"/>
                <w:sz w:val="20"/>
                <w:szCs w:val="20"/>
              </w:rPr>
            </w:pPr>
            <w:r>
              <w:rPr>
                <w:rFonts w:ascii="Calibri" w:hAnsi="Calibri" w:cs="Calibri"/>
                <w:color w:val="000000"/>
                <w:sz w:val="20"/>
                <w:szCs w:val="20"/>
              </w:rPr>
              <w:t>-28,2%</w:t>
            </w:r>
          </w:p>
        </w:tc>
        <w:tc>
          <w:tcPr>
            <w:tcW w:w="1471" w:type="dxa"/>
            <w:gridSpan w:val="2"/>
            <w:tcBorders>
              <w:top w:val="nil"/>
              <w:left w:val="nil"/>
              <w:bottom w:val="nil"/>
              <w:right w:val="nil"/>
            </w:tcBorders>
            <w:noWrap/>
            <w:vAlign w:val="center"/>
            <w:hideMark/>
          </w:tcPr>
          <w:p w14:paraId="58C8B1F4" w14:textId="77777777" w:rsidR="002B5E47" w:rsidRDefault="002B5E47" w:rsidP="00A35AEF">
            <w:pPr>
              <w:jc w:val="center"/>
              <w:rPr>
                <w:rFonts w:ascii="Calibri" w:hAnsi="Calibri" w:cs="Calibri"/>
                <w:i/>
                <w:iCs/>
                <w:color w:val="000000"/>
                <w:sz w:val="20"/>
                <w:szCs w:val="20"/>
              </w:rPr>
            </w:pPr>
            <w:r>
              <w:rPr>
                <w:rFonts w:ascii="Calibri" w:hAnsi="Calibri" w:cs="Calibri"/>
                <w:i/>
                <w:iCs/>
                <w:color w:val="000000"/>
                <w:sz w:val="20"/>
                <w:szCs w:val="20"/>
              </w:rPr>
              <w:t>-0,6%</w:t>
            </w:r>
          </w:p>
        </w:tc>
      </w:tr>
      <w:tr w:rsidR="002B5E47" w14:paraId="7EF4A25C" w14:textId="77777777" w:rsidTr="008D3100">
        <w:trPr>
          <w:gridAfter w:val="1"/>
          <w:wAfter w:w="152" w:type="dxa"/>
          <w:trHeight w:val="283"/>
        </w:trPr>
        <w:tc>
          <w:tcPr>
            <w:tcW w:w="2057" w:type="dxa"/>
            <w:tcBorders>
              <w:top w:val="nil"/>
              <w:left w:val="nil"/>
              <w:bottom w:val="nil"/>
              <w:right w:val="nil"/>
            </w:tcBorders>
            <w:noWrap/>
            <w:vAlign w:val="center"/>
            <w:hideMark/>
          </w:tcPr>
          <w:p w14:paraId="406802DB" w14:textId="77777777" w:rsidR="002B5E47" w:rsidRDefault="002B5E47" w:rsidP="00A35AEF">
            <w:pPr>
              <w:rPr>
                <w:rFonts w:ascii="Calibri" w:hAnsi="Calibri" w:cs="Calibri"/>
                <w:sz w:val="20"/>
                <w:szCs w:val="20"/>
              </w:rPr>
            </w:pPr>
            <w:r>
              <w:rPr>
                <w:rFonts w:ascii="Calibri" w:hAnsi="Calibri" w:cs="Calibri"/>
                <w:sz w:val="20"/>
                <w:szCs w:val="20"/>
              </w:rPr>
              <w:t>Altro</w:t>
            </w:r>
          </w:p>
        </w:tc>
        <w:tc>
          <w:tcPr>
            <w:tcW w:w="1375" w:type="dxa"/>
            <w:tcBorders>
              <w:top w:val="nil"/>
              <w:left w:val="nil"/>
              <w:bottom w:val="nil"/>
              <w:right w:val="nil"/>
            </w:tcBorders>
            <w:noWrap/>
            <w:vAlign w:val="center"/>
            <w:hideMark/>
          </w:tcPr>
          <w:p w14:paraId="71426DC9" w14:textId="77777777" w:rsidR="002B5E47" w:rsidRDefault="002B5E47" w:rsidP="00234F3A">
            <w:pPr>
              <w:jc w:val="center"/>
              <w:rPr>
                <w:rFonts w:ascii="Calibri" w:hAnsi="Calibri" w:cs="Calibri"/>
                <w:sz w:val="20"/>
                <w:szCs w:val="20"/>
              </w:rPr>
            </w:pPr>
            <w:r>
              <w:rPr>
                <w:rFonts w:ascii="Calibri" w:hAnsi="Calibri" w:cs="Calibri"/>
                <w:sz w:val="20"/>
                <w:szCs w:val="20"/>
              </w:rPr>
              <w:t>280.723.299</w:t>
            </w:r>
          </w:p>
        </w:tc>
        <w:tc>
          <w:tcPr>
            <w:tcW w:w="1375" w:type="dxa"/>
            <w:tcBorders>
              <w:top w:val="nil"/>
              <w:left w:val="nil"/>
              <w:bottom w:val="nil"/>
              <w:right w:val="nil"/>
            </w:tcBorders>
            <w:noWrap/>
            <w:vAlign w:val="center"/>
            <w:hideMark/>
          </w:tcPr>
          <w:p w14:paraId="1C7ABD3F" w14:textId="77777777" w:rsidR="002B5E47" w:rsidRDefault="002B5E47" w:rsidP="00234F3A">
            <w:pPr>
              <w:jc w:val="center"/>
              <w:rPr>
                <w:rFonts w:ascii="Calibri" w:hAnsi="Calibri" w:cs="Calibri"/>
                <w:sz w:val="20"/>
                <w:szCs w:val="20"/>
              </w:rPr>
            </w:pPr>
            <w:r>
              <w:rPr>
                <w:rFonts w:ascii="Calibri" w:hAnsi="Calibri" w:cs="Calibri"/>
                <w:sz w:val="20"/>
                <w:szCs w:val="20"/>
              </w:rPr>
              <w:t>243.328.820</w:t>
            </w:r>
          </w:p>
        </w:tc>
        <w:tc>
          <w:tcPr>
            <w:tcW w:w="1219" w:type="dxa"/>
            <w:tcBorders>
              <w:top w:val="nil"/>
              <w:left w:val="nil"/>
              <w:bottom w:val="nil"/>
              <w:right w:val="nil"/>
            </w:tcBorders>
            <w:noWrap/>
            <w:vAlign w:val="center"/>
            <w:hideMark/>
          </w:tcPr>
          <w:p w14:paraId="2BBACBDE" w14:textId="77777777" w:rsidR="002B5E47" w:rsidRDefault="002B5E47" w:rsidP="00A35AEF">
            <w:pPr>
              <w:jc w:val="center"/>
              <w:rPr>
                <w:rFonts w:ascii="Calibri" w:hAnsi="Calibri" w:cs="Calibri"/>
                <w:sz w:val="20"/>
                <w:szCs w:val="20"/>
              </w:rPr>
            </w:pPr>
            <w:r>
              <w:rPr>
                <w:rFonts w:ascii="Calibri" w:hAnsi="Calibri" w:cs="Calibri"/>
                <w:sz w:val="20"/>
                <w:szCs w:val="20"/>
              </w:rPr>
              <w:t>22,5%</w:t>
            </w:r>
          </w:p>
        </w:tc>
        <w:tc>
          <w:tcPr>
            <w:tcW w:w="1030" w:type="dxa"/>
            <w:tcBorders>
              <w:top w:val="nil"/>
              <w:left w:val="nil"/>
              <w:bottom w:val="nil"/>
              <w:right w:val="nil"/>
            </w:tcBorders>
            <w:noWrap/>
            <w:vAlign w:val="center"/>
            <w:hideMark/>
          </w:tcPr>
          <w:p w14:paraId="382BBD0B" w14:textId="77777777" w:rsidR="002B5E47" w:rsidRDefault="002B5E47" w:rsidP="00A35AEF">
            <w:pPr>
              <w:jc w:val="center"/>
              <w:rPr>
                <w:rFonts w:ascii="Calibri" w:hAnsi="Calibri" w:cs="Calibri"/>
                <w:sz w:val="20"/>
                <w:szCs w:val="20"/>
              </w:rPr>
            </w:pPr>
            <w:r>
              <w:rPr>
                <w:rFonts w:ascii="Calibri" w:hAnsi="Calibri" w:cs="Calibri"/>
                <w:sz w:val="20"/>
                <w:szCs w:val="20"/>
              </w:rPr>
              <w:t>-13,3%</w:t>
            </w:r>
          </w:p>
        </w:tc>
        <w:tc>
          <w:tcPr>
            <w:tcW w:w="1471" w:type="dxa"/>
            <w:gridSpan w:val="2"/>
            <w:tcBorders>
              <w:top w:val="nil"/>
              <w:left w:val="nil"/>
              <w:bottom w:val="nil"/>
              <w:right w:val="nil"/>
            </w:tcBorders>
            <w:noWrap/>
            <w:vAlign w:val="center"/>
            <w:hideMark/>
          </w:tcPr>
          <w:p w14:paraId="01002E16" w14:textId="77777777" w:rsidR="002B5E47" w:rsidRDefault="002B5E47" w:rsidP="00A35AEF">
            <w:pPr>
              <w:jc w:val="center"/>
              <w:rPr>
                <w:rFonts w:ascii="Calibri" w:hAnsi="Calibri" w:cs="Calibri"/>
                <w:i/>
                <w:iCs/>
                <w:sz w:val="20"/>
                <w:szCs w:val="20"/>
              </w:rPr>
            </w:pPr>
            <w:r>
              <w:rPr>
                <w:rFonts w:ascii="Calibri" w:hAnsi="Calibri" w:cs="Calibri"/>
                <w:i/>
                <w:iCs/>
                <w:sz w:val="20"/>
                <w:szCs w:val="20"/>
              </w:rPr>
              <w:t>-3,3%</w:t>
            </w:r>
          </w:p>
        </w:tc>
      </w:tr>
      <w:tr w:rsidR="002B5E47" w14:paraId="4D505B5B" w14:textId="77777777" w:rsidTr="008D3100">
        <w:trPr>
          <w:gridAfter w:val="1"/>
          <w:wAfter w:w="152" w:type="dxa"/>
          <w:trHeight w:val="283"/>
        </w:trPr>
        <w:tc>
          <w:tcPr>
            <w:tcW w:w="2057" w:type="dxa"/>
            <w:tcBorders>
              <w:top w:val="single" w:sz="4" w:space="0" w:color="auto"/>
              <w:left w:val="nil"/>
              <w:bottom w:val="single" w:sz="4" w:space="0" w:color="auto"/>
              <w:right w:val="nil"/>
            </w:tcBorders>
            <w:noWrap/>
            <w:vAlign w:val="center"/>
            <w:hideMark/>
          </w:tcPr>
          <w:p w14:paraId="0A058F40" w14:textId="77777777" w:rsidR="002B5E47" w:rsidRDefault="002B5E47" w:rsidP="00A35AEF">
            <w:pPr>
              <w:rPr>
                <w:rFonts w:ascii="Calibri" w:hAnsi="Calibri" w:cs="Calibri"/>
                <w:b/>
                <w:bCs/>
                <w:sz w:val="20"/>
                <w:szCs w:val="20"/>
              </w:rPr>
            </w:pPr>
            <w:r>
              <w:rPr>
                <w:rFonts w:ascii="Calibri" w:hAnsi="Calibri" w:cs="Calibri"/>
                <w:b/>
                <w:bCs/>
                <w:sz w:val="20"/>
                <w:szCs w:val="20"/>
              </w:rPr>
              <w:t>Totale</w:t>
            </w:r>
          </w:p>
        </w:tc>
        <w:tc>
          <w:tcPr>
            <w:tcW w:w="1375" w:type="dxa"/>
            <w:tcBorders>
              <w:top w:val="single" w:sz="4" w:space="0" w:color="auto"/>
              <w:left w:val="nil"/>
              <w:bottom w:val="single" w:sz="4" w:space="0" w:color="auto"/>
              <w:right w:val="nil"/>
            </w:tcBorders>
            <w:noWrap/>
            <w:vAlign w:val="center"/>
            <w:hideMark/>
          </w:tcPr>
          <w:p w14:paraId="12553197" w14:textId="77777777" w:rsidR="002B5E47" w:rsidRDefault="002B5E47" w:rsidP="00234F3A">
            <w:pPr>
              <w:jc w:val="center"/>
              <w:rPr>
                <w:rFonts w:ascii="Calibri" w:hAnsi="Calibri" w:cs="Calibri"/>
                <w:b/>
                <w:bCs/>
                <w:sz w:val="20"/>
                <w:szCs w:val="20"/>
              </w:rPr>
            </w:pPr>
            <w:r>
              <w:rPr>
                <w:rFonts w:ascii="Calibri" w:hAnsi="Calibri" w:cs="Calibri"/>
                <w:b/>
                <w:bCs/>
                <w:sz w:val="20"/>
                <w:szCs w:val="20"/>
              </w:rPr>
              <w:t>1.149.868.156</w:t>
            </w:r>
          </w:p>
        </w:tc>
        <w:tc>
          <w:tcPr>
            <w:tcW w:w="1375" w:type="dxa"/>
            <w:tcBorders>
              <w:top w:val="single" w:sz="4" w:space="0" w:color="auto"/>
              <w:left w:val="nil"/>
              <w:bottom w:val="single" w:sz="4" w:space="0" w:color="auto"/>
              <w:right w:val="nil"/>
            </w:tcBorders>
            <w:noWrap/>
            <w:vAlign w:val="center"/>
            <w:hideMark/>
          </w:tcPr>
          <w:p w14:paraId="695C2F31" w14:textId="77777777" w:rsidR="002B5E47" w:rsidRDefault="002B5E47" w:rsidP="00234F3A">
            <w:pPr>
              <w:jc w:val="center"/>
              <w:rPr>
                <w:rFonts w:ascii="Calibri" w:hAnsi="Calibri" w:cs="Calibri"/>
                <w:b/>
                <w:bCs/>
                <w:sz w:val="20"/>
                <w:szCs w:val="20"/>
              </w:rPr>
            </w:pPr>
            <w:r>
              <w:rPr>
                <w:rFonts w:ascii="Calibri" w:hAnsi="Calibri" w:cs="Calibri"/>
                <w:b/>
                <w:bCs/>
                <w:sz w:val="20"/>
                <w:szCs w:val="20"/>
              </w:rPr>
              <w:t>1.080.401.140</w:t>
            </w:r>
          </w:p>
        </w:tc>
        <w:tc>
          <w:tcPr>
            <w:tcW w:w="1219" w:type="dxa"/>
            <w:tcBorders>
              <w:top w:val="single" w:sz="4" w:space="0" w:color="auto"/>
              <w:left w:val="nil"/>
              <w:bottom w:val="single" w:sz="4" w:space="0" w:color="auto"/>
              <w:right w:val="nil"/>
            </w:tcBorders>
            <w:noWrap/>
            <w:vAlign w:val="center"/>
            <w:hideMark/>
          </w:tcPr>
          <w:p w14:paraId="108B53A1" w14:textId="77777777" w:rsidR="002B5E47" w:rsidRDefault="002B5E47" w:rsidP="00A35AEF">
            <w:pPr>
              <w:jc w:val="center"/>
              <w:rPr>
                <w:rFonts w:ascii="Calibri" w:hAnsi="Calibri" w:cs="Calibri"/>
                <w:b/>
                <w:bCs/>
                <w:sz w:val="20"/>
                <w:szCs w:val="20"/>
              </w:rPr>
            </w:pPr>
            <w:r>
              <w:rPr>
                <w:rFonts w:ascii="Calibri" w:hAnsi="Calibri" w:cs="Calibri"/>
                <w:b/>
                <w:bCs/>
                <w:sz w:val="20"/>
                <w:szCs w:val="20"/>
              </w:rPr>
              <w:t>100,0%</w:t>
            </w:r>
          </w:p>
        </w:tc>
        <w:tc>
          <w:tcPr>
            <w:tcW w:w="1030" w:type="dxa"/>
            <w:tcBorders>
              <w:top w:val="single" w:sz="4" w:space="0" w:color="auto"/>
              <w:left w:val="nil"/>
              <w:bottom w:val="single" w:sz="4" w:space="0" w:color="auto"/>
              <w:right w:val="nil"/>
            </w:tcBorders>
            <w:noWrap/>
            <w:vAlign w:val="center"/>
            <w:hideMark/>
          </w:tcPr>
          <w:p w14:paraId="4C13FF62" w14:textId="77777777" w:rsidR="002B5E47" w:rsidRDefault="002B5E47" w:rsidP="00A35AEF">
            <w:pPr>
              <w:jc w:val="center"/>
              <w:rPr>
                <w:rFonts w:ascii="Calibri" w:hAnsi="Calibri" w:cs="Calibri"/>
                <w:b/>
                <w:bCs/>
                <w:sz w:val="20"/>
                <w:szCs w:val="20"/>
              </w:rPr>
            </w:pPr>
            <w:r>
              <w:rPr>
                <w:rFonts w:ascii="Calibri" w:hAnsi="Calibri" w:cs="Calibri"/>
                <w:b/>
                <w:bCs/>
                <w:sz w:val="20"/>
                <w:szCs w:val="20"/>
              </w:rPr>
              <w:t>-6,0%</w:t>
            </w:r>
          </w:p>
        </w:tc>
        <w:tc>
          <w:tcPr>
            <w:tcW w:w="1471" w:type="dxa"/>
            <w:gridSpan w:val="2"/>
            <w:tcBorders>
              <w:top w:val="single" w:sz="4" w:space="0" w:color="auto"/>
              <w:left w:val="nil"/>
              <w:bottom w:val="single" w:sz="4" w:space="0" w:color="auto"/>
              <w:right w:val="nil"/>
            </w:tcBorders>
            <w:noWrap/>
            <w:vAlign w:val="center"/>
            <w:hideMark/>
          </w:tcPr>
          <w:p w14:paraId="36393FC6" w14:textId="77777777" w:rsidR="002B5E47" w:rsidRDefault="002B5E47" w:rsidP="00A35AEF">
            <w:pPr>
              <w:jc w:val="center"/>
              <w:rPr>
                <w:rFonts w:ascii="Calibri" w:hAnsi="Calibri" w:cs="Calibri"/>
                <w:b/>
                <w:bCs/>
                <w:i/>
                <w:iCs/>
                <w:sz w:val="20"/>
                <w:szCs w:val="20"/>
              </w:rPr>
            </w:pPr>
            <w:r>
              <w:rPr>
                <w:rFonts w:ascii="Calibri" w:hAnsi="Calibri" w:cs="Calibri"/>
                <w:b/>
                <w:bCs/>
                <w:i/>
                <w:iCs/>
                <w:sz w:val="20"/>
                <w:szCs w:val="20"/>
              </w:rPr>
              <w:t>-6,0%</w:t>
            </w:r>
          </w:p>
        </w:tc>
      </w:tr>
      <w:tr w:rsidR="002B5E47" w14:paraId="500F361F" w14:textId="77777777" w:rsidTr="008D3100">
        <w:trPr>
          <w:trHeight w:val="283"/>
        </w:trPr>
        <w:tc>
          <w:tcPr>
            <w:tcW w:w="8679" w:type="dxa"/>
            <w:gridSpan w:val="8"/>
            <w:tcBorders>
              <w:top w:val="nil"/>
              <w:left w:val="nil"/>
              <w:bottom w:val="nil"/>
              <w:right w:val="nil"/>
            </w:tcBorders>
            <w:vAlign w:val="center"/>
          </w:tcPr>
          <w:p w14:paraId="1ECD9664" w14:textId="77777777" w:rsidR="002B5E47" w:rsidRDefault="002B5E47" w:rsidP="002B5E47">
            <w:pPr>
              <w:ind w:right="-70"/>
              <w:rPr>
                <w:rFonts w:ascii="Calibri" w:hAnsi="Calibri" w:cs="Calibri"/>
                <w:i/>
                <w:iCs/>
                <w:color w:val="000000"/>
                <w:sz w:val="20"/>
                <w:szCs w:val="20"/>
              </w:rPr>
            </w:pPr>
            <w:r>
              <w:rPr>
                <w:rFonts w:ascii="Calibri" w:hAnsi="Calibri" w:cs="Calibri"/>
                <w:i/>
                <w:iCs/>
                <w:color w:val="000000"/>
                <w:sz w:val="20"/>
                <w:szCs w:val="20"/>
              </w:rPr>
              <w:t>Fonte: Elaborazioni Camera di Commercio Toscana Nord-Ovest -ISR su dati Istat (dati provvisori)</w:t>
            </w:r>
          </w:p>
        </w:tc>
      </w:tr>
    </w:tbl>
    <w:p w14:paraId="729C1B26" w14:textId="77777777" w:rsidR="0022419F" w:rsidRPr="00087BE7" w:rsidRDefault="0022419F" w:rsidP="00FD2B87">
      <w:pPr>
        <w:jc w:val="both"/>
        <w:rPr>
          <w:rFonts w:ascii="Calibri" w:hAnsi="Calibri"/>
          <w:iCs/>
        </w:rPr>
      </w:pPr>
    </w:p>
    <w:p w14:paraId="69CA837A" w14:textId="77777777" w:rsidR="0022419F" w:rsidRDefault="0046087C" w:rsidP="0038325F">
      <w:pPr>
        <w:autoSpaceDE w:val="0"/>
        <w:autoSpaceDN w:val="0"/>
        <w:adjustRightInd w:val="0"/>
        <w:spacing w:after="240"/>
        <w:rPr>
          <w:rFonts w:ascii="Calibri" w:hAnsi="Calibri" w:cs="Calibri"/>
          <w:b/>
          <w:bCs/>
          <w:sz w:val="28"/>
          <w:szCs w:val="28"/>
        </w:rPr>
      </w:pPr>
      <w:r>
        <w:br w:type="page"/>
      </w:r>
      <w:r w:rsidR="0022419F">
        <w:rPr>
          <w:rFonts w:ascii="Calibri" w:hAnsi="Calibri" w:cs="Calibri"/>
          <w:b/>
          <w:bCs/>
          <w:sz w:val="28"/>
          <w:szCs w:val="28"/>
        </w:rPr>
        <w:lastRenderedPageBreak/>
        <w:t>L’ANDAMENTO DELL’EXPORT DELLA PROVINCIA DI PISA</w:t>
      </w:r>
    </w:p>
    <w:p w14:paraId="1922D722" w14:textId="77777777" w:rsidR="0022419F" w:rsidRPr="00921F96" w:rsidRDefault="0022419F" w:rsidP="0022419F">
      <w:pPr>
        <w:autoSpaceDE w:val="0"/>
        <w:autoSpaceDN w:val="0"/>
        <w:adjustRightInd w:val="0"/>
        <w:rPr>
          <w:rFonts w:ascii="Calibri" w:hAnsi="Calibri" w:cs="Calibri"/>
          <w:b/>
          <w:bCs/>
        </w:rPr>
      </w:pPr>
      <w:r w:rsidRPr="00921F96">
        <w:rPr>
          <w:rFonts w:ascii="Calibri" w:hAnsi="Calibri" w:cs="Calibri"/>
          <w:b/>
          <w:bCs/>
        </w:rPr>
        <w:t>L’andamento generale</w:t>
      </w:r>
    </w:p>
    <w:p w14:paraId="68A3F7D5" w14:textId="105B57C2" w:rsidR="0022419F" w:rsidRPr="00B91D4F" w:rsidRDefault="00562AFA" w:rsidP="0022419F">
      <w:pPr>
        <w:jc w:val="both"/>
        <w:rPr>
          <w:rFonts w:ascii="Calibri" w:hAnsi="Calibri"/>
          <w:iCs/>
        </w:rPr>
      </w:pPr>
      <w:r w:rsidRPr="00562AFA">
        <w:rPr>
          <w:rFonts w:ascii="Calibri" w:hAnsi="Calibri"/>
          <w:iCs/>
        </w:rPr>
        <w:t>Nel primo semestre del 2025, l'export della provincia di Pisa ha registrato una flessione, proseguendo il rallentamento iniziato l'anno precedente dopo un periodo di crescita costante. Le esportazioni si sono attestate a circa 1 miliardo e 740 milioni di euro, segnando un calo del 4,0% rispetto agli oltre 1,8 miliardi registrati nello stesso periodo del 2024.</w:t>
      </w:r>
      <w:r>
        <w:rPr>
          <w:rFonts w:ascii="Calibri" w:hAnsi="Calibri"/>
          <w:iCs/>
        </w:rPr>
        <w:t xml:space="preserve"> </w:t>
      </w:r>
      <w:r w:rsidR="0022419F" w:rsidRPr="00B91D4F">
        <w:rPr>
          <w:rFonts w:ascii="Calibri" w:hAnsi="Calibri"/>
          <w:iCs/>
        </w:rPr>
        <w:t xml:space="preserve">Il traguardo </w:t>
      </w:r>
      <w:r w:rsidR="0022419F">
        <w:rPr>
          <w:rFonts w:ascii="Calibri" w:hAnsi="Calibri"/>
          <w:iCs/>
        </w:rPr>
        <w:t xml:space="preserve">record </w:t>
      </w:r>
      <w:r w:rsidR="0022419F" w:rsidRPr="00B91D4F">
        <w:rPr>
          <w:rFonts w:ascii="Calibri" w:hAnsi="Calibri"/>
          <w:iCs/>
        </w:rPr>
        <w:t>de</w:t>
      </w:r>
      <w:r w:rsidR="0022419F">
        <w:rPr>
          <w:rFonts w:ascii="Calibri" w:hAnsi="Calibri"/>
          <w:iCs/>
        </w:rPr>
        <w:t>gli oltre</w:t>
      </w:r>
      <w:r w:rsidR="0022419F" w:rsidRPr="00B91D4F">
        <w:rPr>
          <w:rFonts w:ascii="Calibri" w:hAnsi="Calibri"/>
          <w:iCs/>
        </w:rPr>
        <w:t xml:space="preserve"> 2 miliardi di euro raggiunto nel</w:t>
      </w:r>
      <w:r>
        <w:rPr>
          <w:rFonts w:ascii="Calibri" w:hAnsi="Calibri"/>
          <w:iCs/>
        </w:rPr>
        <w:t>la prima metà del</w:t>
      </w:r>
      <w:r w:rsidR="0022419F" w:rsidRPr="00B91D4F">
        <w:rPr>
          <w:rFonts w:ascii="Calibri" w:hAnsi="Calibri"/>
          <w:iCs/>
        </w:rPr>
        <w:t xml:space="preserve"> 2023 appare ormai distante, a testimonianza di una fase complessa per l’economia locale.</w:t>
      </w:r>
      <w:r w:rsidR="0022419F">
        <w:rPr>
          <w:rFonts w:ascii="Calibri" w:hAnsi="Calibri"/>
          <w:iCs/>
        </w:rPr>
        <w:t xml:space="preserve"> </w:t>
      </w:r>
      <w:r w:rsidR="0022419F" w:rsidRPr="00B91D4F">
        <w:rPr>
          <w:rFonts w:ascii="Calibri" w:hAnsi="Calibri"/>
          <w:iCs/>
        </w:rPr>
        <w:t xml:space="preserve">Il dato negativo riflette </w:t>
      </w:r>
      <w:r w:rsidR="00137499">
        <w:rPr>
          <w:rFonts w:ascii="Calibri" w:hAnsi="Calibri"/>
          <w:iCs/>
        </w:rPr>
        <w:t xml:space="preserve">infatti </w:t>
      </w:r>
      <w:r w:rsidR="0022419F" w:rsidRPr="00B91D4F">
        <w:rPr>
          <w:rFonts w:ascii="Calibri" w:hAnsi="Calibri"/>
          <w:iCs/>
        </w:rPr>
        <w:t xml:space="preserve">le difficoltà che stanno attraversando diversi settori chiave </w:t>
      </w:r>
      <w:r w:rsidR="00137499">
        <w:rPr>
          <w:rFonts w:ascii="Calibri" w:hAnsi="Calibri"/>
          <w:iCs/>
        </w:rPr>
        <w:t>dell’economia</w:t>
      </w:r>
      <w:r w:rsidR="0022419F" w:rsidRPr="00B91D4F">
        <w:rPr>
          <w:rFonts w:ascii="Calibri" w:hAnsi="Calibri"/>
          <w:iCs/>
        </w:rPr>
        <w:t xml:space="preserve"> pisan</w:t>
      </w:r>
      <w:r w:rsidR="00137499">
        <w:rPr>
          <w:rFonts w:ascii="Calibri" w:hAnsi="Calibri"/>
          <w:iCs/>
        </w:rPr>
        <w:t>a</w:t>
      </w:r>
      <w:r w:rsidR="0022419F" w:rsidRPr="00B91D4F">
        <w:rPr>
          <w:rFonts w:ascii="Calibri" w:hAnsi="Calibri"/>
          <w:iCs/>
        </w:rPr>
        <w:t xml:space="preserve">. Hanno inciso in particolare le contrazioni nei comparti dei </w:t>
      </w:r>
      <w:r w:rsidR="0022419F" w:rsidRPr="00C758ED">
        <w:rPr>
          <w:rFonts w:ascii="Calibri" w:hAnsi="Calibri"/>
          <w:b/>
          <w:bCs/>
          <w:i/>
        </w:rPr>
        <w:t>cicli e motocicli</w:t>
      </w:r>
      <w:r w:rsidR="0022419F" w:rsidRPr="00B91D4F">
        <w:rPr>
          <w:rFonts w:ascii="Calibri" w:hAnsi="Calibri"/>
          <w:iCs/>
        </w:rPr>
        <w:t xml:space="preserve"> (che rappresentano oltre il 22% delle esportazioni provinciali), del </w:t>
      </w:r>
      <w:r w:rsidR="0022419F" w:rsidRPr="00B91D4F">
        <w:rPr>
          <w:rFonts w:ascii="Calibri" w:hAnsi="Calibri"/>
          <w:b/>
          <w:bCs/>
          <w:iCs/>
        </w:rPr>
        <w:t>cuoio</w:t>
      </w:r>
      <w:r w:rsidR="0022419F" w:rsidRPr="00B91D4F">
        <w:rPr>
          <w:rFonts w:ascii="Calibri" w:hAnsi="Calibri"/>
          <w:iCs/>
        </w:rPr>
        <w:t xml:space="preserve">, delle </w:t>
      </w:r>
      <w:r w:rsidR="0022419F" w:rsidRPr="00C758ED">
        <w:rPr>
          <w:rFonts w:ascii="Calibri" w:hAnsi="Calibri"/>
          <w:b/>
          <w:bCs/>
          <w:i/>
        </w:rPr>
        <w:t>macchine di impiego generale</w:t>
      </w:r>
      <w:r w:rsidR="0022419F" w:rsidRPr="00B91D4F">
        <w:rPr>
          <w:rFonts w:ascii="Calibri" w:hAnsi="Calibri"/>
          <w:iCs/>
        </w:rPr>
        <w:t xml:space="preserve">, dei </w:t>
      </w:r>
      <w:r w:rsidR="0022419F" w:rsidRPr="00C758ED">
        <w:rPr>
          <w:rFonts w:ascii="Calibri" w:hAnsi="Calibri"/>
          <w:b/>
          <w:bCs/>
          <w:i/>
        </w:rPr>
        <w:t>prodotti chimici di base</w:t>
      </w:r>
      <w:r w:rsidR="0022419F" w:rsidRPr="00B91D4F">
        <w:rPr>
          <w:rFonts w:ascii="Calibri" w:hAnsi="Calibri"/>
          <w:iCs/>
        </w:rPr>
        <w:t xml:space="preserve">, </w:t>
      </w:r>
      <w:r w:rsidR="00137499" w:rsidRPr="00B91D4F">
        <w:rPr>
          <w:rFonts w:ascii="Calibri" w:hAnsi="Calibri"/>
          <w:iCs/>
        </w:rPr>
        <w:t xml:space="preserve">delle </w:t>
      </w:r>
      <w:r w:rsidR="00137499" w:rsidRPr="00C758ED">
        <w:rPr>
          <w:rFonts w:ascii="Calibri" w:hAnsi="Calibri"/>
          <w:b/>
          <w:bCs/>
          <w:i/>
        </w:rPr>
        <w:t>calzature</w:t>
      </w:r>
      <w:r w:rsidR="00137499" w:rsidRPr="00137499">
        <w:rPr>
          <w:rFonts w:ascii="Calibri" w:hAnsi="Calibri"/>
          <w:i/>
        </w:rPr>
        <w:t>,</w:t>
      </w:r>
      <w:r w:rsidR="00137499" w:rsidRPr="00B91D4F">
        <w:rPr>
          <w:rFonts w:ascii="Calibri" w:hAnsi="Calibri"/>
          <w:iCs/>
        </w:rPr>
        <w:t xml:space="preserve"> </w:t>
      </w:r>
      <w:r w:rsidR="0022419F" w:rsidRPr="00B91D4F">
        <w:rPr>
          <w:rFonts w:ascii="Calibri" w:hAnsi="Calibri"/>
          <w:iCs/>
        </w:rPr>
        <w:t xml:space="preserve">dei </w:t>
      </w:r>
      <w:r w:rsidR="0022419F" w:rsidRPr="00C758ED">
        <w:rPr>
          <w:rFonts w:ascii="Calibri" w:hAnsi="Calibri"/>
          <w:b/>
          <w:bCs/>
          <w:i/>
        </w:rPr>
        <w:t>mobili</w:t>
      </w:r>
      <w:r w:rsidR="0022419F" w:rsidRPr="00B91D4F">
        <w:rPr>
          <w:rFonts w:ascii="Calibri" w:hAnsi="Calibri"/>
          <w:iCs/>
        </w:rPr>
        <w:t xml:space="preserve"> e </w:t>
      </w:r>
      <w:r w:rsidR="0022419F" w:rsidRPr="00414D16">
        <w:rPr>
          <w:rFonts w:ascii="Calibri" w:hAnsi="Calibri"/>
          <w:iCs/>
        </w:rPr>
        <w:t xml:space="preserve">delle </w:t>
      </w:r>
      <w:r w:rsidR="0022419F" w:rsidRPr="00414D16">
        <w:rPr>
          <w:rFonts w:ascii="Calibri" w:hAnsi="Calibri"/>
          <w:b/>
          <w:bCs/>
          <w:i/>
        </w:rPr>
        <w:t xml:space="preserve">macchine </w:t>
      </w:r>
      <w:r w:rsidR="00414D16" w:rsidRPr="00414D16">
        <w:rPr>
          <w:rFonts w:ascii="Calibri" w:hAnsi="Calibri"/>
          <w:b/>
          <w:bCs/>
          <w:i/>
        </w:rPr>
        <w:t xml:space="preserve">per </w:t>
      </w:r>
      <w:r w:rsidR="00414D16">
        <w:rPr>
          <w:rFonts w:ascii="Calibri" w:hAnsi="Calibri"/>
          <w:b/>
          <w:bCs/>
          <w:i/>
        </w:rPr>
        <w:t>la lavorazione dei metalli</w:t>
      </w:r>
      <w:r w:rsidR="0022419F" w:rsidRPr="00414D16">
        <w:rPr>
          <w:rFonts w:ascii="Calibri" w:hAnsi="Calibri"/>
          <w:iCs/>
        </w:rPr>
        <w:t>.</w:t>
      </w:r>
    </w:p>
    <w:p w14:paraId="7567A754" w14:textId="7EC1CEED" w:rsidR="0022419F" w:rsidRDefault="0022419F" w:rsidP="0022419F">
      <w:pPr>
        <w:jc w:val="both"/>
        <w:rPr>
          <w:rFonts w:ascii="Calibri" w:hAnsi="Calibri"/>
          <w:iCs/>
        </w:rPr>
      </w:pPr>
      <w:r w:rsidRPr="00B91D4F">
        <w:rPr>
          <w:rFonts w:ascii="Calibri" w:hAnsi="Calibri"/>
          <w:iCs/>
        </w:rPr>
        <w:t xml:space="preserve">A fronte di questo quadro generale in </w:t>
      </w:r>
      <w:r>
        <w:rPr>
          <w:rFonts w:ascii="Calibri" w:hAnsi="Calibri"/>
          <w:iCs/>
        </w:rPr>
        <w:t>negativo</w:t>
      </w:r>
      <w:r w:rsidRPr="00B91D4F">
        <w:rPr>
          <w:rFonts w:ascii="Calibri" w:hAnsi="Calibri"/>
          <w:iCs/>
        </w:rPr>
        <w:t xml:space="preserve">, solo pochi comparti hanno mostrato </w:t>
      </w:r>
      <w:r w:rsidR="00137499">
        <w:rPr>
          <w:rFonts w:ascii="Calibri" w:hAnsi="Calibri"/>
          <w:iCs/>
        </w:rPr>
        <w:t xml:space="preserve">significativi </w:t>
      </w:r>
      <w:r w:rsidRPr="00B91D4F">
        <w:rPr>
          <w:rFonts w:ascii="Calibri" w:hAnsi="Calibri"/>
          <w:iCs/>
        </w:rPr>
        <w:t>segnali di crescita: tra questi</w:t>
      </w:r>
      <w:r>
        <w:rPr>
          <w:rFonts w:ascii="Calibri" w:hAnsi="Calibri"/>
          <w:iCs/>
        </w:rPr>
        <w:t xml:space="preserve"> </w:t>
      </w:r>
      <w:r w:rsidRPr="0046087C">
        <w:rPr>
          <w:rFonts w:ascii="Calibri" w:hAnsi="Calibri"/>
          <w:iCs/>
        </w:rPr>
        <w:t xml:space="preserve">i </w:t>
      </w:r>
      <w:r w:rsidRPr="00C758ED">
        <w:rPr>
          <w:rFonts w:ascii="Calibri" w:hAnsi="Calibri"/>
          <w:b/>
          <w:bCs/>
          <w:i/>
        </w:rPr>
        <w:t>medicinali e preparati farmaceutici</w:t>
      </w:r>
      <w:r w:rsidRPr="00B91D4F">
        <w:rPr>
          <w:rFonts w:ascii="Calibri" w:hAnsi="Calibri"/>
          <w:iCs/>
        </w:rPr>
        <w:t xml:space="preserve">, </w:t>
      </w:r>
      <w:r w:rsidR="00137499">
        <w:rPr>
          <w:rFonts w:ascii="Calibri" w:hAnsi="Calibri"/>
          <w:iCs/>
        </w:rPr>
        <w:t xml:space="preserve">le </w:t>
      </w:r>
      <w:r w:rsidR="00137499" w:rsidRPr="00137499">
        <w:rPr>
          <w:rFonts w:ascii="Calibri" w:hAnsi="Calibri"/>
          <w:b/>
          <w:bCs/>
          <w:iCs/>
        </w:rPr>
        <w:t>altre macchine di impiego generale</w:t>
      </w:r>
      <w:r w:rsidR="00137499">
        <w:rPr>
          <w:rFonts w:ascii="Calibri" w:hAnsi="Calibri"/>
          <w:iCs/>
        </w:rPr>
        <w:t xml:space="preserve">, </w:t>
      </w:r>
      <w:r w:rsidRPr="00B91D4F">
        <w:rPr>
          <w:rFonts w:ascii="Calibri" w:hAnsi="Calibri"/>
          <w:iCs/>
        </w:rPr>
        <w:t xml:space="preserve">gli </w:t>
      </w:r>
      <w:r w:rsidRPr="00C758ED">
        <w:rPr>
          <w:rFonts w:ascii="Calibri" w:hAnsi="Calibri"/>
          <w:b/>
          <w:bCs/>
          <w:i/>
        </w:rPr>
        <w:t>articoli di abbigliamento</w:t>
      </w:r>
      <w:r w:rsidRPr="00B91D4F">
        <w:rPr>
          <w:rFonts w:ascii="Calibri" w:hAnsi="Calibri"/>
          <w:iCs/>
        </w:rPr>
        <w:t xml:space="preserve"> e </w:t>
      </w:r>
      <w:r w:rsidR="00137499">
        <w:rPr>
          <w:rFonts w:ascii="Calibri" w:hAnsi="Calibri"/>
          <w:iCs/>
        </w:rPr>
        <w:t xml:space="preserve">i </w:t>
      </w:r>
      <w:r w:rsidRPr="00C758ED">
        <w:rPr>
          <w:rFonts w:ascii="Calibri" w:hAnsi="Calibri"/>
          <w:b/>
          <w:bCs/>
          <w:i/>
        </w:rPr>
        <w:t>prodotti alimentari</w:t>
      </w:r>
      <w:r w:rsidRPr="00B91D4F">
        <w:rPr>
          <w:rFonts w:ascii="Calibri" w:hAnsi="Calibri"/>
          <w:iCs/>
        </w:rPr>
        <w:t>.</w:t>
      </w:r>
      <w:r w:rsidR="003A767A">
        <w:rPr>
          <w:rFonts w:ascii="Calibri" w:hAnsi="Calibri"/>
          <w:iCs/>
        </w:rPr>
        <w:t xml:space="preserve"> </w:t>
      </w:r>
      <w:r>
        <w:rPr>
          <w:rFonts w:ascii="Calibri" w:hAnsi="Calibri"/>
          <w:iCs/>
        </w:rPr>
        <w:t>I</w:t>
      </w:r>
      <w:r w:rsidRPr="00B91D4F">
        <w:rPr>
          <w:rFonts w:ascii="Calibri" w:hAnsi="Calibri"/>
          <w:iCs/>
        </w:rPr>
        <w:t xml:space="preserve">l loro peso </w:t>
      </w:r>
      <w:r w:rsidR="00137499">
        <w:rPr>
          <w:rFonts w:ascii="Calibri" w:hAnsi="Calibri"/>
          <w:iCs/>
        </w:rPr>
        <w:t xml:space="preserve">relativamente </w:t>
      </w:r>
      <w:r w:rsidRPr="00B91D4F">
        <w:rPr>
          <w:rFonts w:ascii="Calibri" w:hAnsi="Calibri"/>
          <w:iCs/>
        </w:rPr>
        <w:t>contenuto sul totale dell’export</w:t>
      </w:r>
      <w:r>
        <w:rPr>
          <w:rFonts w:ascii="Calibri" w:hAnsi="Calibri"/>
          <w:iCs/>
        </w:rPr>
        <w:t>, tuttavia,</w:t>
      </w:r>
      <w:r w:rsidRPr="00B91D4F">
        <w:rPr>
          <w:rFonts w:ascii="Calibri" w:hAnsi="Calibri"/>
          <w:iCs/>
        </w:rPr>
        <w:t xml:space="preserve"> non è </w:t>
      </w:r>
      <w:r>
        <w:rPr>
          <w:rFonts w:ascii="Calibri" w:hAnsi="Calibri"/>
          <w:iCs/>
        </w:rPr>
        <w:t>riuscito</w:t>
      </w:r>
      <w:r w:rsidRPr="00B91D4F">
        <w:rPr>
          <w:rFonts w:ascii="Calibri" w:hAnsi="Calibri"/>
          <w:iCs/>
        </w:rPr>
        <w:t xml:space="preserve"> a compensare le </w:t>
      </w:r>
      <w:r w:rsidR="00137499">
        <w:rPr>
          <w:rFonts w:ascii="Calibri" w:hAnsi="Calibri"/>
          <w:iCs/>
        </w:rPr>
        <w:t>diminuzioni</w:t>
      </w:r>
      <w:r w:rsidRPr="00B91D4F">
        <w:rPr>
          <w:rFonts w:ascii="Calibri" w:hAnsi="Calibri"/>
          <w:iCs/>
        </w:rPr>
        <w:t xml:space="preserve"> dei settori </w:t>
      </w:r>
      <w:r w:rsidR="00137499">
        <w:rPr>
          <w:rFonts w:ascii="Calibri" w:hAnsi="Calibri"/>
          <w:iCs/>
        </w:rPr>
        <w:t>più internazionalizzati</w:t>
      </w:r>
      <w:r>
        <w:rPr>
          <w:rFonts w:ascii="Calibri" w:hAnsi="Calibri"/>
          <w:iCs/>
        </w:rPr>
        <w:t>.</w:t>
      </w:r>
    </w:p>
    <w:p w14:paraId="248B3282" w14:textId="77777777" w:rsidR="0022419F" w:rsidRPr="00B91D4F" w:rsidRDefault="0022419F" w:rsidP="0038325F">
      <w:pPr>
        <w:spacing w:after="240"/>
        <w:jc w:val="both"/>
        <w:rPr>
          <w:rFonts w:ascii="Calibri" w:hAnsi="Calibri" w:cs="Calibri"/>
        </w:rPr>
      </w:pPr>
      <w:r w:rsidRPr="00B91D4F">
        <w:rPr>
          <w:rFonts w:ascii="Calibri" w:hAnsi="Calibri" w:cs="Calibri"/>
        </w:rPr>
        <w:t>Anche in relazione alle importazioni</w:t>
      </w:r>
      <w:r w:rsidR="001475E7">
        <w:rPr>
          <w:rFonts w:ascii="Calibri" w:hAnsi="Calibri" w:cs="Calibri"/>
        </w:rPr>
        <w:t>,</w:t>
      </w:r>
      <w:r w:rsidRPr="00B91D4F">
        <w:rPr>
          <w:rFonts w:ascii="Calibri" w:hAnsi="Calibri" w:cs="Calibri"/>
        </w:rPr>
        <w:t xml:space="preserve"> la provincia di Pisa ha segnato una diminuzione</w:t>
      </w:r>
      <w:r w:rsidR="001475E7">
        <w:rPr>
          <w:rFonts w:ascii="Calibri" w:hAnsi="Calibri" w:cs="Calibri"/>
        </w:rPr>
        <w:t xml:space="preserve"> del 3,6%</w:t>
      </w:r>
      <w:r w:rsidRPr="00B91D4F">
        <w:rPr>
          <w:rFonts w:ascii="Calibri" w:hAnsi="Calibri" w:cs="Calibri"/>
        </w:rPr>
        <w:t xml:space="preserve"> </w:t>
      </w:r>
      <w:r w:rsidR="001475E7" w:rsidRPr="00B91D4F">
        <w:rPr>
          <w:rFonts w:ascii="Calibri" w:hAnsi="Calibri" w:cs="Calibri"/>
        </w:rPr>
        <w:t>rispetto al</w:t>
      </w:r>
      <w:r w:rsidR="001475E7">
        <w:rPr>
          <w:rFonts w:ascii="Calibri" w:hAnsi="Calibri" w:cs="Calibri"/>
        </w:rPr>
        <w:t xml:space="preserve"> primo </w:t>
      </w:r>
      <w:r w:rsidR="001475E7" w:rsidRPr="00B91D4F">
        <w:rPr>
          <w:rFonts w:ascii="Calibri" w:hAnsi="Calibri" w:cs="Calibri"/>
        </w:rPr>
        <w:t>semestre del 2024</w:t>
      </w:r>
      <w:r w:rsidR="001475E7">
        <w:rPr>
          <w:rFonts w:ascii="Calibri" w:hAnsi="Calibri" w:cs="Calibri"/>
        </w:rPr>
        <w:t xml:space="preserve">, </w:t>
      </w:r>
      <w:r w:rsidRPr="00B91D4F">
        <w:rPr>
          <w:rFonts w:ascii="Calibri" w:hAnsi="Calibri" w:cs="Calibri"/>
        </w:rPr>
        <w:t>con un controvalore attestato a un miliardo e 150 mila euro</w:t>
      </w:r>
      <w:r w:rsidR="001475E7">
        <w:rPr>
          <w:rFonts w:ascii="Calibri" w:hAnsi="Calibri" w:cs="Calibri"/>
        </w:rPr>
        <w:t>.</w:t>
      </w:r>
      <w:r w:rsidRPr="00B91D4F">
        <w:rPr>
          <w:rFonts w:ascii="Calibri" w:hAnsi="Calibri" w:cs="Calibri"/>
        </w:rPr>
        <w:t xml:space="preserve"> </w:t>
      </w:r>
    </w:p>
    <w:p w14:paraId="0B1D7BC6" w14:textId="77777777" w:rsidR="0022419F" w:rsidRPr="00921F96" w:rsidRDefault="0022419F" w:rsidP="0022419F">
      <w:pPr>
        <w:rPr>
          <w:rFonts w:ascii="Calibri" w:hAnsi="Calibri"/>
          <w:b/>
        </w:rPr>
      </w:pPr>
      <w:r w:rsidRPr="00921F96">
        <w:rPr>
          <w:rFonts w:ascii="Calibri" w:hAnsi="Calibri"/>
          <w:b/>
        </w:rPr>
        <w:t>Gli andamenti settoriali</w:t>
      </w:r>
    </w:p>
    <w:p w14:paraId="0522068B" w14:textId="77777777" w:rsidR="0022419F" w:rsidRPr="00921F96" w:rsidRDefault="0022419F" w:rsidP="0022419F">
      <w:pPr>
        <w:jc w:val="both"/>
        <w:rPr>
          <w:rFonts w:ascii="Calibri" w:hAnsi="Calibri" w:cs="Calibri"/>
        </w:rPr>
      </w:pPr>
      <w:r>
        <w:rPr>
          <w:rFonts w:ascii="Calibri" w:hAnsi="Calibri" w:cs="Calibri"/>
        </w:rPr>
        <w:t>Nel</w:t>
      </w:r>
      <w:r w:rsidRPr="00921F96">
        <w:rPr>
          <w:rFonts w:ascii="Calibri" w:hAnsi="Calibri" w:cs="Calibri"/>
        </w:rPr>
        <w:t xml:space="preserve"> contesto di rallentamento </w:t>
      </w:r>
      <w:r w:rsidR="003A767A">
        <w:rPr>
          <w:rFonts w:ascii="Calibri" w:hAnsi="Calibri" w:cs="Calibri"/>
        </w:rPr>
        <w:t xml:space="preserve">complessivo </w:t>
      </w:r>
      <w:r w:rsidRPr="00921F96">
        <w:rPr>
          <w:rFonts w:ascii="Calibri" w:hAnsi="Calibri" w:cs="Calibri"/>
        </w:rPr>
        <w:t xml:space="preserve">dell’export provinciale pisano nel primo semestre del 2025, </w:t>
      </w:r>
      <w:r w:rsidR="003A767A">
        <w:rPr>
          <w:rFonts w:ascii="Calibri" w:hAnsi="Calibri" w:cs="Calibri"/>
        </w:rPr>
        <w:t xml:space="preserve">ha </w:t>
      </w:r>
      <w:r w:rsidR="009157C3">
        <w:rPr>
          <w:rFonts w:ascii="Calibri" w:hAnsi="Calibri" w:cs="Calibri"/>
        </w:rPr>
        <w:t>trovato</w:t>
      </w:r>
      <w:r w:rsidR="003A767A">
        <w:rPr>
          <w:rFonts w:ascii="Calibri" w:hAnsi="Calibri" w:cs="Calibri"/>
        </w:rPr>
        <w:t xml:space="preserve"> </w:t>
      </w:r>
      <w:r w:rsidRPr="00921F96">
        <w:rPr>
          <w:rFonts w:ascii="Calibri" w:hAnsi="Calibri" w:cs="Calibri"/>
        </w:rPr>
        <w:t xml:space="preserve">conferma la tendenza negativa già avviata nel 2024 anche per il comparto dei </w:t>
      </w:r>
      <w:r w:rsidRPr="0046087C">
        <w:rPr>
          <w:rFonts w:ascii="Calibri" w:hAnsi="Calibri" w:cs="Calibri"/>
          <w:b/>
          <w:bCs/>
          <w:i/>
          <w:iCs/>
        </w:rPr>
        <w:t>cicli e motocicli</w:t>
      </w:r>
      <w:r w:rsidRPr="00921F96">
        <w:rPr>
          <w:rFonts w:ascii="Calibri" w:hAnsi="Calibri" w:cs="Calibri"/>
        </w:rPr>
        <w:t>, che resta comunque il primo settore per valore assoluto.</w:t>
      </w:r>
      <w:r w:rsidR="009157C3">
        <w:rPr>
          <w:rFonts w:ascii="Calibri" w:hAnsi="Calibri" w:cs="Calibri"/>
        </w:rPr>
        <w:t xml:space="preserve"> </w:t>
      </w:r>
      <w:r w:rsidRPr="00921F96">
        <w:rPr>
          <w:rFonts w:ascii="Calibri" w:hAnsi="Calibri" w:cs="Calibri"/>
        </w:rPr>
        <w:t>Le esportazioni del comparto si sono attestate a 388 milioni di euro,</w:t>
      </w:r>
      <w:r w:rsidR="003A767A">
        <w:rPr>
          <w:rFonts w:ascii="Calibri" w:hAnsi="Calibri" w:cs="Calibri"/>
        </w:rPr>
        <w:t xml:space="preserve"> diminuendo </w:t>
      </w:r>
      <w:r w:rsidRPr="00921F96">
        <w:rPr>
          <w:rFonts w:ascii="Calibri" w:hAnsi="Calibri" w:cs="Calibri"/>
        </w:rPr>
        <w:t xml:space="preserve">del 14,8% rispetto ai 455 milioni del 2024. </w:t>
      </w:r>
      <w:r w:rsidR="003A767A">
        <w:rPr>
          <w:rFonts w:ascii="Calibri" w:hAnsi="Calibri" w:cs="Calibri"/>
        </w:rPr>
        <w:t>Una</w:t>
      </w:r>
      <w:r w:rsidRPr="00921F96">
        <w:rPr>
          <w:rFonts w:ascii="Calibri" w:hAnsi="Calibri" w:cs="Calibri"/>
        </w:rPr>
        <w:t xml:space="preserve"> contrazione </w:t>
      </w:r>
      <w:r w:rsidR="003A767A">
        <w:rPr>
          <w:rFonts w:ascii="Calibri" w:hAnsi="Calibri" w:cs="Calibri"/>
        </w:rPr>
        <w:t xml:space="preserve">che </w:t>
      </w:r>
      <w:r w:rsidRPr="00921F96">
        <w:rPr>
          <w:rFonts w:ascii="Calibri" w:hAnsi="Calibri" w:cs="Calibri"/>
        </w:rPr>
        <w:t xml:space="preserve">ha pesato </w:t>
      </w:r>
      <w:r w:rsidR="003A767A">
        <w:rPr>
          <w:rFonts w:ascii="Calibri" w:hAnsi="Calibri" w:cs="Calibri"/>
        </w:rPr>
        <w:t>decisamente</w:t>
      </w:r>
      <w:r w:rsidRPr="00921F96">
        <w:rPr>
          <w:rFonts w:ascii="Calibri" w:hAnsi="Calibri" w:cs="Calibri"/>
        </w:rPr>
        <w:t xml:space="preserve"> sulla performance complessiva dell’export pisano, contribuendo da sola </w:t>
      </w:r>
      <w:r w:rsidR="009157C3">
        <w:rPr>
          <w:rFonts w:ascii="Calibri" w:hAnsi="Calibri" w:cs="Calibri"/>
        </w:rPr>
        <w:t xml:space="preserve">in negativo </w:t>
      </w:r>
      <w:r w:rsidRPr="00921F96">
        <w:rPr>
          <w:rFonts w:ascii="Calibri" w:hAnsi="Calibri" w:cs="Calibri"/>
        </w:rPr>
        <w:t>per 3,7 punti percentuali al risultato generale.</w:t>
      </w:r>
    </w:p>
    <w:p w14:paraId="0561AB09" w14:textId="77777777" w:rsidR="0022419F" w:rsidRDefault="0022419F" w:rsidP="0022419F">
      <w:pPr>
        <w:jc w:val="both"/>
        <w:rPr>
          <w:rFonts w:ascii="Calibri" w:hAnsi="Calibri" w:cs="Calibri"/>
        </w:rPr>
      </w:pPr>
      <w:r w:rsidRPr="00921F96">
        <w:rPr>
          <w:rFonts w:ascii="Calibri" w:hAnsi="Calibri" w:cs="Calibri"/>
        </w:rPr>
        <w:t xml:space="preserve">La </w:t>
      </w:r>
      <w:r w:rsidR="0044190E">
        <w:rPr>
          <w:rFonts w:ascii="Calibri" w:hAnsi="Calibri" w:cs="Calibri"/>
        </w:rPr>
        <w:t>flessione registrata</w:t>
      </w:r>
      <w:r w:rsidR="003A767A">
        <w:rPr>
          <w:rFonts w:ascii="Calibri" w:hAnsi="Calibri" w:cs="Calibri"/>
        </w:rPr>
        <w:t xml:space="preserve"> </w:t>
      </w:r>
      <w:r w:rsidRPr="00921F96">
        <w:rPr>
          <w:rFonts w:ascii="Calibri" w:hAnsi="Calibri" w:cs="Calibri"/>
        </w:rPr>
        <w:t xml:space="preserve">ha </w:t>
      </w:r>
      <w:r w:rsidR="0044190E">
        <w:rPr>
          <w:rFonts w:ascii="Calibri" w:hAnsi="Calibri" w:cs="Calibri"/>
        </w:rPr>
        <w:t>interessato</w:t>
      </w:r>
      <w:r w:rsidRPr="00921F96">
        <w:rPr>
          <w:rFonts w:ascii="Calibri" w:hAnsi="Calibri" w:cs="Calibri"/>
        </w:rPr>
        <w:t xml:space="preserve"> numerosi mercati chiave</w:t>
      </w:r>
      <w:r w:rsidR="0044190E">
        <w:rPr>
          <w:rFonts w:ascii="Calibri" w:hAnsi="Calibri" w:cs="Calibri"/>
        </w:rPr>
        <w:t>,</w:t>
      </w:r>
      <w:r w:rsidRPr="00921F96">
        <w:rPr>
          <w:rFonts w:ascii="Calibri" w:hAnsi="Calibri" w:cs="Calibri"/>
        </w:rPr>
        <w:t xml:space="preserve"> sia europei che extraeuropei. La Germania, pur rimanendo il principale paese di destinazione con oltre 95 milioni di euro di esportazioni, ha segnato un calo del 12,6%,</w:t>
      </w:r>
      <w:r w:rsidR="0044190E">
        <w:rPr>
          <w:rFonts w:ascii="Calibri" w:hAnsi="Calibri" w:cs="Calibri"/>
        </w:rPr>
        <w:t xml:space="preserve"> corrispondente a </w:t>
      </w:r>
      <w:r w:rsidRPr="00921F96">
        <w:rPr>
          <w:rFonts w:ascii="Calibri" w:hAnsi="Calibri" w:cs="Calibri"/>
        </w:rPr>
        <w:t>circa 13,8 milioni di euro.</w:t>
      </w:r>
      <w:r w:rsidR="0044190E" w:rsidRPr="00BB564D">
        <w:rPr>
          <w:rFonts w:ascii="Calibri" w:hAnsi="Calibri" w:cs="Calibri"/>
        </w:rPr>
        <w:t xml:space="preserve"> </w:t>
      </w:r>
      <w:r w:rsidR="00BB564D" w:rsidRPr="00BB564D">
        <w:rPr>
          <w:rFonts w:ascii="Calibri" w:hAnsi="Calibri" w:cs="Calibri"/>
        </w:rPr>
        <w:t>Molto intensa</w:t>
      </w:r>
      <w:r w:rsidRPr="00BB564D">
        <w:rPr>
          <w:rFonts w:ascii="Calibri" w:hAnsi="Calibri" w:cs="Calibri"/>
        </w:rPr>
        <w:t xml:space="preserve"> </w:t>
      </w:r>
      <w:r w:rsidR="00BB564D" w:rsidRPr="00BB564D">
        <w:rPr>
          <w:rFonts w:ascii="Calibri" w:hAnsi="Calibri" w:cs="Calibri"/>
        </w:rPr>
        <w:t xml:space="preserve">anche </w:t>
      </w:r>
      <w:r w:rsidRPr="00921F96">
        <w:rPr>
          <w:rFonts w:ascii="Calibri" w:hAnsi="Calibri" w:cs="Calibri"/>
        </w:rPr>
        <w:t xml:space="preserve">la </w:t>
      </w:r>
      <w:r w:rsidR="0044190E">
        <w:rPr>
          <w:rFonts w:ascii="Calibri" w:hAnsi="Calibri" w:cs="Calibri"/>
        </w:rPr>
        <w:t xml:space="preserve">contrazione delle vendite </w:t>
      </w:r>
      <w:r w:rsidRPr="00921F96">
        <w:rPr>
          <w:rFonts w:ascii="Calibri" w:hAnsi="Calibri" w:cs="Calibri"/>
        </w:rPr>
        <w:t xml:space="preserve">in Francia, </w:t>
      </w:r>
      <w:r w:rsidR="0044190E">
        <w:rPr>
          <w:rFonts w:ascii="Calibri" w:hAnsi="Calibri" w:cs="Calibri"/>
        </w:rPr>
        <w:t xml:space="preserve">arrivata al </w:t>
      </w:r>
      <w:r w:rsidRPr="00921F96">
        <w:rPr>
          <w:rFonts w:ascii="Calibri" w:hAnsi="Calibri" w:cs="Calibri"/>
        </w:rPr>
        <w:t xml:space="preserve">21% </w:t>
      </w:r>
      <w:r w:rsidR="00BB564D">
        <w:rPr>
          <w:rFonts w:ascii="Calibri" w:hAnsi="Calibri" w:cs="Calibri"/>
        </w:rPr>
        <w:t xml:space="preserve">per </w:t>
      </w:r>
      <w:r w:rsidRPr="00921F96">
        <w:rPr>
          <w:rFonts w:ascii="Calibri" w:hAnsi="Calibri" w:cs="Calibri"/>
        </w:rPr>
        <w:t xml:space="preserve">oltre 10 milioni di euro di export in meno rispetto al 2024. Gli Stati Uniti, che nel 2024 rappresentavano il secondo mercato di sbocco del settore, hanno visto una </w:t>
      </w:r>
      <w:r>
        <w:rPr>
          <w:rFonts w:ascii="Calibri" w:hAnsi="Calibri" w:cs="Calibri"/>
        </w:rPr>
        <w:t>flessione</w:t>
      </w:r>
      <w:r w:rsidRPr="00921F96">
        <w:rPr>
          <w:rFonts w:ascii="Calibri" w:hAnsi="Calibri" w:cs="Calibri"/>
        </w:rPr>
        <w:t xml:space="preserve"> del 39,7%, pari a quasi 20 milioni di euro in meno.</w:t>
      </w:r>
      <w:r>
        <w:rPr>
          <w:rFonts w:ascii="Calibri" w:hAnsi="Calibri" w:cs="Calibri"/>
        </w:rPr>
        <w:t xml:space="preserve"> </w:t>
      </w:r>
      <w:r w:rsidRPr="00921F96">
        <w:rPr>
          <w:rFonts w:ascii="Calibri" w:hAnsi="Calibri" w:cs="Calibri"/>
        </w:rPr>
        <w:t xml:space="preserve">In forte diminuzione anche le vendite verso </w:t>
      </w:r>
      <w:r w:rsidR="00BB564D">
        <w:rPr>
          <w:rFonts w:ascii="Calibri" w:hAnsi="Calibri" w:cs="Calibri"/>
        </w:rPr>
        <w:t xml:space="preserve">la Spagna (-9,4%), terzo mercato di sbocco, </w:t>
      </w:r>
      <w:r w:rsidRPr="00921F96">
        <w:rPr>
          <w:rFonts w:ascii="Calibri" w:hAnsi="Calibri" w:cs="Calibri"/>
        </w:rPr>
        <w:t>la Turchia (-44,1%), il Canada (-43,2%)</w:t>
      </w:r>
      <w:r w:rsidR="00BB564D">
        <w:rPr>
          <w:rFonts w:ascii="Calibri" w:hAnsi="Calibri" w:cs="Calibri"/>
        </w:rPr>
        <w:t xml:space="preserve"> e</w:t>
      </w:r>
      <w:r w:rsidRPr="00921F96">
        <w:rPr>
          <w:rFonts w:ascii="Calibri" w:hAnsi="Calibri" w:cs="Calibri"/>
        </w:rPr>
        <w:t xml:space="preserve"> la Svezia (-94,4%). Non </w:t>
      </w:r>
      <w:r w:rsidR="003A767A">
        <w:rPr>
          <w:rFonts w:ascii="Calibri" w:hAnsi="Calibri" w:cs="Calibri"/>
        </w:rPr>
        <w:t xml:space="preserve">sono </w:t>
      </w:r>
      <w:r w:rsidRPr="00921F96">
        <w:rPr>
          <w:rFonts w:ascii="Calibri" w:hAnsi="Calibri" w:cs="Calibri"/>
        </w:rPr>
        <w:t>manca</w:t>
      </w:r>
      <w:r w:rsidR="003A767A">
        <w:rPr>
          <w:rFonts w:ascii="Calibri" w:hAnsi="Calibri" w:cs="Calibri"/>
        </w:rPr>
        <w:t>ti</w:t>
      </w:r>
      <w:r w:rsidRPr="00921F96">
        <w:rPr>
          <w:rFonts w:ascii="Calibri" w:hAnsi="Calibri" w:cs="Calibri"/>
        </w:rPr>
        <w:t xml:space="preserve"> </w:t>
      </w:r>
      <w:r>
        <w:rPr>
          <w:rFonts w:ascii="Calibri" w:hAnsi="Calibri" w:cs="Calibri"/>
        </w:rPr>
        <w:t>però</w:t>
      </w:r>
      <w:r w:rsidRPr="00921F96">
        <w:rPr>
          <w:rFonts w:ascii="Calibri" w:hAnsi="Calibri" w:cs="Calibri"/>
        </w:rPr>
        <w:t xml:space="preserve"> alcuni segnali positivi</w:t>
      </w:r>
      <w:r>
        <w:rPr>
          <w:rFonts w:ascii="Calibri" w:hAnsi="Calibri" w:cs="Calibri"/>
        </w:rPr>
        <w:t xml:space="preserve">: </w:t>
      </w:r>
      <w:r w:rsidR="003A137C">
        <w:rPr>
          <w:rFonts w:ascii="Calibri" w:hAnsi="Calibri" w:cs="Calibri"/>
        </w:rPr>
        <w:t xml:space="preserve">si sono rilevate </w:t>
      </w:r>
      <w:r w:rsidR="00EA21A9">
        <w:rPr>
          <w:rFonts w:ascii="Calibri" w:hAnsi="Calibri" w:cs="Calibri"/>
        </w:rPr>
        <w:t xml:space="preserve">buone </w:t>
      </w:r>
      <w:r>
        <w:rPr>
          <w:rFonts w:ascii="Calibri" w:hAnsi="Calibri" w:cs="Calibri"/>
        </w:rPr>
        <w:t>c</w:t>
      </w:r>
      <w:r w:rsidRPr="00921F96">
        <w:rPr>
          <w:rFonts w:ascii="Calibri" w:hAnsi="Calibri" w:cs="Calibri"/>
        </w:rPr>
        <w:t xml:space="preserve">rescite </w:t>
      </w:r>
      <w:r w:rsidR="003A137C">
        <w:rPr>
          <w:rFonts w:ascii="Calibri" w:hAnsi="Calibri" w:cs="Calibri"/>
        </w:rPr>
        <w:t xml:space="preserve">nelle vendite in </w:t>
      </w:r>
      <w:r w:rsidRPr="00921F96">
        <w:rPr>
          <w:rFonts w:ascii="Calibri" w:hAnsi="Calibri" w:cs="Calibri"/>
        </w:rPr>
        <w:t>Austria (+6,9%),</w:t>
      </w:r>
      <w:r w:rsidR="00BB564D">
        <w:rPr>
          <w:rFonts w:ascii="Calibri" w:hAnsi="Calibri" w:cs="Calibri"/>
        </w:rPr>
        <w:t xml:space="preserve"> divenuta il quarto mercato di destinazione,</w:t>
      </w:r>
      <w:r w:rsidRPr="00921F96">
        <w:rPr>
          <w:rFonts w:ascii="Calibri" w:hAnsi="Calibri" w:cs="Calibri"/>
        </w:rPr>
        <w:t xml:space="preserve"> </w:t>
      </w:r>
      <w:r w:rsidR="00BB564D">
        <w:rPr>
          <w:rFonts w:ascii="Calibri" w:hAnsi="Calibri" w:cs="Calibri"/>
        </w:rPr>
        <w:t xml:space="preserve">Grecia (+11,7%), </w:t>
      </w:r>
      <w:r w:rsidRPr="00921F96">
        <w:rPr>
          <w:rFonts w:ascii="Calibri" w:hAnsi="Calibri" w:cs="Calibri"/>
        </w:rPr>
        <w:t>Polonia (+16,4%), Belgio (+8,1%) e Croazia (+8,0%).</w:t>
      </w:r>
    </w:p>
    <w:p w14:paraId="0EEB3604" w14:textId="77777777" w:rsidR="0022419F" w:rsidRDefault="0022419F" w:rsidP="0038325F">
      <w:pPr>
        <w:spacing w:after="240"/>
        <w:jc w:val="both"/>
        <w:rPr>
          <w:rFonts w:ascii="Calibri" w:hAnsi="Calibri" w:cs="Calibri"/>
        </w:rPr>
      </w:pPr>
      <w:r w:rsidRPr="0046087C">
        <w:rPr>
          <w:rFonts w:ascii="Calibri" w:hAnsi="Calibri" w:cs="Calibri"/>
        </w:rPr>
        <w:t xml:space="preserve">La crisi del </w:t>
      </w:r>
      <w:r w:rsidRPr="00C758ED">
        <w:rPr>
          <w:rFonts w:ascii="Calibri" w:hAnsi="Calibri" w:cs="Calibri"/>
          <w:b/>
          <w:bCs/>
          <w:i/>
          <w:iCs/>
        </w:rPr>
        <w:t>sistema moda</w:t>
      </w:r>
      <w:r w:rsidRPr="0046087C">
        <w:rPr>
          <w:rFonts w:ascii="Calibri" w:hAnsi="Calibri" w:cs="Calibri"/>
        </w:rPr>
        <w:t xml:space="preserve"> toscano continua a farsi sentire anche nel territorio pisano</w:t>
      </w:r>
      <w:r w:rsidR="000723DC">
        <w:rPr>
          <w:rFonts w:ascii="Calibri" w:hAnsi="Calibri" w:cs="Calibri"/>
        </w:rPr>
        <w:t>,</w:t>
      </w:r>
      <w:r w:rsidRPr="0046087C">
        <w:rPr>
          <w:rFonts w:ascii="Calibri" w:hAnsi="Calibri" w:cs="Calibri"/>
        </w:rPr>
        <w:t xml:space="preserve"> anche se </w:t>
      </w:r>
      <w:r w:rsidR="003A137C">
        <w:rPr>
          <w:rFonts w:ascii="Calibri" w:hAnsi="Calibri" w:cs="Calibri"/>
        </w:rPr>
        <w:t>alcuni</w:t>
      </w:r>
      <w:r w:rsidRPr="0046087C">
        <w:rPr>
          <w:rFonts w:ascii="Calibri" w:hAnsi="Calibri" w:cs="Calibri"/>
        </w:rPr>
        <w:t xml:space="preserve"> segnali confortanti </w:t>
      </w:r>
      <w:r w:rsidR="003A137C">
        <w:rPr>
          <w:rFonts w:ascii="Calibri" w:hAnsi="Calibri" w:cs="Calibri"/>
        </w:rPr>
        <w:t>sono pervenuti dal</w:t>
      </w:r>
      <w:r w:rsidRPr="0046087C">
        <w:rPr>
          <w:rFonts w:ascii="Calibri" w:hAnsi="Calibri" w:cs="Calibri"/>
        </w:rPr>
        <w:t xml:space="preserve"> settore abbigliamento.</w:t>
      </w:r>
      <w:r>
        <w:rPr>
          <w:rFonts w:ascii="Calibri" w:hAnsi="Calibri" w:cs="Calibri"/>
        </w:rPr>
        <w:t xml:space="preserve"> </w:t>
      </w:r>
      <w:r w:rsidRPr="00C758ED">
        <w:rPr>
          <w:rFonts w:ascii="Calibri" w:hAnsi="Calibri" w:cs="Calibri"/>
        </w:rPr>
        <w:t xml:space="preserve">Nel primo semestre del 2025 </w:t>
      </w:r>
      <w:r>
        <w:rPr>
          <w:rFonts w:ascii="Calibri" w:hAnsi="Calibri" w:cs="Calibri"/>
        </w:rPr>
        <w:t xml:space="preserve">l’export del </w:t>
      </w:r>
      <w:r w:rsidRPr="00C758ED">
        <w:rPr>
          <w:rFonts w:ascii="Calibri" w:hAnsi="Calibri" w:cs="Calibri"/>
          <w:b/>
          <w:bCs/>
          <w:i/>
          <w:iCs/>
        </w:rPr>
        <w:t>cuoio</w:t>
      </w:r>
      <w:r w:rsidRPr="00C758ED">
        <w:rPr>
          <w:rFonts w:ascii="Calibri" w:hAnsi="Calibri" w:cs="Calibri"/>
        </w:rPr>
        <w:t xml:space="preserve"> </w:t>
      </w:r>
      <w:r>
        <w:rPr>
          <w:rFonts w:ascii="Calibri" w:hAnsi="Calibri" w:cs="Calibri"/>
        </w:rPr>
        <w:t xml:space="preserve">pisano ha evidenziato una </w:t>
      </w:r>
      <w:r w:rsidRPr="00C758ED">
        <w:rPr>
          <w:rFonts w:ascii="Calibri" w:hAnsi="Calibri" w:cs="Calibri"/>
        </w:rPr>
        <w:t xml:space="preserve">contrazione </w:t>
      </w:r>
      <w:r>
        <w:rPr>
          <w:rFonts w:ascii="Calibri" w:hAnsi="Calibri" w:cs="Calibri"/>
        </w:rPr>
        <w:t xml:space="preserve">del </w:t>
      </w:r>
      <w:r w:rsidRPr="00C758ED">
        <w:rPr>
          <w:rFonts w:ascii="Calibri" w:hAnsi="Calibri" w:cs="Calibri"/>
        </w:rPr>
        <w:t xml:space="preserve">4,2% rispetto allo stesso periodo del 2024. </w:t>
      </w:r>
      <w:r>
        <w:rPr>
          <w:rFonts w:ascii="Calibri" w:hAnsi="Calibri" w:cs="Calibri"/>
        </w:rPr>
        <w:t>I</w:t>
      </w:r>
      <w:r w:rsidRPr="00C758ED">
        <w:rPr>
          <w:rFonts w:ascii="Calibri" w:hAnsi="Calibri" w:cs="Calibri"/>
        </w:rPr>
        <w:t xml:space="preserve">n termini assoluti </w:t>
      </w:r>
      <w:r>
        <w:rPr>
          <w:rFonts w:ascii="Calibri" w:hAnsi="Calibri" w:cs="Calibri"/>
        </w:rPr>
        <w:t>l</w:t>
      </w:r>
      <w:r w:rsidRPr="00C758ED">
        <w:rPr>
          <w:rFonts w:ascii="Calibri" w:hAnsi="Calibri" w:cs="Calibri"/>
        </w:rPr>
        <w:t xml:space="preserve">a </w:t>
      </w:r>
      <w:r w:rsidR="000723DC">
        <w:rPr>
          <w:rFonts w:ascii="Calibri" w:hAnsi="Calibri" w:cs="Calibri"/>
        </w:rPr>
        <w:t>diminuzione</w:t>
      </w:r>
      <w:r w:rsidRPr="00C758ED">
        <w:rPr>
          <w:rFonts w:ascii="Calibri" w:hAnsi="Calibri" w:cs="Calibri"/>
        </w:rPr>
        <w:t xml:space="preserve"> è </w:t>
      </w:r>
      <w:r>
        <w:rPr>
          <w:rFonts w:ascii="Calibri" w:hAnsi="Calibri" w:cs="Calibri"/>
        </w:rPr>
        <w:t xml:space="preserve">stata </w:t>
      </w:r>
      <w:r w:rsidRPr="00C758ED">
        <w:rPr>
          <w:rFonts w:ascii="Calibri" w:hAnsi="Calibri" w:cs="Calibri"/>
        </w:rPr>
        <w:t>pari a circa 12</w:t>
      </w:r>
      <w:r>
        <w:rPr>
          <w:rFonts w:ascii="Calibri" w:hAnsi="Calibri" w:cs="Calibri"/>
        </w:rPr>
        <w:t>,5</w:t>
      </w:r>
      <w:r w:rsidRPr="00C758ED">
        <w:rPr>
          <w:rFonts w:ascii="Calibri" w:hAnsi="Calibri" w:cs="Calibri"/>
        </w:rPr>
        <w:t xml:space="preserve"> milioni </w:t>
      </w:r>
      <w:r>
        <w:rPr>
          <w:rFonts w:ascii="Calibri" w:hAnsi="Calibri" w:cs="Calibri"/>
        </w:rPr>
        <w:t>di</w:t>
      </w:r>
      <w:r w:rsidRPr="00C758ED">
        <w:rPr>
          <w:rFonts w:ascii="Calibri" w:hAnsi="Calibri" w:cs="Calibri"/>
        </w:rPr>
        <w:t xml:space="preserve"> euro.</w:t>
      </w:r>
      <w:r>
        <w:rPr>
          <w:rFonts w:ascii="Calibri" w:hAnsi="Calibri" w:cs="Calibri"/>
        </w:rPr>
        <w:t xml:space="preserve"> </w:t>
      </w:r>
      <w:r w:rsidRPr="00C758ED">
        <w:rPr>
          <w:rFonts w:ascii="Calibri" w:hAnsi="Calibri" w:cs="Calibri"/>
        </w:rPr>
        <w:t xml:space="preserve">I principali partner commerciali </w:t>
      </w:r>
      <w:r>
        <w:rPr>
          <w:rFonts w:ascii="Calibri" w:hAnsi="Calibri" w:cs="Calibri"/>
        </w:rPr>
        <w:t>sono risultati an</w:t>
      </w:r>
      <w:r w:rsidRPr="00C758ED">
        <w:rPr>
          <w:rFonts w:ascii="Calibri" w:hAnsi="Calibri" w:cs="Calibri"/>
        </w:rPr>
        <w:t>co</w:t>
      </w:r>
      <w:r>
        <w:rPr>
          <w:rFonts w:ascii="Calibri" w:hAnsi="Calibri" w:cs="Calibri"/>
        </w:rPr>
        <w:t>ra</w:t>
      </w:r>
      <w:r w:rsidRPr="00C758ED">
        <w:rPr>
          <w:rFonts w:ascii="Calibri" w:hAnsi="Calibri" w:cs="Calibri"/>
        </w:rPr>
        <w:t xml:space="preserve"> Francia e Spagna, che insieme assorbono quasi il 39% del valore esportato. La Francia </w:t>
      </w:r>
      <w:r>
        <w:rPr>
          <w:rFonts w:ascii="Calibri" w:hAnsi="Calibri" w:cs="Calibri"/>
        </w:rPr>
        <w:t xml:space="preserve">ha </w:t>
      </w:r>
      <w:r w:rsidRPr="00C758ED">
        <w:rPr>
          <w:rFonts w:ascii="Calibri" w:hAnsi="Calibri" w:cs="Calibri"/>
        </w:rPr>
        <w:t>mant</w:t>
      </w:r>
      <w:r>
        <w:rPr>
          <w:rFonts w:ascii="Calibri" w:hAnsi="Calibri" w:cs="Calibri"/>
        </w:rPr>
        <w:t>enuto</w:t>
      </w:r>
      <w:r w:rsidRPr="00C758ED">
        <w:rPr>
          <w:rFonts w:ascii="Calibri" w:hAnsi="Calibri" w:cs="Calibri"/>
        </w:rPr>
        <w:t xml:space="preserve"> un andamento moderatamente positivo (+1,6%) raggiun</w:t>
      </w:r>
      <w:r w:rsidR="000723DC">
        <w:rPr>
          <w:rFonts w:ascii="Calibri" w:hAnsi="Calibri" w:cs="Calibri"/>
        </w:rPr>
        <w:t xml:space="preserve">gendo </w:t>
      </w:r>
      <w:r w:rsidRPr="00C758ED">
        <w:rPr>
          <w:rFonts w:ascii="Calibri" w:hAnsi="Calibri" w:cs="Calibri"/>
        </w:rPr>
        <w:t xml:space="preserve">i 74 milioni di euro. La Spagna, invece, </w:t>
      </w:r>
      <w:r>
        <w:rPr>
          <w:rFonts w:ascii="Calibri" w:hAnsi="Calibri" w:cs="Calibri"/>
        </w:rPr>
        <w:t xml:space="preserve">ha </w:t>
      </w:r>
      <w:r w:rsidR="003A137C">
        <w:rPr>
          <w:rFonts w:ascii="Calibri" w:hAnsi="Calibri" w:cs="Calibri"/>
        </w:rPr>
        <w:t>mostrato</w:t>
      </w:r>
      <w:r w:rsidRPr="00C758ED">
        <w:rPr>
          <w:rFonts w:ascii="Calibri" w:hAnsi="Calibri" w:cs="Calibri"/>
        </w:rPr>
        <w:t xml:space="preserve"> una flessione </w:t>
      </w:r>
      <w:r w:rsidR="003A137C">
        <w:rPr>
          <w:rFonts w:ascii="Calibri" w:hAnsi="Calibri" w:cs="Calibri"/>
        </w:rPr>
        <w:t>netta</w:t>
      </w:r>
      <w:r w:rsidRPr="00C758ED">
        <w:rPr>
          <w:rFonts w:ascii="Calibri" w:hAnsi="Calibri" w:cs="Calibri"/>
        </w:rPr>
        <w:t xml:space="preserve"> (-8,1%), perdendo oltre 3 milioni e attestandosi a </w:t>
      </w:r>
      <w:r w:rsidR="00A75A08">
        <w:rPr>
          <w:rFonts w:ascii="Calibri" w:hAnsi="Calibri" w:cs="Calibri"/>
        </w:rPr>
        <w:t xml:space="preserve">quota </w:t>
      </w:r>
      <w:r w:rsidRPr="00C758ED">
        <w:rPr>
          <w:rFonts w:ascii="Calibri" w:hAnsi="Calibri" w:cs="Calibri"/>
        </w:rPr>
        <w:t xml:space="preserve">36,4 </w:t>
      </w:r>
      <w:r w:rsidRPr="00C758ED">
        <w:rPr>
          <w:rFonts w:ascii="Calibri" w:hAnsi="Calibri" w:cs="Calibri"/>
        </w:rPr>
        <w:lastRenderedPageBreak/>
        <w:t>milioni di euro</w:t>
      </w:r>
      <w:r w:rsidR="00A75A08">
        <w:rPr>
          <w:rFonts w:ascii="Calibri" w:hAnsi="Calibri" w:cs="Calibri"/>
        </w:rPr>
        <w:t xml:space="preserve">. Sono diminuite </w:t>
      </w:r>
      <w:r w:rsidRPr="00C758ED">
        <w:rPr>
          <w:rFonts w:ascii="Calibri" w:hAnsi="Calibri" w:cs="Calibri"/>
        </w:rPr>
        <w:t>l</w:t>
      </w:r>
      <w:r w:rsidR="00A75A08">
        <w:rPr>
          <w:rFonts w:ascii="Calibri" w:hAnsi="Calibri" w:cs="Calibri"/>
        </w:rPr>
        <w:t xml:space="preserve">e vendite in </w:t>
      </w:r>
      <w:r w:rsidRPr="00C758ED">
        <w:rPr>
          <w:rFonts w:ascii="Calibri" w:hAnsi="Calibri" w:cs="Calibri"/>
        </w:rPr>
        <w:t>Cina (-39,5%)</w:t>
      </w:r>
      <w:r w:rsidR="00A75A08">
        <w:rPr>
          <w:rFonts w:ascii="Calibri" w:hAnsi="Calibri" w:cs="Calibri"/>
        </w:rPr>
        <w:t>,</w:t>
      </w:r>
      <w:r w:rsidRPr="00C758ED">
        <w:rPr>
          <w:rFonts w:ascii="Calibri" w:hAnsi="Calibri" w:cs="Calibri"/>
        </w:rPr>
        <w:t xml:space="preserve"> che nel primo semestre 2025 </w:t>
      </w:r>
      <w:r>
        <w:rPr>
          <w:rFonts w:ascii="Calibri" w:hAnsi="Calibri" w:cs="Calibri"/>
        </w:rPr>
        <w:t>ha perso</w:t>
      </w:r>
      <w:r w:rsidRPr="00C758ED">
        <w:rPr>
          <w:rFonts w:ascii="Calibri" w:hAnsi="Calibri" w:cs="Calibri"/>
        </w:rPr>
        <w:t xml:space="preserve"> oltre 8</w:t>
      </w:r>
      <w:r>
        <w:rPr>
          <w:rFonts w:ascii="Calibri" w:hAnsi="Calibri" w:cs="Calibri"/>
        </w:rPr>
        <w:t>,4 milioni di euro</w:t>
      </w:r>
      <w:r w:rsidRPr="00C758ED">
        <w:rPr>
          <w:rFonts w:ascii="Calibri" w:hAnsi="Calibri" w:cs="Calibri"/>
        </w:rPr>
        <w:t xml:space="preserve"> rispetto all’anno precedente. In calo anche </w:t>
      </w:r>
      <w:r>
        <w:rPr>
          <w:rFonts w:ascii="Calibri" w:hAnsi="Calibri" w:cs="Calibri"/>
        </w:rPr>
        <w:t xml:space="preserve">Vietnam (-9,9%), </w:t>
      </w:r>
      <w:r w:rsidRPr="00C758ED">
        <w:rPr>
          <w:rFonts w:ascii="Calibri" w:hAnsi="Calibri" w:cs="Calibri"/>
        </w:rPr>
        <w:t>Hong Kong (-14,5%)</w:t>
      </w:r>
      <w:r>
        <w:rPr>
          <w:rFonts w:ascii="Calibri" w:hAnsi="Calibri" w:cs="Calibri"/>
        </w:rPr>
        <w:t xml:space="preserve">, </w:t>
      </w:r>
      <w:r w:rsidRPr="00C758ED">
        <w:rPr>
          <w:rFonts w:ascii="Calibri" w:hAnsi="Calibri" w:cs="Calibri"/>
        </w:rPr>
        <w:t>Regno Unito (-29%), India (-15,1%), Romania (-13,8%)</w:t>
      </w:r>
      <w:r>
        <w:rPr>
          <w:rFonts w:ascii="Calibri" w:hAnsi="Calibri" w:cs="Calibri"/>
        </w:rPr>
        <w:t xml:space="preserve"> e</w:t>
      </w:r>
      <w:r w:rsidRPr="00C758ED">
        <w:rPr>
          <w:rFonts w:ascii="Calibri" w:hAnsi="Calibri" w:cs="Calibri"/>
        </w:rPr>
        <w:t xml:space="preserve"> Svizzera (-43,4%)</w:t>
      </w:r>
      <w:r>
        <w:rPr>
          <w:rFonts w:ascii="Calibri" w:hAnsi="Calibri" w:cs="Calibri"/>
        </w:rPr>
        <w:t xml:space="preserve">. </w:t>
      </w:r>
      <w:r w:rsidRPr="00C758ED">
        <w:rPr>
          <w:rFonts w:ascii="Calibri" w:hAnsi="Calibri" w:cs="Calibri"/>
        </w:rPr>
        <w:t>Tra i mercati in crescita si segnalano il Portogallo (+8,4%</w:t>
      </w:r>
      <w:r>
        <w:rPr>
          <w:rFonts w:ascii="Calibri" w:hAnsi="Calibri" w:cs="Calibri"/>
        </w:rPr>
        <w:t>, 20 milioni</w:t>
      </w:r>
      <w:r w:rsidRPr="00C758ED">
        <w:rPr>
          <w:rFonts w:ascii="Calibri" w:hAnsi="Calibri" w:cs="Calibri"/>
        </w:rPr>
        <w:t>)</w:t>
      </w:r>
      <w:r>
        <w:rPr>
          <w:rFonts w:ascii="Calibri" w:hAnsi="Calibri" w:cs="Calibri"/>
        </w:rPr>
        <w:t xml:space="preserve"> e la </w:t>
      </w:r>
      <w:r w:rsidRPr="00C758ED">
        <w:rPr>
          <w:rFonts w:ascii="Calibri" w:hAnsi="Calibri" w:cs="Calibri"/>
        </w:rPr>
        <w:t xml:space="preserve">Germania (+17,1%) che </w:t>
      </w:r>
      <w:r w:rsidR="003A137C">
        <w:rPr>
          <w:rFonts w:ascii="Calibri" w:hAnsi="Calibri" w:cs="Calibri"/>
        </w:rPr>
        <w:t xml:space="preserve">ha </w:t>
      </w:r>
      <w:r w:rsidRPr="00C758ED">
        <w:rPr>
          <w:rFonts w:ascii="Calibri" w:hAnsi="Calibri" w:cs="Calibri"/>
        </w:rPr>
        <w:t>sfiora</w:t>
      </w:r>
      <w:r w:rsidR="003A137C">
        <w:rPr>
          <w:rFonts w:ascii="Calibri" w:hAnsi="Calibri" w:cs="Calibri"/>
        </w:rPr>
        <w:t>to i</w:t>
      </w:r>
      <w:r w:rsidRPr="00C758ED">
        <w:rPr>
          <w:rFonts w:ascii="Calibri" w:hAnsi="Calibri" w:cs="Calibri"/>
        </w:rPr>
        <w:t xml:space="preserve"> 19 milioni di euro. D</w:t>
      </w:r>
      <w:r w:rsidR="003A137C">
        <w:rPr>
          <w:rFonts w:ascii="Calibri" w:hAnsi="Calibri" w:cs="Calibri"/>
        </w:rPr>
        <w:t>egno di nota,</w:t>
      </w:r>
      <w:r w:rsidRPr="00C758ED">
        <w:rPr>
          <w:rFonts w:ascii="Calibri" w:hAnsi="Calibri" w:cs="Calibri"/>
        </w:rPr>
        <w:t xml:space="preserve"> in</w:t>
      </w:r>
      <w:r>
        <w:rPr>
          <w:rFonts w:ascii="Calibri" w:hAnsi="Calibri" w:cs="Calibri"/>
        </w:rPr>
        <w:t>fine</w:t>
      </w:r>
      <w:r w:rsidR="003A137C">
        <w:rPr>
          <w:rFonts w:ascii="Calibri" w:hAnsi="Calibri" w:cs="Calibri"/>
        </w:rPr>
        <w:t>,</w:t>
      </w:r>
      <w:r w:rsidRPr="00C758ED">
        <w:rPr>
          <w:rFonts w:ascii="Calibri" w:hAnsi="Calibri" w:cs="Calibri"/>
        </w:rPr>
        <w:t xml:space="preserve"> </w:t>
      </w:r>
      <w:r>
        <w:rPr>
          <w:rFonts w:ascii="Calibri" w:hAnsi="Calibri" w:cs="Calibri"/>
        </w:rPr>
        <w:t xml:space="preserve">il forte sviluppo in </w:t>
      </w:r>
      <w:r w:rsidRPr="00C758ED">
        <w:rPr>
          <w:rFonts w:ascii="Calibri" w:hAnsi="Calibri" w:cs="Calibri"/>
        </w:rPr>
        <w:t xml:space="preserve">Indonesia </w:t>
      </w:r>
      <w:r>
        <w:rPr>
          <w:rFonts w:ascii="Calibri" w:hAnsi="Calibri" w:cs="Calibri"/>
        </w:rPr>
        <w:t xml:space="preserve">dove le vendite </w:t>
      </w:r>
      <w:r w:rsidR="003A137C">
        <w:rPr>
          <w:rFonts w:ascii="Calibri" w:hAnsi="Calibri" w:cs="Calibri"/>
        </w:rPr>
        <w:t>sono passate</w:t>
      </w:r>
      <w:r w:rsidRPr="00C758ED">
        <w:rPr>
          <w:rFonts w:ascii="Calibri" w:hAnsi="Calibri" w:cs="Calibri"/>
        </w:rPr>
        <w:t xml:space="preserve"> da circa 1 milione a oltre 2,5 milioni di euro</w:t>
      </w:r>
      <w:r>
        <w:rPr>
          <w:rFonts w:ascii="Calibri" w:hAnsi="Calibri" w:cs="Calibri"/>
        </w:rPr>
        <w:t>.</w:t>
      </w:r>
    </w:p>
    <w:tbl>
      <w:tblPr>
        <w:tblW w:w="9516" w:type="dxa"/>
        <w:tblInd w:w="70" w:type="dxa"/>
        <w:tblCellMar>
          <w:left w:w="70" w:type="dxa"/>
          <w:right w:w="70" w:type="dxa"/>
        </w:tblCellMar>
        <w:tblLook w:val="04A0" w:firstRow="1" w:lastRow="0" w:firstColumn="1" w:lastColumn="0" w:noHBand="0" w:noVBand="1"/>
      </w:tblPr>
      <w:tblGrid>
        <w:gridCol w:w="4111"/>
        <w:gridCol w:w="1317"/>
        <w:gridCol w:w="1314"/>
        <w:gridCol w:w="985"/>
        <w:gridCol w:w="737"/>
        <w:gridCol w:w="1052"/>
      </w:tblGrid>
      <w:tr w:rsidR="0038325F" w:rsidRPr="003B2BAB" w14:paraId="0DF593DD" w14:textId="77777777" w:rsidTr="004C235D">
        <w:trPr>
          <w:trHeight w:val="283"/>
        </w:trPr>
        <w:tc>
          <w:tcPr>
            <w:tcW w:w="9514" w:type="dxa"/>
            <w:gridSpan w:val="6"/>
            <w:tcBorders>
              <w:top w:val="nil"/>
              <w:left w:val="nil"/>
              <w:bottom w:val="nil"/>
            </w:tcBorders>
            <w:noWrap/>
            <w:vAlign w:val="center"/>
            <w:hideMark/>
          </w:tcPr>
          <w:p w14:paraId="7083DE57" w14:textId="77777777" w:rsidR="0038325F" w:rsidRPr="003B2BAB" w:rsidRDefault="0038325F" w:rsidP="00A35AEF">
            <w:pPr>
              <w:rPr>
                <w:rFonts w:ascii="Calibri" w:hAnsi="Calibri" w:cs="Calibri"/>
                <w:sz w:val="20"/>
                <w:szCs w:val="20"/>
              </w:rPr>
            </w:pPr>
            <w:r w:rsidRPr="003B2BAB">
              <w:rPr>
                <w:rFonts w:ascii="Calibri" w:hAnsi="Calibri" w:cs="Calibri"/>
                <w:b/>
                <w:bCs/>
                <w:color w:val="000000"/>
                <w:sz w:val="20"/>
                <w:szCs w:val="20"/>
              </w:rPr>
              <w:t>I principali settori esportatori della provincia di Pisa - I semestre 2025</w:t>
            </w:r>
          </w:p>
        </w:tc>
      </w:tr>
      <w:tr w:rsidR="0038325F" w:rsidRPr="003B2BAB" w14:paraId="3865DFED" w14:textId="77777777" w:rsidTr="004C235D">
        <w:trPr>
          <w:trHeight w:val="283"/>
        </w:trPr>
        <w:tc>
          <w:tcPr>
            <w:tcW w:w="9514" w:type="dxa"/>
            <w:gridSpan w:val="6"/>
            <w:tcBorders>
              <w:top w:val="nil"/>
              <w:left w:val="nil"/>
              <w:bottom w:val="nil"/>
            </w:tcBorders>
            <w:noWrap/>
            <w:vAlign w:val="center"/>
            <w:hideMark/>
          </w:tcPr>
          <w:p w14:paraId="21363A43" w14:textId="77777777" w:rsidR="0038325F" w:rsidRPr="003B2BAB" w:rsidRDefault="0038325F" w:rsidP="00A35AEF">
            <w:pPr>
              <w:rPr>
                <w:rFonts w:ascii="Calibri" w:hAnsi="Calibri" w:cs="Calibri"/>
                <w:sz w:val="20"/>
                <w:szCs w:val="20"/>
              </w:rPr>
            </w:pPr>
            <w:r w:rsidRPr="003B2BAB">
              <w:rPr>
                <w:rFonts w:ascii="Calibri" w:hAnsi="Calibri" w:cs="Calibri"/>
                <w:i/>
                <w:iCs/>
                <w:color w:val="000000"/>
                <w:sz w:val="20"/>
                <w:szCs w:val="20"/>
              </w:rPr>
              <w:t>Valori assoluti in euro, var. % e contributi % alla crescita </w:t>
            </w:r>
          </w:p>
        </w:tc>
      </w:tr>
      <w:tr w:rsidR="0038325F" w:rsidRPr="003B2BAB" w14:paraId="48A084DD" w14:textId="77777777" w:rsidTr="004C235D">
        <w:trPr>
          <w:trHeight w:val="283"/>
        </w:trPr>
        <w:tc>
          <w:tcPr>
            <w:tcW w:w="4111" w:type="dxa"/>
            <w:vMerge w:val="restart"/>
            <w:tcBorders>
              <w:top w:val="single" w:sz="4" w:space="0" w:color="auto"/>
              <w:left w:val="nil"/>
              <w:bottom w:val="single" w:sz="4" w:space="0" w:color="000000"/>
              <w:right w:val="nil"/>
            </w:tcBorders>
            <w:noWrap/>
            <w:vAlign w:val="center"/>
            <w:hideMark/>
          </w:tcPr>
          <w:p w14:paraId="374C5ACB" w14:textId="77777777" w:rsidR="0038325F" w:rsidRPr="003B2BAB" w:rsidRDefault="0038325F" w:rsidP="00A35AEF">
            <w:pPr>
              <w:rPr>
                <w:rFonts w:ascii="Calibri" w:hAnsi="Calibri" w:cs="Calibri"/>
                <w:b/>
                <w:bCs/>
                <w:color w:val="000000"/>
                <w:sz w:val="20"/>
                <w:szCs w:val="20"/>
              </w:rPr>
            </w:pPr>
            <w:r w:rsidRPr="003B2BAB">
              <w:rPr>
                <w:rFonts w:ascii="Calibri" w:hAnsi="Calibri" w:cs="Calibri"/>
                <w:b/>
                <w:bCs/>
                <w:color w:val="000000"/>
                <w:sz w:val="20"/>
                <w:szCs w:val="20"/>
              </w:rPr>
              <w:t>Settori di attività</w:t>
            </w:r>
          </w:p>
        </w:tc>
        <w:tc>
          <w:tcPr>
            <w:tcW w:w="2631" w:type="dxa"/>
            <w:gridSpan w:val="2"/>
            <w:tcBorders>
              <w:top w:val="single" w:sz="4" w:space="0" w:color="auto"/>
              <w:left w:val="nil"/>
              <w:bottom w:val="single" w:sz="4" w:space="0" w:color="auto"/>
              <w:right w:val="nil"/>
            </w:tcBorders>
            <w:noWrap/>
            <w:vAlign w:val="center"/>
            <w:hideMark/>
          </w:tcPr>
          <w:p w14:paraId="0743F378" w14:textId="77777777" w:rsidR="0038325F" w:rsidRPr="003B2BAB" w:rsidRDefault="0038325F" w:rsidP="00A35AEF">
            <w:pPr>
              <w:jc w:val="center"/>
              <w:rPr>
                <w:rFonts w:ascii="Calibri" w:hAnsi="Calibri" w:cs="Calibri"/>
                <w:b/>
                <w:bCs/>
                <w:color w:val="000000"/>
                <w:sz w:val="20"/>
                <w:szCs w:val="20"/>
              </w:rPr>
            </w:pPr>
            <w:r w:rsidRPr="003B2BAB">
              <w:rPr>
                <w:rFonts w:ascii="Calibri" w:hAnsi="Calibri" w:cs="Calibri"/>
                <w:b/>
                <w:bCs/>
                <w:color w:val="000000"/>
                <w:sz w:val="20"/>
                <w:szCs w:val="20"/>
              </w:rPr>
              <w:t>Valori assoluti in euro</w:t>
            </w:r>
          </w:p>
        </w:tc>
        <w:tc>
          <w:tcPr>
            <w:tcW w:w="985" w:type="dxa"/>
            <w:vMerge w:val="restart"/>
            <w:tcBorders>
              <w:top w:val="single" w:sz="4" w:space="0" w:color="auto"/>
              <w:left w:val="nil"/>
              <w:bottom w:val="single" w:sz="4" w:space="0" w:color="000000"/>
              <w:right w:val="nil"/>
            </w:tcBorders>
            <w:noWrap/>
            <w:vAlign w:val="center"/>
            <w:hideMark/>
          </w:tcPr>
          <w:p w14:paraId="54DFEE47" w14:textId="77777777" w:rsidR="0038325F" w:rsidRPr="003B2BAB" w:rsidRDefault="0038325F" w:rsidP="00A35AEF">
            <w:pPr>
              <w:jc w:val="center"/>
              <w:rPr>
                <w:rFonts w:ascii="Calibri" w:hAnsi="Calibri" w:cs="Calibri"/>
                <w:b/>
                <w:bCs/>
                <w:color w:val="000000"/>
                <w:sz w:val="20"/>
                <w:szCs w:val="20"/>
              </w:rPr>
            </w:pPr>
            <w:r w:rsidRPr="003B2BAB">
              <w:rPr>
                <w:rFonts w:ascii="Calibri" w:hAnsi="Calibri" w:cs="Calibri"/>
                <w:b/>
                <w:bCs/>
                <w:color w:val="000000"/>
                <w:sz w:val="20"/>
                <w:szCs w:val="20"/>
              </w:rPr>
              <w:t>Quota %</w:t>
            </w:r>
          </w:p>
        </w:tc>
        <w:tc>
          <w:tcPr>
            <w:tcW w:w="737" w:type="dxa"/>
            <w:vMerge w:val="restart"/>
            <w:tcBorders>
              <w:top w:val="single" w:sz="4" w:space="0" w:color="auto"/>
              <w:left w:val="nil"/>
              <w:bottom w:val="single" w:sz="4" w:space="0" w:color="000000"/>
              <w:right w:val="nil"/>
            </w:tcBorders>
            <w:noWrap/>
            <w:vAlign w:val="center"/>
            <w:hideMark/>
          </w:tcPr>
          <w:p w14:paraId="2DC4EFAA" w14:textId="77777777" w:rsidR="0038325F" w:rsidRPr="003B2BAB" w:rsidRDefault="0038325F" w:rsidP="00A35AEF">
            <w:pPr>
              <w:jc w:val="center"/>
              <w:rPr>
                <w:rFonts w:ascii="Calibri" w:hAnsi="Calibri" w:cs="Calibri"/>
                <w:b/>
                <w:bCs/>
                <w:color w:val="000000"/>
                <w:sz w:val="20"/>
                <w:szCs w:val="20"/>
              </w:rPr>
            </w:pPr>
            <w:r w:rsidRPr="003B2BAB">
              <w:rPr>
                <w:rFonts w:ascii="Calibri" w:hAnsi="Calibri" w:cs="Calibri"/>
                <w:b/>
                <w:bCs/>
                <w:color w:val="000000"/>
                <w:sz w:val="20"/>
                <w:szCs w:val="20"/>
              </w:rPr>
              <w:t>Var. %</w:t>
            </w:r>
          </w:p>
        </w:tc>
        <w:tc>
          <w:tcPr>
            <w:tcW w:w="1052" w:type="dxa"/>
            <w:vMerge w:val="restart"/>
            <w:tcBorders>
              <w:top w:val="single" w:sz="4" w:space="0" w:color="auto"/>
              <w:left w:val="nil"/>
              <w:bottom w:val="single" w:sz="4" w:space="0" w:color="000000"/>
              <w:right w:val="nil"/>
            </w:tcBorders>
            <w:vAlign w:val="center"/>
            <w:hideMark/>
          </w:tcPr>
          <w:p w14:paraId="772B0660" w14:textId="77777777" w:rsidR="0038325F" w:rsidRPr="003B2BAB" w:rsidRDefault="0038325F" w:rsidP="00A35AEF">
            <w:pPr>
              <w:jc w:val="center"/>
              <w:rPr>
                <w:rFonts w:ascii="Calibri" w:hAnsi="Calibri" w:cs="Calibri"/>
                <w:b/>
                <w:bCs/>
                <w:color w:val="000000"/>
                <w:sz w:val="20"/>
                <w:szCs w:val="20"/>
              </w:rPr>
            </w:pPr>
            <w:r w:rsidRPr="003B2BAB">
              <w:rPr>
                <w:rFonts w:ascii="Calibri" w:hAnsi="Calibri" w:cs="Calibri"/>
                <w:b/>
                <w:bCs/>
                <w:color w:val="000000"/>
                <w:sz w:val="20"/>
                <w:szCs w:val="20"/>
              </w:rPr>
              <w:t>Contributo %</w:t>
            </w:r>
          </w:p>
        </w:tc>
      </w:tr>
      <w:tr w:rsidR="0038325F" w:rsidRPr="003B2BAB" w14:paraId="4EE62594" w14:textId="77777777" w:rsidTr="004C235D">
        <w:trPr>
          <w:trHeight w:val="283"/>
        </w:trPr>
        <w:tc>
          <w:tcPr>
            <w:tcW w:w="4111" w:type="dxa"/>
            <w:vMerge/>
            <w:tcBorders>
              <w:top w:val="single" w:sz="4" w:space="0" w:color="auto"/>
              <w:left w:val="nil"/>
              <w:bottom w:val="single" w:sz="4" w:space="0" w:color="000000"/>
              <w:right w:val="nil"/>
            </w:tcBorders>
            <w:vAlign w:val="center"/>
            <w:hideMark/>
          </w:tcPr>
          <w:p w14:paraId="5115F304" w14:textId="77777777" w:rsidR="0038325F" w:rsidRPr="003B2BAB" w:rsidRDefault="0038325F" w:rsidP="00A35AEF">
            <w:pPr>
              <w:rPr>
                <w:rFonts w:ascii="Calibri" w:hAnsi="Calibri" w:cs="Calibri"/>
                <w:b/>
                <w:bCs/>
                <w:color w:val="000000"/>
                <w:sz w:val="20"/>
                <w:szCs w:val="20"/>
              </w:rPr>
            </w:pPr>
          </w:p>
        </w:tc>
        <w:tc>
          <w:tcPr>
            <w:tcW w:w="1317" w:type="dxa"/>
            <w:tcBorders>
              <w:top w:val="nil"/>
              <w:left w:val="nil"/>
              <w:bottom w:val="single" w:sz="4" w:space="0" w:color="auto"/>
              <w:right w:val="nil"/>
            </w:tcBorders>
            <w:noWrap/>
            <w:vAlign w:val="center"/>
            <w:hideMark/>
          </w:tcPr>
          <w:p w14:paraId="5218CD66" w14:textId="77777777" w:rsidR="0038325F" w:rsidRPr="003B2BAB" w:rsidRDefault="0038325F" w:rsidP="00A35AEF">
            <w:pPr>
              <w:jc w:val="center"/>
              <w:rPr>
                <w:rFonts w:ascii="Calibri" w:hAnsi="Calibri" w:cs="Calibri"/>
                <w:b/>
                <w:bCs/>
                <w:color w:val="000000"/>
                <w:sz w:val="20"/>
                <w:szCs w:val="20"/>
              </w:rPr>
            </w:pPr>
            <w:r w:rsidRPr="003B2BAB">
              <w:rPr>
                <w:rFonts w:ascii="Calibri" w:hAnsi="Calibri" w:cs="Calibri"/>
                <w:b/>
                <w:bCs/>
                <w:color w:val="000000"/>
                <w:sz w:val="20"/>
                <w:szCs w:val="20"/>
              </w:rPr>
              <w:t xml:space="preserve">I </w:t>
            </w:r>
            <w:proofErr w:type="spellStart"/>
            <w:r w:rsidRPr="003B2BAB">
              <w:rPr>
                <w:rFonts w:ascii="Calibri" w:hAnsi="Calibri" w:cs="Calibri"/>
                <w:b/>
                <w:bCs/>
                <w:color w:val="000000"/>
                <w:sz w:val="20"/>
                <w:szCs w:val="20"/>
              </w:rPr>
              <w:t>sem</w:t>
            </w:r>
            <w:proofErr w:type="spellEnd"/>
            <w:r w:rsidRPr="003B2BAB">
              <w:rPr>
                <w:rFonts w:ascii="Calibri" w:hAnsi="Calibri" w:cs="Calibri"/>
                <w:b/>
                <w:bCs/>
                <w:color w:val="000000"/>
                <w:sz w:val="20"/>
                <w:szCs w:val="20"/>
              </w:rPr>
              <w:t xml:space="preserve"> 2024</w:t>
            </w:r>
          </w:p>
        </w:tc>
        <w:tc>
          <w:tcPr>
            <w:tcW w:w="1314" w:type="dxa"/>
            <w:tcBorders>
              <w:top w:val="nil"/>
              <w:left w:val="nil"/>
              <w:bottom w:val="single" w:sz="4" w:space="0" w:color="auto"/>
              <w:right w:val="nil"/>
            </w:tcBorders>
            <w:noWrap/>
            <w:vAlign w:val="center"/>
            <w:hideMark/>
          </w:tcPr>
          <w:p w14:paraId="1C8C9FF1" w14:textId="77777777" w:rsidR="0038325F" w:rsidRPr="003B2BAB" w:rsidRDefault="0038325F" w:rsidP="00A35AEF">
            <w:pPr>
              <w:jc w:val="center"/>
              <w:rPr>
                <w:rFonts w:ascii="Calibri" w:hAnsi="Calibri" w:cs="Calibri"/>
                <w:b/>
                <w:bCs/>
                <w:color w:val="000000"/>
                <w:sz w:val="20"/>
                <w:szCs w:val="20"/>
              </w:rPr>
            </w:pPr>
            <w:r w:rsidRPr="003B2BAB">
              <w:rPr>
                <w:rFonts w:ascii="Calibri" w:hAnsi="Calibri" w:cs="Calibri"/>
                <w:b/>
                <w:bCs/>
                <w:color w:val="000000"/>
                <w:sz w:val="20"/>
                <w:szCs w:val="20"/>
              </w:rPr>
              <w:t xml:space="preserve">I </w:t>
            </w:r>
            <w:proofErr w:type="spellStart"/>
            <w:r w:rsidRPr="003B2BAB">
              <w:rPr>
                <w:rFonts w:ascii="Calibri" w:hAnsi="Calibri" w:cs="Calibri"/>
                <w:b/>
                <w:bCs/>
                <w:color w:val="000000"/>
                <w:sz w:val="20"/>
                <w:szCs w:val="20"/>
              </w:rPr>
              <w:t>sem</w:t>
            </w:r>
            <w:proofErr w:type="spellEnd"/>
            <w:r w:rsidRPr="003B2BAB">
              <w:rPr>
                <w:rFonts w:ascii="Calibri" w:hAnsi="Calibri" w:cs="Calibri"/>
                <w:b/>
                <w:bCs/>
                <w:color w:val="000000"/>
                <w:sz w:val="20"/>
                <w:szCs w:val="20"/>
              </w:rPr>
              <w:t xml:space="preserve"> 2025</w:t>
            </w:r>
          </w:p>
        </w:tc>
        <w:tc>
          <w:tcPr>
            <w:tcW w:w="985" w:type="dxa"/>
            <w:vMerge/>
            <w:tcBorders>
              <w:top w:val="single" w:sz="4" w:space="0" w:color="auto"/>
              <w:left w:val="nil"/>
              <w:bottom w:val="single" w:sz="4" w:space="0" w:color="000000"/>
              <w:right w:val="nil"/>
            </w:tcBorders>
            <w:vAlign w:val="center"/>
            <w:hideMark/>
          </w:tcPr>
          <w:p w14:paraId="59E0AAE1" w14:textId="77777777" w:rsidR="0038325F" w:rsidRPr="003B2BAB" w:rsidRDefault="0038325F" w:rsidP="00A35AEF">
            <w:pPr>
              <w:rPr>
                <w:rFonts w:ascii="Calibri" w:hAnsi="Calibri" w:cs="Calibri"/>
                <w:b/>
                <w:bCs/>
                <w:color w:val="000000"/>
                <w:sz w:val="20"/>
                <w:szCs w:val="20"/>
              </w:rPr>
            </w:pPr>
          </w:p>
        </w:tc>
        <w:tc>
          <w:tcPr>
            <w:tcW w:w="737" w:type="dxa"/>
            <w:vMerge/>
            <w:tcBorders>
              <w:top w:val="single" w:sz="4" w:space="0" w:color="auto"/>
              <w:left w:val="nil"/>
              <w:bottom w:val="single" w:sz="4" w:space="0" w:color="000000"/>
              <w:right w:val="nil"/>
            </w:tcBorders>
            <w:vAlign w:val="center"/>
            <w:hideMark/>
          </w:tcPr>
          <w:p w14:paraId="1B085AC6" w14:textId="77777777" w:rsidR="0038325F" w:rsidRPr="003B2BAB" w:rsidRDefault="0038325F" w:rsidP="00A35AEF">
            <w:pPr>
              <w:rPr>
                <w:rFonts w:ascii="Calibri" w:hAnsi="Calibri" w:cs="Calibri"/>
                <w:b/>
                <w:bCs/>
                <w:color w:val="000000"/>
                <w:sz w:val="20"/>
                <w:szCs w:val="20"/>
              </w:rPr>
            </w:pPr>
          </w:p>
        </w:tc>
        <w:tc>
          <w:tcPr>
            <w:tcW w:w="1052" w:type="dxa"/>
            <w:vMerge/>
            <w:tcBorders>
              <w:top w:val="single" w:sz="4" w:space="0" w:color="auto"/>
              <w:left w:val="nil"/>
              <w:bottom w:val="single" w:sz="4" w:space="0" w:color="000000"/>
              <w:right w:val="nil"/>
            </w:tcBorders>
            <w:vAlign w:val="center"/>
            <w:hideMark/>
          </w:tcPr>
          <w:p w14:paraId="2A8F1A06" w14:textId="77777777" w:rsidR="0038325F" w:rsidRPr="003B2BAB" w:rsidRDefault="0038325F" w:rsidP="00A35AEF">
            <w:pPr>
              <w:rPr>
                <w:rFonts w:ascii="Calibri" w:hAnsi="Calibri" w:cs="Calibri"/>
                <w:b/>
                <w:bCs/>
                <w:color w:val="000000"/>
                <w:sz w:val="20"/>
                <w:szCs w:val="20"/>
              </w:rPr>
            </w:pPr>
          </w:p>
        </w:tc>
      </w:tr>
      <w:tr w:rsidR="0038325F" w:rsidRPr="003B2BAB" w14:paraId="063888F4" w14:textId="77777777" w:rsidTr="004C235D">
        <w:trPr>
          <w:trHeight w:val="272"/>
        </w:trPr>
        <w:tc>
          <w:tcPr>
            <w:tcW w:w="4111" w:type="dxa"/>
            <w:tcBorders>
              <w:top w:val="nil"/>
              <w:left w:val="nil"/>
              <w:bottom w:val="nil"/>
              <w:right w:val="nil"/>
            </w:tcBorders>
            <w:noWrap/>
            <w:vAlign w:val="center"/>
            <w:hideMark/>
          </w:tcPr>
          <w:p w14:paraId="6E3C90F4" w14:textId="77777777" w:rsidR="0038325F" w:rsidRPr="003B2BAB" w:rsidRDefault="0038325F" w:rsidP="00A35AEF">
            <w:pPr>
              <w:rPr>
                <w:rFonts w:ascii="Calibri" w:hAnsi="Calibri" w:cs="Calibri"/>
                <w:color w:val="000000"/>
                <w:sz w:val="20"/>
                <w:szCs w:val="20"/>
              </w:rPr>
            </w:pPr>
            <w:r w:rsidRPr="003B2BAB">
              <w:rPr>
                <w:rFonts w:ascii="Calibri" w:hAnsi="Calibri" w:cs="Calibri"/>
                <w:color w:val="000000"/>
                <w:sz w:val="20"/>
                <w:szCs w:val="20"/>
              </w:rPr>
              <w:t>Cicli e motocicli*</w:t>
            </w:r>
          </w:p>
        </w:tc>
        <w:tc>
          <w:tcPr>
            <w:tcW w:w="1317" w:type="dxa"/>
            <w:tcBorders>
              <w:top w:val="nil"/>
              <w:left w:val="nil"/>
              <w:bottom w:val="nil"/>
              <w:right w:val="nil"/>
            </w:tcBorders>
            <w:noWrap/>
            <w:vAlign w:val="center"/>
            <w:hideMark/>
          </w:tcPr>
          <w:p w14:paraId="2491D9F4"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455.319.490</w:t>
            </w:r>
          </w:p>
        </w:tc>
        <w:tc>
          <w:tcPr>
            <w:tcW w:w="1314" w:type="dxa"/>
            <w:tcBorders>
              <w:top w:val="nil"/>
              <w:left w:val="nil"/>
              <w:bottom w:val="nil"/>
              <w:right w:val="nil"/>
            </w:tcBorders>
            <w:noWrap/>
            <w:vAlign w:val="center"/>
            <w:hideMark/>
          </w:tcPr>
          <w:p w14:paraId="0A631C1E"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387.973.592</w:t>
            </w:r>
          </w:p>
        </w:tc>
        <w:tc>
          <w:tcPr>
            <w:tcW w:w="985" w:type="dxa"/>
            <w:tcBorders>
              <w:top w:val="nil"/>
              <w:left w:val="nil"/>
              <w:bottom w:val="nil"/>
              <w:right w:val="nil"/>
            </w:tcBorders>
            <w:noWrap/>
            <w:vAlign w:val="center"/>
            <w:hideMark/>
          </w:tcPr>
          <w:p w14:paraId="173A6066"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22,3%</w:t>
            </w:r>
          </w:p>
        </w:tc>
        <w:tc>
          <w:tcPr>
            <w:tcW w:w="737" w:type="dxa"/>
            <w:tcBorders>
              <w:top w:val="nil"/>
              <w:left w:val="nil"/>
              <w:bottom w:val="nil"/>
              <w:right w:val="nil"/>
            </w:tcBorders>
            <w:noWrap/>
            <w:vAlign w:val="center"/>
            <w:hideMark/>
          </w:tcPr>
          <w:p w14:paraId="3590F70E"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-14,8%</w:t>
            </w:r>
          </w:p>
        </w:tc>
        <w:tc>
          <w:tcPr>
            <w:tcW w:w="1052" w:type="dxa"/>
            <w:tcBorders>
              <w:top w:val="nil"/>
              <w:left w:val="nil"/>
              <w:bottom w:val="nil"/>
              <w:right w:val="nil"/>
            </w:tcBorders>
            <w:noWrap/>
            <w:vAlign w:val="center"/>
            <w:hideMark/>
          </w:tcPr>
          <w:p w14:paraId="1562B14D" w14:textId="77777777" w:rsidR="0038325F" w:rsidRPr="003B2BAB" w:rsidRDefault="0038325F" w:rsidP="00A35AEF">
            <w:pPr>
              <w:jc w:val="center"/>
              <w:rPr>
                <w:rFonts w:ascii="Calibri" w:hAnsi="Calibri" w:cs="Calibri"/>
                <w:i/>
                <w:iCs/>
                <w:color w:val="000000"/>
                <w:sz w:val="20"/>
                <w:szCs w:val="20"/>
              </w:rPr>
            </w:pPr>
            <w:r w:rsidRPr="003B2BAB">
              <w:rPr>
                <w:rFonts w:ascii="Calibri" w:hAnsi="Calibri" w:cs="Calibri"/>
                <w:i/>
                <w:iCs/>
                <w:color w:val="000000"/>
                <w:sz w:val="20"/>
                <w:szCs w:val="20"/>
              </w:rPr>
              <w:t>-3,7%</w:t>
            </w:r>
          </w:p>
        </w:tc>
      </w:tr>
      <w:tr w:rsidR="0038325F" w:rsidRPr="003B2BAB" w14:paraId="16938361" w14:textId="77777777" w:rsidTr="004C235D">
        <w:trPr>
          <w:trHeight w:val="272"/>
        </w:trPr>
        <w:tc>
          <w:tcPr>
            <w:tcW w:w="4111" w:type="dxa"/>
            <w:tcBorders>
              <w:top w:val="nil"/>
              <w:left w:val="nil"/>
              <w:bottom w:val="nil"/>
              <w:right w:val="nil"/>
            </w:tcBorders>
            <w:noWrap/>
            <w:vAlign w:val="center"/>
            <w:hideMark/>
          </w:tcPr>
          <w:p w14:paraId="41EAB209" w14:textId="77777777" w:rsidR="0038325F" w:rsidRPr="003B2BAB" w:rsidRDefault="0038325F" w:rsidP="00A35AEF">
            <w:pPr>
              <w:rPr>
                <w:rFonts w:ascii="Calibri" w:hAnsi="Calibri" w:cs="Calibri"/>
                <w:color w:val="000000"/>
                <w:sz w:val="20"/>
                <w:szCs w:val="20"/>
              </w:rPr>
            </w:pPr>
            <w:r w:rsidRPr="003B2BAB">
              <w:rPr>
                <w:rFonts w:ascii="Calibri" w:hAnsi="Calibri" w:cs="Calibri"/>
                <w:color w:val="000000"/>
                <w:sz w:val="20"/>
                <w:szCs w:val="20"/>
              </w:rPr>
              <w:t>Pelli-cuoio**</w:t>
            </w:r>
          </w:p>
        </w:tc>
        <w:tc>
          <w:tcPr>
            <w:tcW w:w="1317" w:type="dxa"/>
            <w:tcBorders>
              <w:top w:val="nil"/>
              <w:left w:val="nil"/>
              <w:bottom w:val="nil"/>
              <w:right w:val="nil"/>
            </w:tcBorders>
            <w:noWrap/>
            <w:vAlign w:val="center"/>
            <w:hideMark/>
          </w:tcPr>
          <w:p w14:paraId="63BCE25A"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296.239.782</w:t>
            </w:r>
          </w:p>
        </w:tc>
        <w:tc>
          <w:tcPr>
            <w:tcW w:w="1314" w:type="dxa"/>
            <w:tcBorders>
              <w:top w:val="nil"/>
              <w:left w:val="nil"/>
              <w:bottom w:val="nil"/>
              <w:right w:val="nil"/>
            </w:tcBorders>
            <w:noWrap/>
            <w:vAlign w:val="center"/>
            <w:hideMark/>
          </w:tcPr>
          <w:p w14:paraId="604483CA"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283.739.431</w:t>
            </w:r>
          </w:p>
        </w:tc>
        <w:tc>
          <w:tcPr>
            <w:tcW w:w="985" w:type="dxa"/>
            <w:tcBorders>
              <w:top w:val="nil"/>
              <w:left w:val="nil"/>
              <w:bottom w:val="nil"/>
              <w:right w:val="nil"/>
            </w:tcBorders>
            <w:noWrap/>
            <w:vAlign w:val="center"/>
            <w:hideMark/>
          </w:tcPr>
          <w:p w14:paraId="3F80C834"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16,3%</w:t>
            </w:r>
          </w:p>
        </w:tc>
        <w:tc>
          <w:tcPr>
            <w:tcW w:w="737" w:type="dxa"/>
            <w:tcBorders>
              <w:top w:val="nil"/>
              <w:left w:val="nil"/>
              <w:bottom w:val="nil"/>
              <w:right w:val="nil"/>
            </w:tcBorders>
            <w:noWrap/>
            <w:vAlign w:val="center"/>
            <w:hideMark/>
          </w:tcPr>
          <w:p w14:paraId="4A8D5B57"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-4,2%</w:t>
            </w:r>
          </w:p>
        </w:tc>
        <w:tc>
          <w:tcPr>
            <w:tcW w:w="1052" w:type="dxa"/>
            <w:tcBorders>
              <w:top w:val="nil"/>
              <w:left w:val="nil"/>
              <w:bottom w:val="nil"/>
              <w:right w:val="nil"/>
            </w:tcBorders>
            <w:noWrap/>
            <w:vAlign w:val="center"/>
            <w:hideMark/>
          </w:tcPr>
          <w:p w14:paraId="2BF5FA63" w14:textId="77777777" w:rsidR="0038325F" w:rsidRPr="003B2BAB" w:rsidRDefault="0038325F" w:rsidP="00A35AEF">
            <w:pPr>
              <w:jc w:val="center"/>
              <w:rPr>
                <w:rFonts w:ascii="Calibri" w:hAnsi="Calibri" w:cs="Calibri"/>
                <w:i/>
                <w:iCs/>
                <w:color w:val="000000"/>
                <w:sz w:val="20"/>
                <w:szCs w:val="20"/>
              </w:rPr>
            </w:pPr>
            <w:r w:rsidRPr="003B2BAB">
              <w:rPr>
                <w:rFonts w:ascii="Calibri" w:hAnsi="Calibri" w:cs="Calibri"/>
                <w:i/>
                <w:iCs/>
                <w:color w:val="000000"/>
                <w:sz w:val="20"/>
                <w:szCs w:val="20"/>
              </w:rPr>
              <w:t>-0,7%</w:t>
            </w:r>
          </w:p>
        </w:tc>
      </w:tr>
      <w:tr w:rsidR="0038325F" w:rsidRPr="003B2BAB" w14:paraId="466194B0" w14:textId="77777777" w:rsidTr="004C235D">
        <w:trPr>
          <w:trHeight w:val="272"/>
        </w:trPr>
        <w:tc>
          <w:tcPr>
            <w:tcW w:w="4111" w:type="dxa"/>
            <w:tcBorders>
              <w:top w:val="nil"/>
              <w:left w:val="nil"/>
              <w:bottom w:val="nil"/>
              <w:right w:val="nil"/>
            </w:tcBorders>
            <w:noWrap/>
            <w:vAlign w:val="center"/>
            <w:hideMark/>
          </w:tcPr>
          <w:p w14:paraId="3423EACB" w14:textId="77777777" w:rsidR="0038325F" w:rsidRPr="003B2BAB" w:rsidRDefault="0038325F" w:rsidP="00A35AEF">
            <w:pPr>
              <w:rPr>
                <w:rFonts w:ascii="Calibri" w:hAnsi="Calibri" w:cs="Calibri"/>
                <w:color w:val="000000"/>
                <w:sz w:val="20"/>
                <w:szCs w:val="20"/>
              </w:rPr>
            </w:pPr>
            <w:r w:rsidRPr="003B2BAB">
              <w:rPr>
                <w:rFonts w:ascii="Calibri" w:hAnsi="Calibri" w:cs="Calibri"/>
                <w:color w:val="000000"/>
                <w:sz w:val="20"/>
                <w:szCs w:val="20"/>
              </w:rPr>
              <w:t>Macchine di impiego generale</w:t>
            </w:r>
          </w:p>
        </w:tc>
        <w:tc>
          <w:tcPr>
            <w:tcW w:w="1317" w:type="dxa"/>
            <w:tcBorders>
              <w:top w:val="nil"/>
              <w:left w:val="nil"/>
              <w:bottom w:val="nil"/>
              <w:right w:val="nil"/>
            </w:tcBorders>
            <w:noWrap/>
            <w:vAlign w:val="center"/>
            <w:hideMark/>
          </w:tcPr>
          <w:p w14:paraId="60F33D51"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182.595.730</w:t>
            </w:r>
          </w:p>
        </w:tc>
        <w:tc>
          <w:tcPr>
            <w:tcW w:w="1314" w:type="dxa"/>
            <w:tcBorders>
              <w:top w:val="nil"/>
              <w:left w:val="nil"/>
              <w:bottom w:val="nil"/>
              <w:right w:val="nil"/>
            </w:tcBorders>
            <w:noWrap/>
            <w:vAlign w:val="center"/>
            <w:hideMark/>
          </w:tcPr>
          <w:p w14:paraId="6E8448E1"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165.502.305</w:t>
            </w:r>
          </w:p>
        </w:tc>
        <w:tc>
          <w:tcPr>
            <w:tcW w:w="985" w:type="dxa"/>
            <w:tcBorders>
              <w:top w:val="nil"/>
              <w:left w:val="nil"/>
              <w:bottom w:val="nil"/>
              <w:right w:val="nil"/>
            </w:tcBorders>
            <w:noWrap/>
            <w:vAlign w:val="center"/>
            <w:hideMark/>
          </w:tcPr>
          <w:p w14:paraId="63ECD4A0"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9,5%</w:t>
            </w:r>
          </w:p>
        </w:tc>
        <w:tc>
          <w:tcPr>
            <w:tcW w:w="737" w:type="dxa"/>
            <w:tcBorders>
              <w:top w:val="nil"/>
              <w:left w:val="nil"/>
              <w:bottom w:val="nil"/>
              <w:right w:val="nil"/>
            </w:tcBorders>
            <w:noWrap/>
            <w:vAlign w:val="center"/>
            <w:hideMark/>
          </w:tcPr>
          <w:p w14:paraId="0FA5E5C1"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-9,4%</w:t>
            </w:r>
          </w:p>
        </w:tc>
        <w:tc>
          <w:tcPr>
            <w:tcW w:w="1052" w:type="dxa"/>
            <w:tcBorders>
              <w:top w:val="nil"/>
              <w:left w:val="nil"/>
              <w:bottom w:val="nil"/>
              <w:right w:val="nil"/>
            </w:tcBorders>
            <w:noWrap/>
            <w:vAlign w:val="center"/>
            <w:hideMark/>
          </w:tcPr>
          <w:p w14:paraId="6A6BD89B" w14:textId="77777777" w:rsidR="0038325F" w:rsidRPr="003B2BAB" w:rsidRDefault="0038325F" w:rsidP="00A35AEF">
            <w:pPr>
              <w:jc w:val="center"/>
              <w:rPr>
                <w:rFonts w:ascii="Calibri" w:hAnsi="Calibri" w:cs="Calibri"/>
                <w:i/>
                <w:iCs/>
                <w:color w:val="000000"/>
                <w:sz w:val="20"/>
                <w:szCs w:val="20"/>
              </w:rPr>
            </w:pPr>
            <w:r w:rsidRPr="003B2BAB">
              <w:rPr>
                <w:rFonts w:ascii="Calibri" w:hAnsi="Calibri" w:cs="Calibri"/>
                <w:i/>
                <w:iCs/>
                <w:color w:val="000000"/>
                <w:sz w:val="20"/>
                <w:szCs w:val="20"/>
              </w:rPr>
              <w:t>-0,9%</w:t>
            </w:r>
          </w:p>
        </w:tc>
      </w:tr>
      <w:tr w:rsidR="0038325F" w:rsidRPr="003B2BAB" w14:paraId="502B67C2" w14:textId="77777777" w:rsidTr="004C235D">
        <w:trPr>
          <w:trHeight w:val="272"/>
        </w:trPr>
        <w:tc>
          <w:tcPr>
            <w:tcW w:w="4111" w:type="dxa"/>
            <w:tcBorders>
              <w:top w:val="nil"/>
              <w:left w:val="nil"/>
              <w:bottom w:val="nil"/>
              <w:right w:val="nil"/>
            </w:tcBorders>
            <w:noWrap/>
            <w:vAlign w:val="center"/>
            <w:hideMark/>
          </w:tcPr>
          <w:p w14:paraId="289210BC" w14:textId="77777777" w:rsidR="0038325F" w:rsidRPr="003B2BAB" w:rsidRDefault="0038325F" w:rsidP="00A35AEF">
            <w:pPr>
              <w:rPr>
                <w:rFonts w:ascii="Calibri" w:hAnsi="Calibri" w:cs="Calibri"/>
                <w:color w:val="000000"/>
                <w:sz w:val="20"/>
                <w:szCs w:val="20"/>
              </w:rPr>
            </w:pPr>
            <w:r w:rsidRPr="003B2BAB">
              <w:rPr>
                <w:rFonts w:ascii="Calibri" w:hAnsi="Calibri" w:cs="Calibri"/>
                <w:color w:val="000000"/>
                <w:sz w:val="20"/>
                <w:szCs w:val="20"/>
              </w:rPr>
              <w:t>Medicinali e preparati farmaceutici</w:t>
            </w:r>
          </w:p>
        </w:tc>
        <w:tc>
          <w:tcPr>
            <w:tcW w:w="1317" w:type="dxa"/>
            <w:tcBorders>
              <w:top w:val="nil"/>
              <w:left w:val="nil"/>
              <w:bottom w:val="nil"/>
              <w:right w:val="nil"/>
            </w:tcBorders>
            <w:noWrap/>
            <w:vAlign w:val="center"/>
            <w:hideMark/>
          </w:tcPr>
          <w:p w14:paraId="0698CC40"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105.027.081</w:t>
            </w:r>
          </w:p>
        </w:tc>
        <w:tc>
          <w:tcPr>
            <w:tcW w:w="1314" w:type="dxa"/>
            <w:tcBorders>
              <w:top w:val="nil"/>
              <w:left w:val="nil"/>
              <w:bottom w:val="nil"/>
              <w:right w:val="nil"/>
            </w:tcBorders>
            <w:noWrap/>
            <w:vAlign w:val="center"/>
            <w:hideMark/>
          </w:tcPr>
          <w:p w14:paraId="2EE05F76"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134.566.531</w:t>
            </w:r>
          </w:p>
        </w:tc>
        <w:tc>
          <w:tcPr>
            <w:tcW w:w="985" w:type="dxa"/>
            <w:tcBorders>
              <w:top w:val="nil"/>
              <w:left w:val="nil"/>
              <w:bottom w:val="nil"/>
              <w:right w:val="nil"/>
            </w:tcBorders>
            <w:noWrap/>
            <w:vAlign w:val="center"/>
            <w:hideMark/>
          </w:tcPr>
          <w:p w14:paraId="70BAEBC9"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7,7%</w:t>
            </w:r>
          </w:p>
        </w:tc>
        <w:tc>
          <w:tcPr>
            <w:tcW w:w="737" w:type="dxa"/>
            <w:tcBorders>
              <w:top w:val="nil"/>
              <w:left w:val="nil"/>
              <w:bottom w:val="nil"/>
              <w:right w:val="nil"/>
            </w:tcBorders>
            <w:noWrap/>
            <w:vAlign w:val="center"/>
            <w:hideMark/>
          </w:tcPr>
          <w:p w14:paraId="4DF46785"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28,1%</w:t>
            </w:r>
          </w:p>
        </w:tc>
        <w:tc>
          <w:tcPr>
            <w:tcW w:w="1052" w:type="dxa"/>
            <w:tcBorders>
              <w:top w:val="nil"/>
              <w:left w:val="nil"/>
              <w:bottom w:val="nil"/>
              <w:right w:val="nil"/>
            </w:tcBorders>
            <w:noWrap/>
            <w:vAlign w:val="center"/>
            <w:hideMark/>
          </w:tcPr>
          <w:p w14:paraId="34342991" w14:textId="77777777" w:rsidR="0038325F" w:rsidRPr="003B2BAB" w:rsidRDefault="0038325F" w:rsidP="00A35AEF">
            <w:pPr>
              <w:jc w:val="center"/>
              <w:rPr>
                <w:rFonts w:ascii="Calibri" w:hAnsi="Calibri" w:cs="Calibri"/>
                <w:i/>
                <w:iCs/>
                <w:color w:val="000000"/>
                <w:sz w:val="20"/>
                <w:szCs w:val="20"/>
              </w:rPr>
            </w:pPr>
            <w:r w:rsidRPr="003B2BAB">
              <w:rPr>
                <w:rFonts w:ascii="Calibri" w:hAnsi="Calibri" w:cs="Calibri"/>
                <w:i/>
                <w:iCs/>
                <w:color w:val="000000"/>
                <w:sz w:val="20"/>
                <w:szCs w:val="20"/>
              </w:rPr>
              <w:t>1,6%</w:t>
            </w:r>
          </w:p>
        </w:tc>
      </w:tr>
      <w:tr w:rsidR="0038325F" w:rsidRPr="003B2BAB" w14:paraId="407DCA75" w14:textId="77777777" w:rsidTr="004C235D">
        <w:trPr>
          <w:trHeight w:val="272"/>
        </w:trPr>
        <w:tc>
          <w:tcPr>
            <w:tcW w:w="4111" w:type="dxa"/>
            <w:tcBorders>
              <w:top w:val="nil"/>
              <w:left w:val="nil"/>
              <w:bottom w:val="nil"/>
              <w:right w:val="nil"/>
            </w:tcBorders>
            <w:noWrap/>
            <w:vAlign w:val="center"/>
            <w:hideMark/>
          </w:tcPr>
          <w:p w14:paraId="2C384D47" w14:textId="77777777" w:rsidR="0038325F" w:rsidRPr="003B2BAB" w:rsidRDefault="0038325F" w:rsidP="00A35AEF">
            <w:pPr>
              <w:rPr>
                <w:rFonts w:ascii="Calibri" w:hAnsi="Calibri" w:cs="Calibri"/>
                <w:color w:val="000000"/>
                <w:sz w:val="20"/>
                <w:szCs w:val="20"/>
              </w:rPr>
            </w:pPr>
            <w:r w:rsidRPr="003B2BAB">
              <w:rPr>
                <w:rFonts w:ascii="Calibri" w:hAnsi="Calibri" w:cs="Calibri"/>
                <w:color w:val="000000"/>
                <w:sz w:val="20"/>
                <w:szCs w:val="20"/>
              </w:rPr>
              <w:t>Altre macchine di impiego generale</w:t>
            </w:r>
          </w:p>
        </w:tc>
        <w:tc>
          <w:tcPr>
            <w:tcW w:w="1317" w:type="dxa"/>
            <w:tcBorders>
              <w:top w:val="nil"/>
              <w:left w:val="nil"/>
              <w:bottom w:val="nil"/>
              <w:right w:val="nil"/>
            </w:tcBorders>
            <w:noWrap/>
            <w:vAlign w:val="center"/>
            <w:hideMark/>
          </w:tcPr>
          <w:p w14:paraId="06F9616E"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50.351.069</w:t>
            </w:r>
          </w:p>
        </w:tc>
        <w:tc>
          <w:tcPr>
            <w:tcW w:w="1314" w:type="dxa"/>
            <w:tcBorders>
              <w:top w:val="nil"/>
              <w:left w:val="nil"/>
              <w:bottom w:val="nil"/>
              <w:right w:val="nil"/>
            </w:tcBorders>
            <w:noWrap/>
            <w:vAlign w:val="center"/>
            <w:hideMark/>
          </w:tcPr>
          <w:p w14:paraId="281B7B20"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58.487.813</w:t>
            </w:r>
          </w:p>
        </w:tc>
        <w:tc>
          <w:tcPr>
            <w:tcW w:w="985" w:type="dxa"/>
            <w:tcBorders>
              <w:top w:val="nil"/>
              <w:left w:val="nil"/>
              <w:bottom w:val="nil"/>
              <w:right w:val="nil"/>
            </w:tcBorders>
            <w:noWrap/>
            <w:vAlign w:val="center"/>
            <w:hideMark/>
          </w:tcPr>
          <w:p w14:paraId="414F3D03"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3,4%</w:t>
            </w:r>
          </w:p>
        </w:tc>
        <w:tc>
          <w:tcPr>
            <w:tcW w:w="737" w:type="dxa"/>
            <w:tcBorders>
              <w:top w:val="nil"/>
              <w:left w:val="nil"/>
              <w:bottom w:val="nil"/>
              <w:right w:val="nil"/>
            </w:tcBorders>
            <w:noWrap/>
            <w:vAlign w:val="center"/>
            <w:hideMark/>
          </w:tcPr>
          <w:p w14:paraId="17E47362"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16,2%</w:t>
            </w:r>
          </w:p>
        </w:tc>
        <w:tc>
          <w:tcPr>
            <w:tcW w:w="1052" w:type="dxa"/>
            <w:tcBorders>
              <w:top w:val="nil"/>
              <w:left w:val="nil"/>
              <w:bottom w:val="nil"/>
              <w:right w:val="nil"/>
            </w:tcBorders>
            <w:noWrap/>
            <w:vAlign w:val="center"/>
            <w:hideMark/>
          </w:tcPr>
          <w:p w14:paraId="322B4188" w14:textId="77777777" w:rsidR="0038325F" w:rsidRPr="003B2BAB" w:rsidRDefault="0038325F" w:rsidP="00A35AEF">
            <w:pPr>
              <w:jc w:val="center"/>
              <w:rPr>
                <w:rFonts w:ascii="Calibri" w:hAnsi="Calibri" w:cs="Calibri"/>
                <w:i/>
                <w:iCs/>
                <w:color w:val="000000"/>
                <w:sz w:val="20"/>
                <w:szCs w:val="20"/>
              </w:rPr>
            </w:pPr>
            <w:r w:rsidRPr="003B2BAB">
              <w:rPr>
                <w:rFonts w:ascii="Calibri" w:hAnsi="Calibri" w:cs="Calibri"/>
                <w:i/>
                <w:iCs/>
                <w:color w:val="000000"/>
                <w:sz w:val="20"/>
                <w:szCs w:val="20"/>
              </w:rPr>
              <w:t>0,4%</w:t>
            </w:r>
          </w:p>
        </w:tc>
      </w:tr>
      <w:tr w:rsidR="0038325F" w:rsidRPr="003B2BAB" w14:paraId="3D3A11CC" w14:textId="77777777" w:rsidTr="004C235D">
        <w:trPr>
          <w:trHeight w:val="272"/>
        </w:trPr>
        <w:tc>
          <w:tcPr>
            <w:tcW w:w="4111" w:type="dxa"/>
            <w:tcBorders>
              <w:top w:val="nil"/>
              <w:left w:val="nil"/>
              <w:bottom w:val="nil"/>
              <w:right w:val="nil"/>
            </w:tcBorders>
            <w:noWrap/>
            <w:vAlign w:val="center"/>
            <w:hideMark/>
          </w:tcPr>
          <w:p w14:paraId="34CCD25B" w14:textId="77777777" w:rsidR="0038325F" w:rsidRPr="003B2BAB" w:rsidRDefault="0038325F" w:rsidP="00A35AEF">
            <w:pPr>
              <w:rPr>
                <w:rFonts w:ascii="Calibri" w:hAnsi="Calibri" w:cs="Calibri"/>
                <w:color w:val="000000"/>
                <w:sz w:val="20"/>
                <w:szCs w:val="20"/>
                <w:highlight w:val="yellow"/>
              </w:rPr>
            </w:pPr>
            <w:r w:rsidRPr="003B2BAB">
              <w:rPr>
                <w:rFonts w:ascii="Calibri" w:hAnsi="Calibri" w:cs="Calibri"/>
                <w:color w:val="000000"/>
                <w:sz w:val="20"/>
                <w:szCs w:val="20"/>
              </w:rPr>
              <w:t xml:space="preserve">Chimica di base, </w:t>
            </w:r>
            <w:proofErr w:type="spellStart"/>
            <w:r w:rsidRPr="003B2BAB">
              <w:rPr>
                <w:rFonts w:ascii="Calibri" w:hAnsi="Calibri" w:cs="Calibri"/>
                <w:color w:val="000000"/>
                <w:sz w:val="20"/>
                <w:szCs w:val="20"/>
              </w:rPr>
              <w:t>fertilizz</w:t>
            </w:r>
            <w:proofErr w:type="spellEnd"/>
            <w:r w:rsidRPr="003B2BAB">
              <w:rPr>
                <w:rFonts w:ascii="Calibri" w:hAnsi="Calibri" w:cs="Calibri"/>
                <w:color w:val="000000"/>
                <w:sz w:val="20"/>
                <w:szCs w:val="20"/>
              </w:rPr>
              <w:t>., plastica e gomma</w:t>
            </w:r>
          </w:p>
        </w:tc>
        <w:tc>
          <w:tcPr>
            <w:tcW w:w="1317" w:type="dxa"/>
            <w:tcBorders>
              <w:top w:val="nil"/>
              <w:left w:val="nil"/>
              <w:bottom w:val="nil"/>
              <w:right w:val="nil"/>
            </w:tcBorders>
            <w:noWrap/>
            <w:vAlign w:val="center"/>
            <w:hideMark/>
          </w:tcPr>
          <w:p w14:paraId="30AEBD75"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81.243.409</w:t>
            </w:r>
          </w:p>
        </w:tc>
        <w:tc>
          <w:tcPr>
            <w:tcW w:w="1314" w:type="dxa"/>
            <w:tcBorders>
              <w:top w:val="nil"/>
              <w:left w:val="nil"/>
              <w:bottom w:val="nil"/>
              <w:right w:val="nil"/>
            </w:tcBorders>
            <w:noWrap/>
            <w:vAlign w:val="center"/>
            <w:hideMark/>
          </w:tcPr>
          <w:p w14:paraId="3AA70786"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57.856.318</w:t>
            </w:r>
          </w:p>
        </w:tc>
        <w:tc>
          <w:tcPr>
            <w:tcW w:w="985" w:type="dxa"/>
            <w:tcBorders>
              <w:top w:val="nil"/>
              <w:left w:val="nil"/>
              <w:bottom w:val="nil"/>
              <w:right w:val="nil"/>
            </w:tcBorders>
            <w:noWrap/>
            <w:vAlign w:val="center"/>
            <w:hideMark/>
          </w:tcPr>
          <w:p w14:paraId="34D8673D"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3,3%</w:t>
            </w:r>
          </w:p>
        </w:tc>
        <w:tc>
          <w:tcPr>
            <w:tcW w:w="737" w:type="dxa"/>
            <w:tcBorders>
              <w:top w:val="nil"/>
              <w:left w:val="nil"/>
              <w:bottom w:val="nil"/>
              <w:right w:val="nil"/>
            </w:tcBorders>
            <w:noWrap/>
            <w:vAlign w:val="center"/>
            <w:hideMark/>
          </w:tcPr>
          <w:p w14:paraId="6CFD548B"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-28,8%</w:t>
            </w:r>
          </w:p>
        </w:tc>
        <w:tc>
          <w:tcPr>
            <w:tcW w:w="1052" w:type="dxa"/>
            <w:tcBorders>
              <w:top w:val="nil"/>
              <w:left w:val="nil"/>
              <w:bottom w:val="nil"/>
              <w:right w:val="nil"/>
            </w:tcBorders>
            <w:noWrap/>
            <w:vAlign w:val="center"/>
            <w:hideMark/>
          </w:tcPr>
          <w:p w14:paraId="4DA139FA" w14:textId="77777777" w:rsidR="0038325F" w:rsidRPr="003B2BAB" w:rsidRDefault="0038325F" w:rsidP="00A35AEF">
            <w:pPr>
              <w:jc w:val="center"/>
              <w:rPr>
                <w:rFonts w:ascii="Calibri" w:hAnsi="Calibri" w:cs="Calibri"/>
                <w:i/>
                <w:iCs/>
                <w:color w:val="000000"/>
                <w:sz w:val="20"/>
                <w:szCs w:val="20"/>
              </w:rPr>
            </w:pPr>
            <w:r w:rsidRPr="003B2BAB">
              <w:rPr>
                <w:rFonts w:ascii="Calibri" w:hAnsi="Calibri" w:cs="Calibri"/>
                <w:i/>
                <w:iCs/>
                <w:color w:val="000000"/>
                <w:sz w:val="20"/>
                <w:szCs w:val="20"/>
              </w:rPr>
              <w:t>-1,3%</w:t>
            </w:r>
          </w:p>
        </w:tc>
      </w:tr>
      <w:tr w:rsidR="0038325F" w:rsidRPr="003B2BAB" w14:paraId="337E102F" w14:textId="77777777" w:rsidTr="004C235D">
        <w:trPr>
          <w:trHeight w:val="272"/>
        </w:trPr>
        <w:tc>
          <w:tcPr>
            <w:tcW w:w="4111" w:type="dxa"/>
            <w:tcBorders>
              <w:top w:val="nil"/>
              <w:left w:val="nil"/>
              <w:bottom w:val="nil"/>
              <w:right w:val="nil"/>
            </w:tcBorders>
            <w:noWrap/>
            <w:vAlign w:val="center"/>
            <w:hideMark/>
          </w:tcPr>
          <w:p w14:paraId="77C9A11D" w14:textId="77777777" w:rsidR="0038325F" w:rsidRPr="003B2BAB" w:rsidRDefault="0038325F" w:rsidP="00A35AEF">
            <w:pPr>
              <w:rPr>
                <w:rFonts w:ascii="Calibri" w:hAnsi="Calibri" w:cs="Calibri"/>
                <w:color w:val="000000"/>
                <w:sz w:val="20"/>
                <w:szCs w:val="20"/>
              </w:rPr>
            </w:pPr>
            <w:r w:rsidRPr="003B2BAB">
              <w:rPr>
                <w:rFonts w:ascii="Calibri" w:hAnsi="Calibri" w:cs="Calibri"/>
                <w:color w:val="000000"/>
                <w:sz w:val="20"/>
                <w:szCs w:val="20"/>
              </w:rPr>
              <w:t>Calzature</w:t>
            </w:r>
          </w:p>
        </w:tc>
        <w:tc>
          <w:tcPr>
            <w:tcW w:w="1317" w:type="dxa"/>
            <w:tcBorders>
              <w:top w:val="nil"/>
              <w:left w:val="nil"/>
              <w:bottom w:val="nil"/>
              <w:right w:val="nil"/>
            </w:tcBorders>
            <w:noWrap/>
            <w:vAlign w:val="center"/>
            <w:hideMark/>
          </w:tcPr>
          <w:p w14:paraId="0D36C5DB"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63.907.112</w:t>
            </w:r>
          </w:p>
        </w:tc>
        <w:tc>
          <w:tcPr>
            <w:tcW w:w="1314" w:type="dxa"/>
            <w:tcBorders>
              <w:top w:val="nil"/>
              <w:left w:val="nil"/>
              <w:bottom w:val="nil"/>
              <w:right w:val="nil"/>
            </w:tcBorders>
            <w:noWrap/>
            <w:vAlign w:val="center"/>
            <w:hideMark/>
          </w:tcPr>
          <w:p w14:paraId="095120D4"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57.238.807</w:t>
            </w:r>
          </w:p>
        </w:tc>
        <w:tc>
          <w:tcPr>
            <w:tcW w:w="985" w:type="dxa"/>
            <w:tcBorders>
              <w:top w:val="nil"/>
              <w:left w:val="nil"/>
              <w:bottom w:val="nil"/>
              <w:right w:val="nil"/>
            </w:tcBorders>
            <w:noWrap/>
            <w:vAlign w:val="center"/>
            <w:hideMark/>
          </w:tcPr>
          <w:p w14:paraId="08651652"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3,3%</w:t>
            </w:r>
          </w:p>
        </w:tc>
        <w:tc>
          <w:tcPr>
            <w:tcW w:w="737" w:type="dxa"/>
            <w:tcBorders>
              <w:top w:val="nil"/>
              <w:left w:val="nil"/>
              <w:bottom w:val="nil"/>
              <w:right w:val="nil"/>
            </w:tcBorders>
            <w:noWrap/>
            <w:vAlign w:val="center"/>
            <w:hideMark/>
          </w:tcPr>
          <w:p w14:paraId="29160F33"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-10,4%</w:t>
            </w:r>
          </w:p>
        </w:tc>
        <w:tc>
          <w:tcPr>
            <w:tcW w:w="1052" w:type="dxa"/>
            <w:tcBorders>
              <w:top w:val="nil"/>
              <w:left w:val="nil"/>
              <w:bottom w:val="nil"/>
              <w:right w:val="nil"/>
            </w:tcBorders>
            <w:noWrap/>
            <w:vAlign w:val="center"/>
            <w:hideMark/>
          </w:tcPr>
          <w:p w14:paraId="4E51CEF9" w14:textId="77777777" w:rsidR="0038325F" w:rsidRPr="003B2BAB" w:rsidRDefault="0038325F" w:rsidP="00A35AEF">
            <w:pPr>
              <w:jc w:val="center"/>
              <w:rPr>
                <w:rFonts w:ascii="Calibri" w:hAnsi="Calibri" w:cs="Calibri"/>
                <w:i/>
                <w:iCs/>
                <w:color w:val="000000"/>
                <w:sz w:val="20"/>
                <w:szCs w:val="20"/>
              </w:rPr>
            </w:pPr>
            <w:r w:rsidRPr="003B2BAB">
              <w:rPr>
                <w:rFonts w:ascii="Calibri" w:hAnsi="Calibri" w:cs="Calibri"/>
                <w:i/>
                <w:iCs/>
                <w:color w:val="000000"/>
                <w:sz w:val="20"/>
                <w:szCs w:val="20"/>
              </w:rPr>
              <w:t>-0,4%</w:t>
            </w:r>
          </w:p>
        </w:tc>
      </w:tr>
      <w:tr w:rsidR="0038325F" w:rsidRPr="003B2BAB" w14:paraId="7058DB56" w14:textId="77777777" w:rsidTr="004C235D">
        <w:trPr>
          <w:trHeight w:val="272"/>
        </w:trPr>
        <w:tc>
          <w:tcPr>
            <w:tcW w:w="4111" w:type="dxa"/>
            <w:tcBorders>
              <w:top w:val="nil"/>
              <w:left w:val="nil"/>
              <w:bottom w:val="nil"/>
              <w:right w:val="nil"/>
            </w:tcBorders>
            <w:noWrap/>
            <w:vAlign w:val="center"/>
            <w:hideMark/>
          </w:tcPr>
          <w:p w14:paraId="063F99DE" w14:textId="77777777" w:rsidR="0038325F" w:rsidRPr="003B2BAB" w:rsidRDefault="0038325F" w:rsidP="00A35AEF">
            <w:pPr>
              <w:rPr>
                <w:rFonts w:ascii="Calibri" w:hAnsi="Calibri" w:cs="Calibri"/>
                <w:color w:val="000000"/>
                <w:sz w:val="20"/>
                <w:szCs w:val="20"/>
                <w:highlight w:val="yellow"/>
              </w:rPr>
            </w:pPr>
            <w:r w:rsidRPr="003B2BAB">
              <w:rPr>
                <w:rFonts w:ascii="Calibri" w:hAnsi="Calibri" w:cs="Calibri"/>
                <w:color w:val="000000"/>
                <w:sz w:val="20"/>
                <w:szCs w:val="20"/>
              </w:rPr>
              <w:t>Articoli di abbigliamento</w:t>
            </w:r>
          </w:p>
        </w:tc>
        <w:tc>
          <w:tcPr>
            <w:tcW w:w="1317" w:type="dxa"/>
            <w:tcBorders>
              <w:top w:val="nil"/>
              <w:left w:val="nil"/>
              <w:bottom w:val="nil"/>
              <w:right w:val="nil"/>
            </w:tcBorders>
            <w:noWrap/>
            <w:vAlign w:val="center"/>
            <w:hideMark/>
          </w:tcPr>
          <w:p w14:paraId="50FE955E"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32.323.055</w:t>
            </w:r>
          </w:p>
        </w:tc>
        <w:tc>
          <w:tcPr>
            <w:tcW w:w="1314" w:type="dxa"/>
            <w:tcBorders>
              <w:top w:val="nil"/>
              <w:left w:val="nil"/>
              <w:bottom w:val="nil"/>
              <w:right w:val="nil"/>
            </w:tcBorders>
            <w:noWrap/>
            <w:vAlign w:val="center"/>
            <w:hideMark/>
          </w:tcPr>
          <w:p w14:paraId="51B50812"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49.883.648</w:t>
            </w:r>
          </w:p>
        </w:tc>
        <w:tc>
          <w:tcPr>
            <w:tcW w:w="985" w:type="dxa"/>
            <w:tcBorders>
              <w:top w:val="nil"/>
              <w:left w:val="nil"/>
              <w:bottom w:val="nil"/>
              <w:right w:val="nil"/>
            </w:tcBorders>
            <w:noWrap/>
            <w:vAlign w:val="center"/>
            <w:hideMark/>
          </w:tcPr>
          <w:p w14:paraId="29037AF9"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2,9%</w:t>
            </w:r>
          </w:p>
        </w:tc>
        <w:tc>
          <w:tcPr>
            <w:tcW w:w="737" w:type="dxa"/>
            <w:tcBorders>
              <w:top w:val="nil"/>
              <w:left w:val="nil"/>
              <w:bottom w:val="nil"/>
              <w:right w:val="nil"/>
            </w:tcBorders>
            <w:noWrap/>
            <w:vAlign w:val="center"/>
            <w:hideMark/>
          </w:tcPr>
          <w:p w14:paraId="05917389"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54,3%</w:t>
            </w:r>
          </w:p>
        </w:tc>
        <w:tc>
          <w:tcPr>
            <w:tcW w:w="1052" w:type="dxa"/>
            <w:tcBorders>
              <w:top w:val="nil"/>
              <w:left w:val="nil"/>
              <w:bottom w:val="nil"/>
              <w:right w:val="nil"/>
            </w:tcBorders>
            <w:noWrap/>
            <w:vAlign w:val="center"/>
            <w:hideMark/>
          </w:tcPr>
          <w:p w14:paraId="3809F06A" w14:textId="77777777" w:rsidR="0038325F" w:rsidRPr="003B2BAB" w:rsidRDefault="0038325F" w:rsidP="00A35AEF">
            <w:pPr>
              <w:jc w:val="center"/>
              <w:rPr>
                <w:rFonts w:ascii="Calibri" w:hAnsi="Calibri" w:cs="Calibri"/>
                <w:i/>
                <w:iCs/>
                <w:color w:val="000000"/>
                <w:sz w:val="20"/>
                <w:szCs w:val="20"/>
              </w:rPr>
            </w:pPr>
            <w:r w:rsidRPr="003B2BAB">
              <w:rPr>
                <w:rFonts w:ascii="Calibri" w:hAnsi="Calibri" w:cs="Calibri"/>
                <w:i/>
                <w:iCs/>
                <w:color w:val="000000"/>
                <w:sz w:val="20"/>
                <w:szCs w:val="20"/>
              </w:rPr>
              <w:t>1,0%</w:t>
            </w:r>
          </w:p>
        </w:tc>
      </w:tr>
      <w:tr w:rsidR="0038325F" w:rsidRPr="003B2BAB" w14:paraId="2FC3957A" w14:textId="77777777" w:rsidTr="004C235D">
        <w:trPr>
          <w:trHeight w:val="272"/>
        </w:trPr>
        <w:tc>
          <w:tcPr>
            <w:tcW w:w="4111" w:type="dxa"/>
            <w:tcBorders>
              <w:top w:val="nil"/>
              <w:left w:val="nil"/>
              <w:bottom w:val="nil"/>
              <w:right w:val="nil"/>
            </w:tcBorders>
            <w:noWrap/>
            <w:vAlign w:val="center"/>
            <w:hideMark/>
          </w:tcPr>
          <w:p w14:paraId="1BE3615D" w14:textId="77777777" w:rsidR="0038325F" w:rsidRPr="003B2BAB" w:rsidRDefault="0038325F" w:rsidP="00A35AEF">
            <w:pPr>
              <w:rPr>
                <w:rFonts w:ascii="Calibri" w:hAnsi="Calibri" w:cs="Calibri"/>
                <w:color w:val="000000"/>
                <w:sz w:val="20"/>
                <w:szCs w:val="20"/>
              </w:rPr>
            </w:pPr>
            <w:r w:rsidRPr="003B2BAB">
              <w:rPr>
                <w:rFonts w:ascii="Calibri" w:hAnsi="Calibri" w:cs="Calibri"/>
                <w:color w:val="000000"/>
                <w:sz w:val="20"/>
                <w:szCs w:val="20"/>
              </w:rPr>
              <w:t>Mobili</w:t>
            </w:r>
          </w:p>
        </w:tc>
        <w:tc>
          <w:tcPr>
            <w:tcW w:w="1317" w:type="dxa"/>
            <w:tcBorders>
              <w:top w:val="nil"/>
              <w:left w:val="nil"/>
              <w:bottom w:val="nil"/>
              <w:right w:val="nil"/>
            </w:tcBorders>
            <w:noWrap/>
            <w:vAlign w:val="center"/>
            <w:hideMark/>
          </w:tcPr>
          <w:p w14:paraId="7D1AEEA5"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52.443.852</w:t>
            </w:r>
          </w:p>
        </w:tc>
        <w:tc>
          <w:tcPr>
            <w:tcW w:w="1314" w:type="dxa"/>
            <w:tcBorders>
              <w:top w:val="nil"/>
              <w:left w:val="nil"/>
              <w:bottom w:val="nil"/>
              <w:right w:val="nil"/>
            </w:tcBorders>
            <w:noWrap/>
            <w:vAlign w:val="center"/>
            <w:hideMark/>
          </w:tcPr>
          <w:p w14:paraId="0D42232F"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42.845.462</w:t>
            </w:r>
          </w:p>
        </w:tc>
        <w:tc>
          <w:tcPr>
            <w:tcW w:w="985" w:type="dxa"/>
            <w:tcBorders>
              <w:top w:val="nil"/>
              <w:left w:val="nil"/>
              <w:bottom w:val="nil"/>
              <w:right w:val="nil"/>
            </w:tcBorders>
            <w:noWrap/>
            <w:vAlign w:val="center"/>
            <w:hideMark/>
          </w:tcPr>
          <w:p w14:paraId="3D4C83A3"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2,5%</w:t>
            </w:r>
          </w:p>
        </w:tc>
        <w:tc>
          <w:tcPr>
            <w:tcW w:w="737" w:type="dxa"/>
            <w:tcBorders>
              <w:top w:val="nil"/>
              <w:left w:val="nil"/>
              <w:bottom w:val="nil"/>
              <w:right w:val="nil"/>
            </w:tcBorders>
            <w:noWrap/>
            <w:vAlign w:val="center"/>
            <w:hideMark/>
          </w:tcPr>
          <w:p w14:paraId="3B62DB95"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-18,3%</w:t>
            </w:r>
          </w:p>
        </w:tc>
        <w:tc>
          <w:tcPr>
            <w:tcW w:w="1052" w:type="dxa"/>
            <w:tcBorders>
              <w:top w:val="nil"/>
              <w:left w:val="nil"/>
              <w:bottom w:val="nil"/>
              <w:right w:val="nil"/>
            </w:tcBorders>
            <w:noWrap/>
            <w:vAlign w:val="center"/>
            <w:hideMark/>
          </w:tcPr>
          <w:p w14:paraId="5A8EB506" w14:textId="77777777" w:rsidR="0038325F" w:rsidRPr="003B2BAB" w:rsidRDefault="0038325F" w:rsidP="00A35AEF">
            <w:pPr>
              <w:jc w:val="center"/>
              <w:rPr>
                <w:rFonts w:ascii="Calibri" w:hAnsi="Calibri" w:cs="Calibri"/>
                <w:i/>
                <w:iCs/>
                <w:color w:val="000000"/>
                <w:sz w:val="20"/>
                <w:szCs w:val="20"/>
              </w:rPr>
            </w:pPr>
            <w:r w:rsidRPr="003B2BAB">
              <w:rPr>
                <w:rFonts w:ascii="Calibri" w:hAnsi="Calibri" w:cs="Calibri"/>
                <w:i/>
                <w:iCs/>
                <w:color w:val="000000"/>
                <w:sz w:val="20"/>
                <w:szCs w:val="20"/>
              </w:rPr>
              <w:t>-0,5%</w:t>
            </w:r>
          </w:p>
        </w:tc>
      </w:tr>
      <w:tr w:rsidR="0038325F" w:rsidRPr="003B2BAB" w14:paraId="02464470" w14:textId="77777777" w:rsidTr="004C235D">
        <w:trPr>
          <w:trHeight w:val="272"/>
        </w:trPr>
        <w:tc>
          <w:tcPr>
            <w:tcW w:w="4111" w:type="dxa"/>
            <w:tcBorders>
              <w:top w:val="nil"/>
              <w:left w:val="nil"/>
              <w:bottom w:val="nil"/>
              <w:right w:val="nil"/>
            </w:tcBorders>
            <w:noWrap/>
            <w:vAlign w:val="center"/>
            <w:hideMark/>
          </w:tcPr>
          <w:p w14:paraId="7D4A2B2E" w14:textId="77777777" w:rsidR="0038325F" w:rsidRPr="003B2BAB" w:rsidRDefault="0038325F" w:rsidP="00A35AEF">
            <w:pPr>
              <w:rPr>
                <w:rFonts w:ascii="Calibri" w:hAnsi="Calibri" w:cs="Calibri"/>
                <w:color w:val="000000"/>
                <w:sz w:val="20"/>
                <w:szCs w:val="20"/>
              </w:rPr>
            </w:pPr>
            <w:r w:rsidRPr="003B2BAB">
              <w:rPr>
                <w:rFonts w:ascii="Calibri" w:hAnsi="Calibri" w:cs="Calibri"/>
                <w:color w:val="000000"/>
                <w:sz w:val="20"/>
                <w:szCs w:val="20"/>
              </w:rPr>
              <w:t>Bevande</w:t>
            </w:r>
          </w:p>
        </w:tc>
        <w:tc>
          <w:tcPr>
            <w:tcW w:w="1317" w:type="dxa"/>
            <w:tcBorders>
              <w:top w:val="nil"/>
              <w:left w:val="nil"/>
              <w:bottom w:val="nil"/>
              <w:right w:val="nil"/>
            </w:tcBorders>
            <w:noWrap/>
            <w:vAlign w:val="center"/>
            <w:hideMark/>
          </w:tcPr>
          <w:p w14:paraId="216776F4"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35.469.009</w:t>
            </w:r>
          </w:p>
        </w:tc>
        <w:tc>
          <w:tcPr>
            <w:tcW w:w="1314" w:type="dxa"/>
            <w:tcBorders>
              <w:top w:val="nil"/>
              <w:left w:val="nil"/>
              <w:bottom w:val="nil"/>
              <w:right w:val="nil"/>
            </w:tcBorders>
            <w:noWrap/>
            <w:vAlign w:val="center"/>
            <w:hideMark/>
          </w:tcPr>
          <w:p w14:paraId="194B3035"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36.570.513</w:t>
            </w:r>
          </w:p>
        </w:tc>
        <w:tc>
          <w:tcPr>
            <w:tcW w:w="985" w:type="dxa"/>
            <w:tcBorders>
              <w:top w:val="nil"/>
              <w:left w:val="nil"/>
              <w:bottom w:val="nil"/>
              <w:right w:val="nil"/>
            </w:tcBorders>
            <w:noWrap/>
            <w:vAlign w:val="center"/>
            <w:hideMark/>
          </w:tcPr>
          <w:p w14:paraId="74851241"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2,1%</w:t>
            </w:r>
          </w:p>
        </w:tc>
        <w:tc>
          <w:tcPr>
            <w:tcW w:w="737" w:type="dxa"/>
            <w:tcBorders>
              <w:top w:val="nil"/>
              <w:left w:val="nil"/>
              <w:bottom w:val="nil"/>
              <w:right w:val="nil"/>
            </w:tcBorders>
            <w:noWrap/>
            <w:vAlign w:val="center"/>
            <w:hideMark/>
          </w:tcPr>
          <w:p w14:paraId="301A3FE0"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3,1%</w:t>
            </w:r>
          </w:p>
        </w:tc>
        <w:tc>
          <w:tcPr>
            <w:tcW w:w="1052" w:type="dxa"/>
            <w:tcBorders>
              <w:top w:val="nil"/>
              <w:left w:val="nil"/>
              <w:bottom w:val="nil"/>
              <w:right w:val="nil"/>
            </w:tcBorders>
            <w:noWrap/>
            <w:vAlign w:val="center"/>
            <w:hideMark/>
          </w:tcPr>
          <w:p w14:paraId="7A113C61" w14:textId="77777777" w:rsidR="0038325F" w:rsidRPr="003B2BAB" w:rsidRDefault="0038325F" w:rsidP="00A35AEF">
            <w:pPr>
              <w:jc w:val="center"/>
              <w:rPr>
                <w:rFonts w:ascii="Calibri" w:hAnsi="Calibri" w:cs="Calibri"/>
                <w:i/>
                <w:iCs/>
                <w:color w:val="000000"/>
                <w:sz w:val="20"/>
                <w:szCs w:val="20"/>
              </w:rPr>
            </w:pPr>
            <w:r w:rsidRPr="003B2BAB">
              <w:rPr>
                <w:rFonts w:ascii="Calibri" w:hAnsi="Calibri" w:cs="Calibri"/>
                <w:i/>
                <w:iCs/>
                <w:color w:val="000000"/>
                <w:sz w:val="20"/>
                <w:szCs w:val="20"/>
              </w:rPr>
              <w:t>0,1%</w:t>
            </w:r>
          </w:p>
        </w:tc>
      </w:tr>
      <w:tr w:rsidR="0038325F" w:rsidRPr="003B2BAB" w14:paraId="738EFF7C" w14:textId="77777777" w:rsidTr="004C235D">
        <w:trPr>
          <w:trHeight w:val="272"/>
        </w:trPr>
        <w:tc>
          <w:tcPr>
            <w:tcW w:w="4111" w:type="dxa"/>
            <w:tcBorders>
              <w:top w:val="nil"/>
              <w:left w:val="nil"/>
              <w:bottom w:val="nil"/>
              <w:right w:val="nil"/>
            </w:tcBorders>
            <w:noWrap/>
            <w:vAlign w:val="center"/>
            <w:hideMark/>
          </w:tcPr>
          <w:p w14:paraId="5CBC1F14" w14:textId="77777777" w:rsidR="0038325F" w:rsidRPr="003B2BAB" w:rsidRDefault="0038325F" w:rsidP="00A35AEF">
            <w:pPr>
              <w:rPr>
                <w:rFonts w:ascii="Calibri" w:hAnsi="Calibri" w:cs="Calibri"/>
                <w:color w:val="000000"/>
                <w:sz w:val="20"/>
                <w:szCs w:val="20"/>
              </w:rPr>
            </w:pPr>
            <w:r w:rsidRPr="003B2BAB">
              <w:rPr>
                <w:rFonts w:ascii="Calibri" w:hAnsi="Calibri" w:cs="Calibri"/>
                <w:color w:val="000000"/>
                <w:sz w:val="20"/>
                <w:szCs w:val="20"/>
              </w:rPr>
              <w:t>Altri prodotti chimici</w:t>
            </w:r>
          </w:p>
        </w:tc>
        <w:tc>
          <w:tcPr>
            <w:tcW w:w="1317" w:type="dxa"/>
            <w:tcBorders>
              <w:top w:val="nil"/>
              <w:left w:val="nil"/>
              <w:bottom w:val="nil"/>
              <w:right w:val="nil"/>
            </w:tcBorders>
            <w:noWrap/>
            <w:vAlign w:val="center"/>
            <w:hideMark/>
          </w:tcPr>
          <w:p w14:paraId="38012A6B"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32.383.992</w:t>
            </w:r>
          </w:p>
        </w:tc>
        <w:tc>
          <w:tcPr>
            <w:tcW w:w="1314" w:type="dxa"/>
            <w:tcBorders>
              <w:top w:val="nil"/>
              <w:left w:val="nil"/>
              <w:bottom w:val="nil"/>
              <w:right w:val="nil"/>
            </w:tcBorders>
            <w:noWrap/>
            <w:vAlign w:val="center"/>
            <w:hideMark/>
          </w:tcPr>
          <w:p w14:paraId="1FC527C9"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32.696.798</w:t>
            </w:r>
          </w:p>
        </w:tc>
        <w:tc>
          <w:tcPr>
            <w:tcW w:w="985" w:type="dxa"/>
            <w:tcBorders>
              <w:top w:val="nil"/>
              <w:left w:val="nil"/>
              <w:bottom w:val="nil"/>
              <w:right w:val="nil"/>
            </w:tcBorders>
            <w:noWrap/>
            <w:vAlign w:val="center"/>
            <w:hideMark/>
          </w:tcPr>
          <w:p w14:paraId="6994067C"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1,9%</w:t>
            </w:r>
          </w:p>
        </w:tc>
        <w:tc>
          <w:tcPr>
            <w:tcW w:w="737" w:type="dxa"/>
            <w:tcBorders>
              <w:top w:val="nil"/>
              <w:left w:val="nil"/>
              <w:bottom w:val="nil"/>
              <w:right w:val="nil"/>
            </w:tcBorders>
            <w:noWrap/>
            <w:vAlign w:val="center"/>
            <w:hideMark/>
          </w:tcPr>
          <w:p w14:paraId="6EC9B349"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1,0%</w:t>
            </w:r>
          </w:p>
        </w:tc>
        <w:tc>
          <w:tcPr>
            <w:tcW w:w="1052" w:type="dxa"/>
            <w:tcBorders>
              <w:top w:val="nil"/>
              <w:left w:val="nil"/>
              <w:bottom w:val="nil"/>
              <w:right w:val="nil"/>
            </w:tcBorders>
            <w:noWrap/>
            <w:vAlign w:val="center"/>
            <w:hideMark/>
          </w:tcPr>
          <w:p w14:paraId="4AEFFB78" w14:textId="77777777" w:rsidR="0038325F" w:rsidRPr="003B2BAB" w:rsidRDefault="0038325F" w:rsidP="00A35AEF">
            <w:pPr>
              <w:jc w:val="center"/>
              <w:rPr>
                <w:rFonts w:ascii="Calibri" w:hAnsi="Calibri" w:cs="Calibri"/>
                <w:i/>
                <w:iCs/>
                <w:color w:val="000000"/>
                <w:sz w:val="20"/>
                <w:szCs w:val="20"/>
              </w:rPr>
            </w:pPr>
            <w:r w:rsidRPr="003B2BAB">
              <w:rPr>
                <w:rFonts w:ascii="Calibri" w:hAnsi="Calibri" w:cs="Calibri"/>
                <w:i/>
                <w:iCs/>
                <w:color w:val="000000"/>
                <w:sz w:val="20"/>
                <w:szCs w:val="20"/>
              </w:rPr>
              <w:t>0,0%</w:t>
            </w:r>
          </w:p>
        </w:tc>
      </w:tr>
      <w:tr w:rsidR="0038325F" w:rsidRPr="003B2BAB" w14:paraId="1B7F3697" w14:textId="77777777" w:rsidTr="004C235D">
        <w:trPr>
          <w:trHeight w:val="272"/>
        </w:trPr>
        <w:tc>
          <w:tcPr>
            <w:tcW w:w="4111" w:type="dxa"/>
            <w:tcBorders>
              <w:top w:val="nil"/>
              <w:left w:val="nil"/>
              <w:bottom w:val="nil"/>
              <w:right w:val="nil"/>
            </w:tcBorders>
            <w:noWrap/>
            <w:vAlign w:val="center"/>
            <w:hideMark/>
          </w:tcPr>
          <w:p w14:paraId="4FEC3088" w14:textId="77777777" w:rsidR="0038325F" w:rsidRPr="003B2BAB" w:rsidRDefault="0038325F" w:rsidP="00A35AEF">
            <w:pPr>
              <w:rPr>
                <w:rFonts w:ascii="Calibri" w:hAnsi="Calibri" w:cs="Calibri"/>
                <w:color w:val="000000"/>
                <w:sz w:val="20"/>
                <w:szCs w:val="20"/>
              </w:rPr>
            </w:pPr>
            <w:r w:rsidRPr="003B2BAB">
              <w:rPr>
                <w:rFonts w:ascii="Calibri" w:hAnsi="Calibri" w:cs="Calibri"/>
                <w:color w:val="000000"/>
                <w:sz w:val="20"/>
                <w:szCs w:val="20"/>
              </w:rPr>
              <w:t>Altre macchine per impieghi speciali</w:t>
            </w:r>
          </w:p>
        </w:tc>
        <w:tc>
          <w:tcPr>
            <w:tcW w:w="1317" w:type="dxa"/>
            <w:tcBorders>
              <w:top w:val="nil"/>
              <w:left w:val="nil"/>
              <w:bottom w:val="nil"/>
              <w:right w:val="nil"/>
            </w:tcBorders>
            <w:noWrap/>
            <w:vAlign w:val="center"/>
            <w:hideMark/>
          </w:tcPr>
          <w:p w14:paraId="330EAE3E"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35.113.716</w:t>
            </w:r>
          </w:p>
        </w:tc>
        <w:tc>
          <w:tcPr>
            <w:tcW w:w="1314" w:type="dxa"/>
            <w:tcBorders>
              <w:top w:val="nil"/>
              <w:left w:val="nil"/>
              <w:bottom w:val="nil"/>
              <w:right w:val="nil"/>
            </w:tcBorders>
            <w:noWrap/>
            <w:vAlign w:val="center"/>
            <w:hideMark/>
          </w:tcPr>
          <w:p w14:paraId="553F5C62"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30.853.265</w:t>
            </w:r>
          </w:p>
        </w:tc>
        <w:tc>
          <w:tcPr>
            <w:tcW w:w="985" w:type="dxa"/>
            <w:tcBorders>
              <w:top w:val="nil"/>
              <w:left w:val="nil"/>
              <w:bottom w:val="nil"/>
              <w:right w:val="nil"/>
            </w:tcBorders>
            <w:noWrap/>
            <w:vAlign w:val="center"/>
            <w:hideMark/>
          </w:tcPr>
          <w:p w14:paraId="7AC80FF6"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1,8%</w:t>
            </w:r>
          </w:p>
        </w:tc>
        <w:tc>
          <w:tcPr>
            <w:tcW w:w="737" w:type="dxa"/>
            <w:tcBorders>
              <w:top w:val="nil"/>
              <w:left w:val="nil"/>
              <w:bottom w:val="nil"/>
              <w:right w:val="nil"/>
            </w:tcBorders>
            <w:noWrap/>
            <w:vAlign w:val="center"/>
            <w:hideMark/>
          </w:tcPr>
          <w:p w14:paraId="681953F0"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-12,1%</w:t>
            </w:r>
          </w:p>
        </w:tc>
        <w:tc>
          <w:tcPr>
            <w:tcW w:w="1052" w:type="dxa"/>
            <w:tcBorders>
              <w:top w:val="nil"/>
              <w:left w:val="nil"/>
              <w:bottom w:val="nil"/>
              <w:right w:val="nil"/>
            </w:tcBorders>
            <w:noWrap/>
            <w:vAlign w:val="center"/>
            <w:hideMark/>
          </w:tcPr>
          <w:p w14:paraId="2EB61CE5" w14:textId="77777777" w:rsidR="0038325F" w:rsidRPr="003B2BAB" w:rsidRDefault="0038325F" w:rsidP="00A35AEF">
            <w:pPr>
              <w:jc w:val="center"/>
              <w:rPr>
                <w:rFonts w:ascii="Calibri" w:hAnsi="Calibri" w:cs="Calibri"/>
                <w:i/>
                <w:iCs/>
                <w:color w:val="000000"/>
                <w:sz w:val="20"/>
                <w:szCs w:val="20"/>
              </w:rPr>
            </w:pPr>
            <w:r w:rsidRPr="003B2BAB">
              <w:rPr>
                <w:rFonts w:ascii="Calibri" w:hAnsi="Calibri" w:cs="Calibri"/>
                <w:i/>
                <w:iCs/>
                <w:color w:val="000000"/>
                <w:sz w:val="20"/>
                <w:szCs w:val="20"/>
              </w:rPr>
              <w:t>-0,2%</w:t>
            </w:r>
          </w:p>
        </w:tc>
      </w:tr>
      <w:tr w:rsidR="0038325F" w:rsidRPr="003B2BAB" w14:paraId="7C2B49CA" w14:textId="77777777" w:rsidTr="004C235D">
        <w:trPr>
          <w:trHeight w:val="272"/>
        </w:trPr>
        <w:tc>
          <w:tcPr>
            <w:tcW w:w="4111" w:type="dxa"/>
            <w:tcBorders>
              <w:top w:val="nil"/>
              <w:left w:val="nil"/>
              <w:bottom w:val="nil"/>
              <w:right w:val="nil"/>
            </w:tcBorders>
            <w:noWrap/>
            <w:vAlign w:val="center"/>
            <w:hideMark/>
          </w:tcPr>
          <w:p w14:paraId="7A5DF793" w14:textId="77777777" w:rsidR="0038325F" w:rsidRPr="003B2BAB" w:rsidRDefault="0038325F" w:rsidP="00A35AEF">
            <w:pPr>
              <w:rPr>
                <w:rFonts w:ascii="Calibri" w:hAnsi="Calibri" w:cs="Calibri"/>
                <w:color w:val="000000"/>
                <w:sz w:val="20"/>
                <w:szCs w:val="20"/>
                <w:highlight w:val="yellow"/>
              </w:rPr>
            </w:pPr>
            <w:r w:rsidRPr="003B2BAB">
              <w:rPr>
                <w:rFonts w:ascii="Calibri" w:hAnsi="Calibri" w:cs="Calibri"/>
                <w:color w:val="000000"/>
                <w:sz w:val="20"/>
                <w:szCs w:val="20"/>
              </w:rPr>
              <w:t xml:space="preserve">Strumenti e </w:t>
            </w:r>
            <w:proofErr w:type="spellStart"/>
            <w:r w:rsidRPr="003B2BAB">
              <w:rPr>
                <w:rFonts w:ascii="Calibri" w:hAnsi="Calibri" w:cs="Calibri"/>
                <w:color w:val="000000"/>
                <w:sz w:val="20"/>
                <w:szCs w:val="20"/>
              </w:rPr>
              <w:t>appar</w:t>
            </w:r>
            <w:proofErr w:type="spellEnd"/>
            <w:r w:rsidRPr="003B2BAB">
              <w:rPr>
                <w:rFonts w:ascii="Calibri" w:hAnsi="Calibri" w:cs="Calibri"/>
                <w:color w:val="000000"/>
                <w:sz w:val="20"/>
                <w:szCs w:val="20"/>
              </w:rPr>
              <w:t xml:space="preserve">. di </w:t>
            </w:r>
            <w:proofErr w:type="spellStart"/>
            <w:r w:rsidRPr="003B2BAB">
              <w:rPr>
                <w:rFonts w:ascii="Calibri" w:hAnsi="Calibri" w:cs="Calibri"/>
                <w:color w:val="000000"/>
                <w:sz w:val="20"/>
                <w:szCs w:val="20"/>
              </w:rPr>
              <w:t>misuraz</w:t>
            </w:r>
            <w:proofErr w:type="spellEnd"/>
            <w:r w:rsidRPr="003B2BAB">
              <w:rPr>
                <w:rFonts w:ascii="Calibri" w:hAnsi="Calibri" w:cs="Calibri"/>
                <w:color w:val="000000"/>
                <w:sz w:val="20"/>
                <w:szCs w:val="20"/>
              </w:rPr>
              <w:t xml:space="preserve">., prova e </w:t>
            </w:r>
            <w:proofErr w:type="spellStart"/>
            <w:r w:rsidRPr="003B2BAB">
              <w:rPr>
                <w:rFonts w:ascii="Calibri" w:hAnsi="Calibri" w:cs="Calibri"/>
                <w:color w:val="000000"/>
                <w:sz w:val="20"/>
                <w:szCs w:val="20"/>
              </w:rPr>
              <w:t>navigaz</w:t>
            </w:r>
            <w:proofErr w:type="spellEnd"/>
            <w:r w:rsidRPr="003B2BAB">
              <w:rPr>
                <w:rFonts w:ascii="Calibri" w:hAnsi="Calibri" w:cs="Calibri"/>
                <w:color w:val="000000"/>
                <w:sz w:val="20"/>
                <w:szCs w:val="20"/>
              </w:rPr>
              <w:t>.</w:t>
            </w:r>
          </w:p>
        </w:tc>
        <w:tc>
          <w:tcPr>
            <w:tcW w:w="1317" w:type="dxa"/>
            <w:tcBorders>
              <w:top w:val="nil"/>
              <w:left w:val="nil"/>
              <w:bottom w:val="nil"/>
              <w:right w:val="nil"/>
            </w:tcBorders>
            <w:noWrap/>
            <w:vAlign w:val="center"/>
            <w:hideMark/>
          </w:tcPr>
          <w:p w14:paraId="01EFAF81"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25.238.646</w:t>
            </w:r>
          </w:p>
        </w:tc>
        <w:tc>
          <w:tcPr>
            <w:tcW w:w="1314" w:type="dxa"/>
            <w:tcBorders>
              <w:top w:val="nil"/>
              <w:left w:val="nil"/>
              <w:bottom w:val="nil"/>
              <w:right w:val="nil"/>
            </w:tcBorders>
            <w:noWrap/>
            <w:vAlign w:val="center"/>
            <w:hideMark/>
          </w:tcPr>
          <w:p w14:paraId="632C86F5"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26.454.895</w:t>
            </w:r>
          </w:p>
        </w:tc>
        <w:tc>
          <w:tcPr>
            <w:tcW w:w="985" w:type="dxa"/>
            <w:tcBorders>
              <w:top w:val="nil"/>
              <w:left w:val="nil"/>
              <w:bottom w:val="nil"/>
              <w:right w:val="nil"/>
            </w:tcBorders>
            <w:noWrap/>
            <w:vAlign w:val="center"/>
            <w:hideMark/>
          </w:tcPr>
          <w:p w14:paraId="3E424D75"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1,5%</w:t>
            </w:r>
          </w:p>
        </w:tc>
        <w:tc>
          <w:tcPr>
            <w:tcW w:w="737" w:type="dxa"/>
            <w:tcBorders>
              <w:top w:val="nil"/>
              <w:left w:val="nil"/>
              <w:bottom w:val="nil"/>
              <w:right w:val="nil"/>
            </w:tcBorders>
            <w:noWrap/>
            <w:vAlign w:val="center"/>
            <w:hideMark/>
          </w:tcPr>
          <w:p w14:paraId="10A253EE"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4,8%</w:t>
            </w:r>
          </w:p>
        </w:tc>
        <w:tc>
          <w:tcPr>
            <w:tcW w:w="1052" w:type="dxa"/>
            <w:tcBorders>
              <w:top w:val="nil"/>
              <w:left w:val="nil"/>
              <w:bottom w:val="nil"/>
              <w:right w:val="nil"/>
            </w:tcBorders>
            <w:noWrap/>
            <w:vAlign w:val="center"/>
            <w:hideMark/>
          </w:tcPr>
          <w:p w14:paraId="3E7A7D72" w14:textId="77777777" w:rsidR="0038325F" w:rsidRPr="003B2BAB" w:rsidRDefault="0038325F" w:rsidP="00A35AEF">
            <w:pPr>
              <w:jc w:val="center"/>
              <w:rPr>
                <w:rFonts w:ascii="Calibri" w:hAnsi="Calibri" w:cs="Calibri"/>
                <w:i/>
                <w:iCs/>
                <w:color w:val="000000"/>
                <w:sz w:val="20"/>
                <w:szCs w:val="20"/>
              </w:rPr>
            </w:pPr>
            <w:r w:rsidRPr="003B2BAB">
              <w:rPr>
                <w:rFonts w:ascii="Calibri" w:hAnsi="Calibri" w:cs="Calibri"/>
                <w:i/>
                <w:iCs/>
                <w:color w:val="000000"/>
                <w:sz w:val="20"/>
                <w:szCs w:val="20"/>
              </w:rPr>
              <w:t>0,1%</w:t>
            </w:r>
          </w:p>
        </w:tc>
      </w:tr>
      <w:tr w:rsidR="0038325F" w:rsidRPr="003B2BAB" w14:paraId="1315C861" w14:textId="77777777" w:rsidTr="004C235D">
        <w:trPr>
          <w:trHeight w:val="272"/>
        </w:trPr>
        <w:tc>
          <w:tcPr>
            <w:tcW w:w="4111" w:type="dxa"/>
            <w:tcBorders>
              <w:top w:val="nil"/>
              <w:left w:val="nil"/>
              <w:bottom w:val="nil"/>
              <w:right w:val="nil"/>
            </w:tcBorders>
            <w:noWrap/>
            <w:vAlign w:val="center"/>
            <w:hideMark/>
          </w:tcPr>
          <w:p w14:paraId="23BAC03F" w14:textId="77777777" w:rsidR="0038325F" w:rsidRPr="003B2BAB" w:rsidRDefault="0038325F" w:rsidP="00A35AEF">
            <w:pPr>
              <w:rPr>
                <w:rFonts w:ascii="Calibri" w:hAnsi="Calibri" w:cs="Calibri"/>
                <w:color w:val="000000"/>
                <w:sz w:val="20"/>
                <w:szCs w:val="20"/>
              </w:rPr>
            </w:pPr>
            <w:r w:rsidRPr="003B2BAB">
              <w:rPr>
                <w:rFonts w:ascii="Calibri" w:hAnsi="Calibri" w:cs="Calibri"/>
                <w:color w:val="000000"/>
                <w:sz w:val="20"/>
                <w:szCs w:val="20"/>
              </w:rPr>
              <w:t>Altri prodotti alimentari</w:t>
            </w:r>
          </w:p>
        </w:tc>
        <w:tc>
          <w:tcPr>
            <w:tcW w:w="1317" w:type="dxa"/>
            <w:tcBorders>
              <w:top w:val="nil"/>
              <w:left w:val="nil"/>
              <w:bottom w:val="nil"/>
              <w:right w:val="nil"/>
            </w:tcBorders>
            <w:noWrap/>
            <w:vAlign w:val="center"/>
            <w:hideMark/>
          </w:tcPr>
          <w:p w14:paraId="4E6E0016"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16.086.437</w:t>
            </w:r>
          </w:p>
        </w:tc>
        <w:tc>
          <w:tcPr>
            <w:tcW w:w="1314" w:type="dxa"/>
            <w:tcBorders>
              <w:top w:val="nil"/>
              <w:left w:val="nil"/>
              <w:bottom w:val="nil"/>
              <w:right w:val="nil"/>
            </w:tcBorders>
            <w:noWrap/>
            <w:vAlign w:val="center"/>
            <w:hideMark/>
          </w:tcPr>
          <w:p w14:paraId="6D06259B"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25.724.705</w:t>
            </w:r>
          </w:p>
        </w:tc>
        <w:tc>
          <w:tcPr>
            <w:tcW w:w="985" w:type="dxa"/>
            <w:tcBorders>
              <w:top w:val="nil"/>
              <w:left w:val="nil"/>
              <w:bottom w:val="nil"/>
              <w:right w:val="nil"/>
            </w:tcBorders>
            <w:noWrap/>
            <w:vAlign w:val="center"/>
            <w:hideMark/>
          </w:tcPr>
          <w:p w14:paraId="1FDD8E71"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1,5%</w:t>
            </w:r>
          </w:p>
        </w:tc>
        <w:tc>
          <w:tcPr>
            <w:tcW w:w="737" w:type="dxa"/>
            <w:tcBorders>
              <w:top w:val="nil"/>
              <w:left w:val="nil"/>
              <w:bottom w:val="nil"/>
              <w:right w:val="nil"/>
            </w:tcBorders>
            <w:noWrap/>
            <w:vAlign w:val="center"/>
            <w:hideMark/>
          </w:tcPr>
          <w:p w14:paraId="11AE4485"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59,9%</w:t>
            </w:r>
          </w:p>
        </w:tc>
        <w:tc>
          <w:tcPr>
            <w:tcW w:w="1052" w:type="dxa"/>
            <w:tcBorders>
              <w:top w:val="nil"/>
              <w:left w:val="nil"/>
              <w:bottom w:val="nil"/>
              <w:right w:val="nil"/>
            </w:tcBorders>
            <w:noWrap/>
            <w:vAlign w:val="center"/>
            <w:hideMark/>
          </w:tcPr>
          <w:p w14:paraId="65875005" w14:textId="77777777" w:rsidR="0038325F" w:rsidRPr="003B2BAB" w:rsidRDefault="0038325F" w:rsidP="00A35AEF">
            <w:pPr>
              <w:jc w:val="center"/>
              <w:rPr>
                <w:rFonts w:ascii="Calibri" w:hAnsi="Calibri" w:cs="Calibri"/>
                <w:i/>
                <w:iCs/>
                <w:color w:val="000000"/>
                <w:sz w:val="20"/>
                <w:szCs w:val="20"/>
              </w:rPr>
            </w:pPr>
            <w:r w:rsidRPr="003B2BAB">
              <w:rPr>
                <w:rFonts w:ascii="Calibri" w:hAnsi="Calibri" w:cs="Calibri"/>
                <w:i/>
                <w:iCs/>
                <w:color w:val="000000"/>
                <w:sz w:val="20"/>
                <w:szCs w:val="20"/>
              </w:rPr>
              <w:t>0,5%</w:t>
            </w:r>
          </w:p>
        </w:tc>
      </w:tr>
      <w:tr w:rsidR="0038325F" w:rsidRPr="003B2BAB" w14:paraId="0D2CE2AA" w14:textId="77777777" w:rsidTr="004C235D">
        <w:trPr>
          <w:trHeight w:val="272"/>
        </w:trPr>
        <w:tc>
          <w:tcPr>
            <w:tcW w:w="4111" w:type="dxa"/>
            <w:tcBorders>
              <w:top w:val="nil"/>
              <w:left w:val="nil"/>
              <w:bottom w:val="nil"/>
              <w:right w:val="nil"/>
            </w:tcBorders>
            <w:noWrap/>
            <w:vAlign w:val="center"/>
            <w:hideMark/>
          </w:tcPr>
          <w:p w14:paraId="45B4EEAE" w14:textId="77777777" w:rsidR="0038325F" w:rsidRPr="003B2BAB" w:rsidRDefault="0038325F" w:rsidP="00A35AEF">
            <w:pPr>
              <w:rPr>
                <w:rFonts w:ascii="Calibri" w:hAnsi="Calibri" w:cs="Calibri"/>
                <w:color w:val="000000"/>
                <w:sz w:val="20"/>
                <w:szCs w:val="20"/>
                <w:highlight w:val="yellow"/>
              </w:rPr>
            </w:pPr>
            <w:proofErr w:type="spellStart"/>
            <w:r w:rsidRPr="003B2BAB">
              <w:rPr>
                <w:rFonts w:ascii="Calibri" w:hAnsi="Calibri" w:cs="Calibri"/>
                <w:color w:val="000000"/>
                <w:sz w:val="20"/>
                <w:szCs w:val="20"/>
              </w:rPr>
              <w:t>Macch</w:t>
            </w:r>
            <w:proofErr w:type="spellEnd"/>
            <w:r w:rsidRPr="003B2BAB">
              <w:rPr>
                <w:rFonts w:ascii="Calibri" w:hAnsi="Calibri" w:cs="Calibri"/>
                <w:color w:val="000000"/>
                <w:sz w:val="20"/>
                <w:szCs w:val="20"/>
              </w:rPr>
              <w:t xml:space="preserve">. formatura </w:t>
            </w:r>
            <w:proofErr w:type="spellStart"/>
            <w:r w:rsidRPr="003B2BAB">
              <w:rPr>
                <w:rFonts w:ascii="Calibri" w:hAnsi="Calibri" w:cs="Calibri"/>
                <w:color w:val="000000"/>
                <w:sz w:val="20"/>
                <w:szCs w:val="20"/>
              </w:rPr>
              <w:t>met</w:t>
            </w:r>
            <w:proofErr w:type="spellEnd"/>
            <w:r w:rsidRPr="003B2BAB">
              <w:rPr>
                <w:rFonts w:ascii="Calibri" w:hAnsi="Calibri" w:cs="Calibri"/>
                <w:color w:val="000000"/>
                <w:sz w:val="20"/>
                <w:szCs w:val="20"/>
              </w:rPr>
              <w:t xml:space="preserve">. e altre </w:t>
            </w:r>
            <w:proofErr w:type="spellStart"/>
            <w:r w:rsidRPr="003B2BAB">
              <w:rPr>
                <w:rFonts w:ascii="Calibri" w:hAnsi="Calibri" w:cs="Calibri"/>
                <w:color w:val="000000"/>
                <w:sz w:val="20"/>
                <w:szCs w:val="20"/>
              </w:rPr>
              <w:t>macch</w:t>
            </w:r>
            <w:proofErr w:type="spellEnd"/>
            <w:r w:rsidRPr="003B2BAB">
              <w:rPr>
                <w:rFonts w:ascii="Calibri" w:hAnsi="Calibri" w:cs="Calibri"/>
                <w:color w:val="000000"/>
                <w:sz w:val="20"/>
                <w:szCs w:val="20"/>
              </w:rPr>
              <w:t>. utensili</w:t>
            </w:r>
          </w:p>
        </w:tc>
        <w:tc>
          <w:tcPr>
            <w:tcW w:w="1317" w:type="dxa"/>
            <w:tcBorders>
              <w:top w:val="nil"/>
              <w:left w:val="nil"/>
              <w:bottom w:val="nil"/>
              <w:right w:val="nil"/>
            </w:tcBorders>
            <w:noWrap/>
            <w:vAlign w:val="center"/>
            <w:hideMark/>
          </w:tcPr>
          <w:p w14:paraId="493560F4"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28.976.017</w:t>
            </w:r>
          </w:p>
        </w:tc>
        <w:tc>
          <w:tcPr>
            <w:tcW w:w="1314" w:type="dxa"/>
            <w:tcBorders>
              <w:top w:val="nil"/>
              <w:left w:val="nil"/>
              <w:bottom w:val="nil"/>
              <w:right w:val="nil"/>
            </w:tcBorders>
            <w:noWrap/>
            <w:vAlign w:val="center"/>
            <w:hideMark/>
          </w:tcPr>
          <w:p w14:paraId="1FD53F05"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24.681.169</w:t>
            </w:r>
          </w:p>
        </w:tc>
        <w:tc>
          <w:tcPr>
            <w:tcW w:w="985" w:type="dxa"/>
            <w:tcBorders>
              <w:top w:val="nil"/>
              <w:left w:val="nil"/>
              <w:bottom w:val="nil"/>
              <w:right w:val="nil"/>
            </w:tcBorders>
            <w:noWrap/>
            <w:vAlign w:val="center"/>
            <w:hideMark/>
          </w:tcPr>
          <w:p w14:paraId="52DF5624"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1,4%</w:t>
            </w:r>
          </w:p>
        </w:tc>
        <w:tc>
          <w:tcPr>
            <w:tcW w:w="737" w:type="dxa"/>
            <w:tcBorders>
              <w:top w:val="nil"/>
              <w:left w:val="nil"/>
              <w:bottom w:val="nil"/>
              <w:right w:val="nil"/>
            </w:tcBorders>
            <w:noWrap/>
            <w:vAlign w:val="center"/>
            <w:hideMark/>
          </w:tcPr>
          <w:p w14:paraId="5CF88D2D" w14:textId="77777777" w:rsidR="0038325F" w:rsidRPr="003B2BAB" w:rsidRDefault="0038325F" w:rsidP="00A35AEF">
            <w:pPr>
              <w:jc w:val="center"/>
              <w:rPr>
                <w:rFonts w:ascii="Calibri" w:hAnsi="Calibri" w:cs="Calibri"/>
                <w:color w:val="000000"/>
                <w:sz w:val="20"/>
                <w:szCs w:val="20"/>
              </w:rPr>
            </w:pPr>
            <w:r w:rsidRPr="003B2BAB">
              <w:rPr>
                <w:rFonts w:ascii="Calibri" w:hAnsi="Calibri" w:cs="Calibri"/>
                <w:color w:val="000000"/>
                <w:sz w:val="20"/>
                <w:szCs w:val="20"/>
              </w:rPr>
              <w:t>-14,8%</w:t>
            </w:r>
          </w:p>
        </w:tc>
        <w:tc>
          <w:tcPr>
            <w:tcW w:w="1052" w:type="dxa"/>
            <w:tcBorders>
              <w:top w:val="nil"/>
              <w:left w:val="nil"/>
              <w:bottom w:val="nil"/>
              <w:right w:val="nil"/>
            </w:tcBorders>
            <w:noWrap/>
            <w:vAlign w:val="center"/>
            <w:hideMark/>
          </w:tcPr>
          <w:p w14:paraId="464CD8FB" w14:textId="77777777" w:rsidR="0038325F" w:rsidRPr="003B2BAB" w:rsidRDefault="0038325F" w:rsidP="00A35AEF">
            <w:pPr>
              <w:jc w:val="center"/>
              <w:rPr>
                <w:rFonts w:ascii="Calibri" w:hAnsi="Calibri" w:cs="Calibri"/>
                <w:i/>
                <w:iCs/>
                <w:color w:val="000000"/>
                <w:sz w:val="20"/>
                <w:szCs w:val="20"/>
              </w:rPr>
            </w:pPr>
            <w:r w:rsidRPr="003B2BAB">
              <w:rPr>
                <w:rFonts w:ascii="Calibri" w:hAnsi="Calibri" w:cs="Calibri"/>
                <w:i/>
                <w:iCs/>
                <w:color w:val="000000"/>
                <w:sz w:val="20"/>
                <w:szCs w:val="20"/>
              </w:rPr>
              <w:t>-0,2%</w:t>
            </w:r>
          </w:p>
        </w:tc>
      </w:tr>
      <w:tr w:rsidR="0038325F" w:rsidRPr="003B2BAB" w14:paraId="64482E96" w14:textId="77777777" w:rsidTr="004C235D">
        <w:trPr>
          <w:trHeight w:val="272"/>
        </w:trPr>
        <w:tc>
          <w:tcPr>
            <w:tcW w:w="4111" w:type="dxa"/>
            <w:tcBorders>
              <w:top w:val="nil"/>
              <w:left w:val="nil"/>
              <w:bottom w:val="nil"/>
              <w:right w:val="nil"/>
            </w:tcBorders>
            <w:noWrap/>
            <w:vAlign w:val="center"/>
            <w:hideMark/>
          </w:tcPr>
          <w:p w14:paraId="0E004032" w14:textId="77777777" w:rsidR="0038325F" w:rsidRPr="003B2BAB" w:rsidRDefault="0038325F" w:rsidP="00A35AEF">
            <w:pPr>
              <w:rPr>
                <w:rFonts w:ascii="Calibri" w:hAnsi="Calibri" w:cs="Calibri"/>
                <w:sz w:val="20"/>
                <w:szCs w:val="20"/>
              </w:rPr>
            </w:pPr>
            <w:r w:rsidRPr="003B2BAB">
              <w:rPr>
                <w:rFonts w:ascii="Calibri" w:hAnsi="Calibri" w:cs="Calibri"/>
                <w:sz w:val="20"/>
                <w:szCs w:val="20"/>
              </w:rPr>
              <w:t>Altro</w:t>
            </w:r>
          </w:p>
        </w:tc>
        <w:tc>
          <w:tcPr>
            <w:tcW w:w="1317" w:type="dxa"/>
            <w:tcBorders>
              <w:top w:val="nil"/>
              <w:left w:val="nil"/>
              <w:bottom w:val="nil"/>
              <w:right w:val="nil"/>
            </w:tcBorders>
            <w:noWrap/>
            <w:vAlign w:val="center"/>
            <w:hideMark/>
          </w:tcPr>
          <w:p w14:paraId="3AAB66A0" w14:textId="77777777" w:rsidR="0038325F" w:rsidRPr="003B2BAB" w:rsidRDefault="0038325F" w:rsidP="00A35AEF">
            <w:pPr>
              <w:jc w:val="center"/>
              <w:rPr>
                <w:rFonts w:ascii="Calibri" w:hAnsi="Calibri" w:cs="Calibri"/>
                <w:sz w:val="20"/>
                <w:szCs w:val="20"/>
              </w:rPr>
            </w:pPr>
            <w:r w:rsidRPr="003B2BAB">
              <w:rPr>
                <w:rFonts w:ascii="Calibri" w:hAnsi="Calibri" w:cs="Calibri"/>
                <w:sz w:val="20"/>
                <w:szCs w:val="20"/>
              </w:rPr>
              <w:t>319.814.381</w:t>
            </w:r>
          </w:p>
        </w:tc>
        <w:tc>
          <w:tcPr>
            <w:tcW w:w="1314" w:type="dxa"/>
            <w:tcBorders>
              <w:top w:val="nil"/>
              <w:left w:val="nil"/>
              <w:bottom w:val="nil"/>
              <w:right w:val="nil"/>
            </w:tcBorders>
            <w:noWrap/>
            <w:vAlign w:val="center"/>
            <w:hideMark/>
          </w:tcPr>
          <w:p w14:paraId="5C8CE542" w14:textId="77777777" w:rsidR="0038325F" w:rsidRPr="003B2BAB" w:rsidRDefault="0038325F" w:rsidP="00A35AEF">
            <w:pPr>
              <w:jc w:val="center"/>
              <w:rPr>
                <w:rFonts w:ascii="Calibri" w:hAnsi="Calibri" w:cs="Calibri"/>
                <w:sz w:val="20"/>
                <w:szCs w:val="20"/>
              </w:rPr>
            </w:pPr>
            <w:r w:rsidRPr="003B2BAB">
              <w:rPr>
                <w:rFonts w:ascii="Calibri" w:hAnsi="Calibri" w:cs="Calibri"/>
                <w:sz w:val="20"/>
                <w:szCs w:val="20"/>
              </w:rPr>
              <w:t>324.846.519</w:t>
            </w:r>
          </w:p>
        </w:tc>
        <w:tc>
          <w:tcPr>
            <w:tcW w:w="985" w:type="dxa"/>
            <w:tcBorders>
              <w:top w:val="nil"/>
              <w:left w:val="nil"/>
              <w:bottom w:val="nil"/>
              <w:right w:val="nil"/>
            </w:tcBorders>
            <w:noWrap/>
            <w:vAlign w:val="center"/>
            <w:hideMark/>
          </w:tcPr>
          <w:p w14:paraId="24440CB7" w14:textId="77777777" w:rsidR="0038325F" w:rsidRPr="003B2BAB" w:rsidRDefault="0038325F" w:rsidP="00A35AEF">
            <w:pPr>
              <w:jc w:val="center"/>
              <w:rPr>
                <w:rFonts w:ascii="Calibri" w:hAnsi="Calibri" w:cs="Calibri"/>
                <w:sz w:val="20"/>
                <w:szCs w:val="20"/>
              </w:rPr>
            </w:pPr>
            <w:r w:rsidRPr="003B2BAB">
              <w:rPr>
                <w:rFonts w:ascii="Calibri" w:hAnsi="Calibri" w:cs="Calibri"/>
                <w:sz w:val="20"/>
                <w:szCs w:val="20"/>
              </w:rPr>
              <w:t>18,7%</w:t>
            </w:r>
          </w:p>
        </w:tc>
        <w:tc>
          <w:tcPr>
            <w:tcW w:w="737" w:type="dxa"/>
            <w:tcBorders>
              <w:top w:val="nil"/>
              <w:left w:val="nil"/>
              <w:bottom w:val="nil"/>
              <w:right w:val="nil"/>
            </w:tcBorders>
            <w:noWrap/>
            <w:vAlign w:val="center"/>
            <w:hideMark/>
          </w:tcPr>
          <w:p w14:paraId="61A885FF" w14:textId="77777777" w:rsidR="0038325F" w:rsidRPr="003B2BAB" w:rsidRDefault="0038325F" w:rsidP="00A35AEF">
            <w:pPr>
              <w:jc w:val="center"/>
              <w:rPr>
                <w:rFonts w:ascii="Calibri" w:hAnsi="Calibri" w:cs="Calibri"/>
                <w:sz w:val="20"/>
                <w:szCs w:val="20"/>
              </w:rPr>
            </w:pPr>
            <w:r w:rsidRPr="003B2BAB">
              <w:rPr>
                <w:rFonts w:ascii="Calibri" w:hAnsi="Calibri" w:cs="Calibri"/>
                <w:sz w:val="20"/>
                <w:szCs w:val="20"/>
              </w:rPr>
              <w:t>1,6%</w:t>
            </w:r>
          </w:p>
        </w:tc>
        <w:tc>
          <w:tcPr>
            <w:tcW w:w="1052" w:type="dxa"/>
            <w:tcBorders>
              <w:top w:val="nil"/>
              <w:left w:val="nil"/>
              <w:bottom w:val="nil"/>
              <w:right w:val="nil"/>
            </w:tcBorders>
            <w:noWrap/>
            <w:vAlign w:val="center"/>
            <w:hideMark/>
          </w:tcPr>
          <w:p w14:paraId="19296659" w14:textId="77777777" w:rsidR="0038325F" w:rsidRPr="003B2BAB" w:rsidRDefault="0038325F" w:rsidP="00A35AEF">
            <w:pPr>
              <w:jc w:val="center"/>
              <w:rPr>
                <w:rFonts w:ascii="Calibri" w:hAnsi="Calibri" w:cs="Calibri"/>
                <w:i/>
                <w:iCs/>
                <w:sz w:val="20"/>
                <w:szCs w:val="20"/>
              </w:rPr>
            </w:pPr>
            <w:r w:rsidRPr="003B2BAB">
              <w:rPr>
                <w:rFonts w:ascii="Calibri" w:hAnsi="Calibri" w:cs="Calibri"/>
                <w:i/>
                <w:iCs/>
                <w:sz w:val="20"/>
                <w:szCs w:val="20"/>
              </w:rPr>
              <w:t>0,3%</w:t>
            </w:r>
          </w:p>
        </w:tc>
      </w:tr>
      <w:tr w:rsidR="0038325F" w:rsidRPr="003B2BAB" w14:paraId="04505B04" w14:textId="77777777" w:rsidTr="004C235D">
        <w:trPr>
          <w:trHeight w:val="272"/>
        </w:trPr>
        <w:tc>
          <w:tcPr>
            <w:tcW w:w="4111" w:type="dxa"/>
            <w:tcBorders>
              <w:top w:val="single" w:sz="4" w:space="0" w:color="auto"/>
              <w:left w:val="nil"/>
              <w:bottom w:val="single" w:sz="4" w:space="0" w:color="auto"/>
              <w:right w:val="nil"/>
            </w:tcBorders>
            <w:noWrap/>
            <w:vAlign w:val="center"/>
            <w:hideMark/>
          </w:tcPr>
          <w:p w14:paraId="40300A8E" w14:textId="77777777" w:rsidR="0038325F" w:rsidRPr="003B2BAB" w:rsidRDefault="0038325F" w:rsidP="00A35AEF">
            <w:pPr>
              <w:rPr>
                <w:rFonts w:ascii="Calibri" w:hAnsi="Calibri" w:cs="Calibri"/>
                <w:b/>
                <w:bCs/>
                <w:sz w:val="20"/>
                <w:szCs w:val="20"/>
              </w:rPr>
            </w:pPr>
            <w:r w:rsidRPr="003B2BAB">
              <w:rPr>
                <w:rFonts w:ascii="Calibri" w:hAnsi="Calibri" w:cs="Calibri"/>
                <w:b/>
                <w:bCs/>
                <w:sz w:val="20"/>
                <w:szCs w:val="20"/>
              </w:rPr>
              <w:t>Totale</w:t>
            </w:r>
          </w:p>
        </w:tc>
        <w:tc>
          <w:tcPr>
            <w:tcW w:w="1317" w:type="dxa"/>
            <w:tcBorders>
              <w:top w:val="single" w:sz="4" w:space="0" w:color="auto"/>
              <w:left w:val="nil"/>
              <w:bottom w:val="single" w:sz="4" w:space="0" w:color="auto"/>
              <w:right w:val="nil"/>
            </w:tcBorders>
            <w:noWrap/>
            <w:vAlign w:val="center"/>
            <w:hideMark/>
          </w:tcPr>
          <w:p w14:paraId="0E11D02B" w14:textId="77777777" w:rsidR="0038325F" w:rsidRPr="003B2BAB" w:rsidRDefault="0038325F" w:rsidP="00A35AEF">
            <w:pPr>
              <w:jc w:val="center"/>
              <w:rPr>
                <w:rFonts w:ascii="Calibri" w:hAnsi="Calibri" w:cs="Calibri"/>
                <w:b/>
                <w:bCs/>
                <w:sz w:val="20"/>
                <w:szCs w:val="20"/>
              </w:rPr>
            </w:pPr>
            <w:r w:rsidRPr="003B2BAB">
              <w:rPr>
                <w:rFonts w:ascii="Calibri" w:hAnsi="Calibri" w:cs="Calibri"/>
                <w:b/>
                <w:bCs/>
                <w:sz w:val="20"/>
                <w:szCs w:val="20"/>
              </w:rPr>
              <w:t>1.812.532.778</w:t>
            </w:r>
          </w:p>
        </w:tc>
        <w:tc>
          <w:tcPr>
            <w:tcW w:w="1314" w:type="dxa"/>
            <w:tcBorders>
              <w:top w:val="single" w:sz="4" w:space="0" w:color="auto"/>
              <w:left w:val="nil"/>
              <w:bottom w:val="single" w:sz="4" w:space="0" w:color="auto"/>
              <w:right w:val="nil"/>
            </w:tcBorders>
            <w:noWrap/>
            <w:vAlign w:val="center"/>
            <w:hideMark/>
          </w:tcPr>
          <w:p w14:paraId="5C6BA848" w14:textId="77777777" w:rsidR="0038325F" w:rsidRPr="003B2BAB" w:rsidRDefault="0038325F" w:rsidP="00A35AEF">
            <w:pPr>
              <w:jc w:val="center"/>
              <w:rPr>
                <w:rFonts w:ascii="Calibri" w:hAnsi="Calibri" w:cs="Calibri"/>
                <w:b/>
                <w:bCs/>
                <w:sz w:val="20"/>
                <w:szCs w:val="20"/>
              </w:rPr>
            </w:pPr>
            <w:r w:rsidRPr="003B2BAB">
              <w:rPr>
                <w:rFonts w:ascii="Calibri" w:hAnsi="Calibri" w:cs="Calibri"/>
                <w:b/>
                <w:bCs/>
                <w:sz w:val="20"/>
                <w:szCs w:val="20"/>
              </w:rPr>
              <w:t>1.739.921.771</w:t>
            </w:r>
          </w:p>
        </w:tc>
        <w:tc>
          <w:tcPr>
            <w:tcW w:w="985" w:type="dxa"/>
            <w:tcBorders>
              <w:top w:val="single" w:sz="4" w:space="0" w:color="auto"/>
              <w:left w:val="nil"/>
              <w:bottom w:val="single" w:sz="4" w:space="0" w:color="auto"/>
              <w:right w:val="nil"/>
            </w:tcBorders>
            <w:noWrap/>
            <w:vAlign w:val="center"/>
            <w:hideMark/>
          </w:tcPr>
          <w:p w14:paraId="2923C7DF" w14:textId="77777777" w:rsidR="0038325F" w:rsidRPr="003B2BAB" w:rsidRDefault="0038325F" w:rsidP="00A35AEF">
            <w:pPr>
              <w:jc w:val="center"/>
              <w:rPr>
                <w:rFonts w:ascii="Calibri" w:hAnsi="Calibri" w:cs="Calibri"/>
                <w:b/>
                <w:bCs/>
                <w:sz w:val="20"/>
                <w:szCs w:val="20"/>
              </w:rPr>
            </w:pPr>
            <w:r w:rsidRPr="003B2BAB">
              <w:rPr>
                <w:rFonts w:ascii="Calibri" w:hAnsi="Calibri" w:cs="Calibri"/>
                <w:b/>
                <w:bCs/>
                <w:sz w:val="20"/>
                <w:szCs w:val="20"/>
              </w:rPr>
              <w:t>100,0%</w:t>
            </w:r>
          </w:p>
        </w:tc>
        <w:tc>
          <w:tcPr>
            <w:tcW w:w="737" w:type="dxa"/>
            <w:tcBorders>
              <w:top w:val="single" w:sz="4" w:space="0" w:color="auto"/>
              <w:left w:val="nil"/>
              <w:bottom w:val="single" w:sz="4" w:space="0" w:color="auto"/>
              <w:right w:val="nil"/>
            </w:tcBorders>
            <w:noWrap/>
            <w:vAlign w:val="center"/>
            <w:hideMark/>
          </w:tcPr>
          <w:p w14:paraId="5CB77733" w14:textId="77777777" w:rsidR="0038325F" w:rsidRPr="003B2BAB" w:rsidRDefault="0038325F" w:rsidP="00A35AEF">
            <w:pPr>
              <w:jc w:val="center"/>
              <w:rPr>
                <w:rFonts w:ascii="Calibri" w:hAnsi="Calibri" w:cs="Calibri"/>
                <w:b/>
                <w:bCs/>
                <w:sz w:val="20"/>
                <w:szCs w:val="20"/>
              </w:rPr>
            </w:pPr>
            <w:r w:rsidRPr="003B2BAB">
              <w:rPr>
                <w:rFonts w:ascii="Calibri" w:hAnsi="Calibri" w:cs="Calibri"/>
                <w:b/>
                <w:bCs/>
                <w:sz w:val="20"/>
                <w:szCs w:val="20"/>
              </w:rPr>
              <w:t>-4,0%</w:t>
            </w:r>
          </w:p>
        </w:tc>
        <w:tc>
          <w:tcPr>
            <w:tcW w:w="1052" w:type="dxa"/>
            <w:tcBorders>
              <w:top w:val="single" w:sz="4" w:space="0" w:color="auto"/>
              <w:left w:val="nil"/>
              <w:bottom w:val="single" w:sz="4" w:space="0" w:color="auto"/>
              <w:right w:val="nil"/>
            </w:tcBorders>
            <w:noWrap/>
            <w:vAlign w:val="center"/>
            <w:hideMark/>
          </w:tcPr>
          <w:p w14:paraId="0564BA6B" w14:textId="77777777" w:rsidR="0038325F" w:rsidRPr="003B2BAB" w:rsidRDefault="0038325F" w:rsidP="00A35AEF">
            <w:pPr>
              <w:jc w:val="center"/>
              <w:rPr>
                <w:rFonts w:ascii="Calibri" w:hAnsi="Calibri" w:cs="Calibri"/>
                <w:b/>
                <w:bCs/>
                <w:i/>
                <w:iCs/>
                <w:sz w:val="20"/>
                <w:szCs w:val="20"/>
              </w:rPr>
            </w:pPr>
            <w:r w:rsidRPr="003B2BAB">
              <w:rPr>
                <w:rFonts w:ascii="Calibri" w:hAnsi="Calibri" w:cs="Calibri"/>
                <w:b/>
                <w:bCs/>
                <w:i/>
                <w:iCs/>
                <w:sz w:val="20"/>
                <w:szCs w:val="20"/>
              </w:rPr>
              <w:t>-4,0%</w:t>
            </w:r>
          </w:p>
        </w:tc>
      </w:tr>
      <w:tr w:rsidR="0038325F" w:rsidRPr="003B2BAB" w14:paraId="009CAD47" w14:textId="77777777" w:rsidTr="004C235D">
        <w:trPr>
          <w:trHeight w:val="255"/>
        </w:trPr>
        <w:tc>
          <w:tcPr>
            <w:tcW w:w="9514" w:type="dxa"/>
            <w:gridSpan w:val="6"/>
            <w:tcBorders>
              <w:top w:val="nil"/>
              <w:left w:val="nil"/>
              <w:bottom w:val="nil"/>
            </w:tcBorders>
            <w:noWrap/>
            <w:vAlign w:val="center"/>
            <w:hideMark/>
          </w:tcPr>
          <w:p w14:paraId="19C04827" w14:textId="77777777" w:rsidR="0038325F" w:rsidRPr="003B2BAB" w:rsidRDefault="0038325F" w:rsidP="00A35AEF">
            <w:pPr>
              <w:rPr>
                <w:rFonts w:ascii="Calibri" w:hAnsi="Calibri" w:cs="Calibri"/>
                <w:sz w:val="20"/>
                <w:szCs w:val="20"/>
              </w:rPr>
            </w:pPr>
            <w:r w:rsidRPr="003B2BAB">
              <w:rPr>
                <w:rFonts w:ascii="Calibri" w:hAnsi="Calibri" w:cs="Calibri"/>
                <w:i/>
                <w:iCs/>
                <w:color w:val="000000"/>
                <w:sz w:val="20"/>
                <w:szCs w:val="20"/>
              </w:rPr>
              <w:t>Fonte: Elaborazioni Camera di Commercio Toscana Nord-Ovest -ISR su dati Istat (dati provvisori)</w:t>
            </w:r>
          </w:p>
        </w:tc>
      </w:tr>
      <w:tr w:rsidR="0038325F" w:rsidRPr="003B2BAB" w14:paraId="253841B9" w14:textId="77777777" w:rsidTr="004C235D">
        <w:trPr>
          <w:trHeight w:val="255"/>
        </w:trPr>
        <w:tc>
          <w:tcPr>
            <w:tcW w:w="9514" w:type="dxa"/>
            <w:gridSpan w:val="6"/>
            <w:tcBorders>
              <w:top w:val="nil"/>
              <w:left w:val="nil"/>
              <w:bottom w:val="nil"/>
            </w:tcBorders>
            <w:noWrap/>
            <w:vAlign w:val="center"/>
          </w:tcPr>
          <w:p w14:paraId="15B03D9C" w14:textId="77777777" w:rsidR="0038325F" w:rsidRPr="003B2BAB" w:rsidRDefault="0038325F" w:rsidP="00A35AEF">
            <w:pPr>
              <w:rPr>
                <w:rFonts w:ascii="Calibri" w:hAnsi="Calibri" w:cs="Calibri"/>
                <w:i/>
                <w:iCs/>
                <w:color w:val="000000"/>
                <w:sz w:val="20"/>
                <w:szCs w:val="20"/>
              </w:rPr>
            </w:pPr>
            <w:r w:rsidRPr="003B2BAB">
              <w:rPr>
                <w:rFonts w:ascii="Calibri" w:hAnsi="Calibri" w:cs="Calibri"/>
                <w:color w:val="000000"/>
                <w:sz w:val="20"/>
                <w:szCs w:val="20"/>
              </w:rPr>
              <w:t>* Motocicli, motoveicoli, loro motori e accessori, biciclette, veicoli per invalidi.</w:t>
            </w:r>
          </w:p>
        </w:tc>
      </w:tr>
      <w:tr w:rsidR="0038325F" w:rsidRPr="003B2BAB" w14:paraId="39FC1530" w14:textId="77777777" w:rsidTr="004C235D">
        <w:trPr>
          <w:trHeight w:val="255"/>
        </w:trPr>
        <w:tc>
          <w:tcPr>
            <w:tcW w:w="9514" w:type="dxa"/>
            <w:gridSpan w:val="6"/>
            <w:tcBorders>
              <w:top w:val="nil"/>
              <w:left w:val="nil"/>
              <w:bottom w:val="nil"/>
            </w:tcBorders>
            <w:noWrap/>
            <w:vAlign w:val="center"/>
          </w:tcPr>
          <w:p w14:paraId="7A3E1016" w14:textId="77777777" w:rsidR="0038325F" w:rsidRPr="003B2BAB" w:rsidRDefault="0038325F" w:rsidP="00A35AEF">
            <w:pPr>
              <w:rPr>
                <w:rFonts w:ascii="Calibri" w:hAnsi="Calibri" w:cs="Calibri"/>
                <w:i/>
                <w:iCs/>
                <w:color w:val="000000"/>
                <w:sz w:val="20"/>
                <w:szCs w:val="20"/>
              </w:rPr>
            </w:pPr>
            <w:r w:rsidRPr="003B2BAB">
              <w:rPr>
                <w:rFonts w:ascii="Calibri" w:hAnsi="Calibri" w:cs="Calibri"/>
                <w:color w:val="000000"/>
                <w:sz w:val="20"/>
                <w:szCs w:val="20"/>
              </w:rPr>
              <w:t>** Il settore è composto prevalentemente da cuoio e pelli gregge</w:t>
            </w:r>
          </w:p>
        </w:tc>
      </w:tr>
    </w:tbl>
    <w:p w14:paraId="16C5B7F8" w14:textId="77777777" w:rsidR="00AD2594" w:rsidRDefault="0022419F" w:rsidP="005432D1">
      <w:pPr>
        <w:spacing w:before="240"/>
        <w:jc w:val="both"/>
        <w:rPr>
          <w:rFonts w:ascii="Calibri" w:hAnsi="Calibri" w:cs="Calibri"/>
        </w:rPr>
      </w:pPr>
      <w:r>
        <w:rPr>
          <w:rFonts w:ascii="Calibri" w:hAnsi="Calibri" w:cs="Calibri"/>
        </w:rPr>
        <w:t>Rimanendo n</w:t>
      </w:r>
      <w:r w:rsidRPr="006755C4">
        <w:rPr>
          <w:rFonts w:ascii="Calibri" w:hAnsi="Calibri" w:cs="Calibri"/>
        </w:rPr>
        <w:t>el sistema moda</w:t>
      </w:r>
      <w:r>
        <w:rPr>
          <w:rFonts w:ascii="Calibri" w:hAnsi="Calibri" w:cs="Calibri"/>
        </w:rPr>
        <w:t>,</w:t>
      </w:r>
      <w:r w:rsidRPr="006755C4">
        <w:rPr>
          <w:rFonts w:ascii="Calibri" w:hAnsi="Calibri" w:cs="Calibri"/>
        </w:rPr>
        <w:t xml:space="preserve"> l</w:t>
      </w:r>
      <w:r w:rsidR="005B675F">
        <w:rPr>
          <w:rFonts w:ascii="Calibri" w:hAnsi="Calibri" w:cs="Calibri"/>
        </w:rPr>
        <w:t xml:space="preserve">’export di </w:t>
      </w:r>
      <w:r w:rsidRPr="006755C4">
        <w:rPr>
          <w:rFonts w:ascii="Calibri" w:hAnsi="Calibri" w:cs="Calibri"/>
          <w:b/>
          <w:bCs/>
          <w:i/>
          <w:iCs/>
        </w:rPr>
        <w:t>calzature</w:t>
      </w:r>
      <w:r w:rsidRPr="006755C4">
        <w:rPr>
          <w:rFonts w:ascii="Calibri" w:hAnsi="Calibri" w:cs="Calibri"/>
        </w:rPr>
        <w:t xml:space="preserve"> pisane nel primo semestre 2025</w:t>
      </w:r>
      <w:r w:rsidRPr="00BE781B">
        <w:rPr>
          <w:rFonts w:ascii="Calibri" w:hAnsi="Calibri" w:cs="Calibri"/>
        </w:rPr>
        <w:t xml:space="preserve"> </w:t>
      </w:r>
      <w:r w:rsidR="005B675F">
        <w:rPr>
          <w:rFonts w:ascii="Calibri" w:hAnsi="Calibri" w:cs="Calibri"/>
        </w:rPr>
        <w:t>è diminuito sensibilmente scendendo</w:t>
      </w:r>
      <w:r w:rsidRPr="006755C4">
        <w:rPr>
          <w:rFonts w:ascii="Calibri" w:hAnsi="Calibri" w:cs="Calibri"/>
        </w:rPr>
        <w:t xml:space="preserve"> a 57,2 milioni di euro</w:t>
      </w:r>
      <w:r w:rsidR="00A75A08">
        <w:rPr>
          <w:rFonts w:ascii="Calibri" w:hAnsi="Calibri" w:cs="Calibri"/>
        </w:rPr>
        <w:t xml:space="preserve"> dai</w:t>
      </w:r>
      <w:r w:rsidRPr="006755C4">
        <w:rPr>
          <w:rFonts w:ascii="Calibri" w:hAnsi="Calibri" w:cs="Calibri"/>
        </w:rPr>
        <w:t xml:space="preserve"> 63,9 milioni del 2024 e agli 80,6 milioni del 2023</w:t>
      </w:r>
      <w:r w:rsidR="005B675F">
        <w:rPr>
          <w:rFonts w:ascii="Calibri" w:hAnsi="Calibri" w:cs="Calibri"/>
        </w:rPr>
        <w:t xml:space="preserve">. La flessione su base annua è stata del </w:t>
      </w:r>
      <w:r w:rsidRPr="006755C4">
        <w:rPr>
          <w:rFonts w:ascii="Calibri" w:hAnsi="Calibri" w:cs="Calibri"/>
        </w:rPr>
        <w:t xml:space="preserve">10,4% e </w:t>
      </w:r>
      <w:r w:rsidR="005B675F">
        <w:rPr>
          <w:rFonts w:ascii="Calibri" w:hAnsi="Calibri" w:cs="Calibri"/>
        </w:rPr>
        <w:t>la</w:t>
      </w:r>
      <w:r w:rsidRPr="006755C4">
        <w:rPr>
          <w:rFonts w:ascii="Calibri" w:hAnsi="Calibri" w:cs="Calibri"/>
        </w:rPr>
        <w:t xml:space="preserve"> perdita cumulata rispetto a due anni prima</w:t>
      </w:r>
      <w:r w:rsidR="005B675F">
        <w:rPr>
          <w:rFonts w:ascii="Calibri" w:hAnsi="Calibri" w:cs="Calibri"/>
        </w:rPr>
        <w:t xml:space="preserve"> del 29%.</w:t>
      </w:r>
      <w:r>
        <w:rPr>
          <w:rFonts w:ascii="Calibri" w:hAnsi="Calibri" w:cs="Calibri"/>
        </w:rPr>
        <w:t xml:space="preserve"> I</w:t>
      </w:r>
      <w:r w:rsidRPr="006755C4">
        <w:rPr>
          <w:rFonts w:ascii="Calibri" w:hAnsi="Calibri" w:cs="Calibri"/>
        </w:rPr>
        <w:t xml:space="preserve">l </w:t>
      </w:r>
      <w:r w:rsidR="005B675F">
        <w:rPr>
          <w:rFonts w:ascii="Calibri" w:hAnsi="Calibri" w:cs="Calibri"/>
        </w:rPr>
        <w:t>dato</w:t>
      </w:r>
      <w:r w:rsidRPr="006755C4">
        <w:rPr>
          <w:rFonts w:ascii="Calibri" w:hAnsi="Calibri" w:cs="Calibri"/>
        </w:rPr>
        <w:t xml:space="preserve"> è stato </w:t>
      </w:r>
      <w:r>
        <w:rPr>
          <w:rFonts w:ascii="Calibri" w:hAnsi="Calibri" w:cs="Calibri"/>
        </w:rPr>
        <w:t>determinato da una flessione delle vendite sui principali mercati di sbocco: l</w:t>
      </w:r>
      <w:r w:rsidRPr="006755C4">
        <w:rPr>
          <w:rFonts w:ascii="Calibri" w:hAnsi="Calibri" w:cs="Calibri"/>
        </w:rPr>
        <w:t xml:space="preserve">a Francia, nonostante una contrazione del 9,8% su base annua, </w:t>
      </w:r>
      <w:r w:rsidR="005B675F">
        <w:rPr>
          <w:rFonts w:ascii="Calibri" w:hAnsi="Calibri" w:cs="Calibri"/>
        </w:rPr>
        <w:t>è ancora</w:t>
      </w:r>
      <w:r w:rsidRPr="006755C4">
        <w:rPr>
          <w:rFonts w:ascii="Calibri" w:hAnsi="Calibri" w:cs="Calibri"/>
        </w:rPr>
        <w:t xml:space="preserve"> il primo mercato di sbocco per le calzature pisane, con un controvalore di 11,4 milioni di euro,</w:t>
      </w:r>
      <w:r>
        <w:rPr>
          <w:rFonts w:ascii="Calibri" w:hAnsi="Calibri" w:cs="Calibri"/>
        </w:rPr>
        <w:t xml:space="preserve"> gli Stati Uniti sono scesi di quasi </w:t>
      </w:r>
      <w:r w:rsidRPr="006755C4">
        <w:rPr>
          <w:rFonts w:ascii="Calibri" w:hAnsi="Calibri" w:cs="Calibri"/>
        </w:rPr>
        <w:t>1,</w:t>
      </w:r>
      <w:r>
        <w:rPr>
          <w:rFonts w:ascii="Calibri" w:hAnsi="Calibri" w:cs="Calibri"/>
        </w:rPr>
        <w:t>9</w:t>
      </w:r>
      <w:r w:rsidRPr="006755C4">
        <w:rPr>
          <w:rFonts w:ascii="Calibri" w:hAnsi="Calibri" w:cs="Calibri"/>
        </w:rPr>
        <w:t xml:space="preserve"> milioni di euro rispetto all’anno precedente (-18,4%) fermandosi a 8,3 milioni</w:t>
      </w:r>
      <w:r>
        <w:rPr>
          <w:rFonts w:ascii="Calibri" w:hAnsi="Calibri" w:cs="Calibri"/>
        </w:rPr>
        <w:t xml:space="preserve">, e </w:t>
      </w:r>
      <w:r w:rsidRPr="006755C4">
        <w:rPr>
          <w:rFonts w:ascii="Calibri" w:hAnsi="Calibri" w:cs="Calibri"/>
        </w:rPr>
        <w:t>la Germania (-19,4%)</w:t>
      </w:r>
      <w:r>
        <w:rPr>
          <w:rFonts w:ascii="Calibri" w:hAnsi="Calibri" w:cs="Calibri"/>
        </w:rPr>
        <w:t xml:space="preserve"> ha ridotto gli acquisti a </w:t>
      </w:r>
      <w:r w:rsidRPr="006755C4">
        <w:rPr>
          <w:rFonts w:ascii="Calibri" w:hAnsi="Calibri" w:cs="Calibri"/>
        </w:rPr>
        <w:t>7,5 milioni</w:t>
      </w:r>
      <w:r>
        <w:rPr>
          <w:rFonts w:ascii="Calibri" w:hAnsi="Calibri" w:cs="Calibri"/>
        </w:rPr>
        <w:t xml:space="preserve">. In forte calo anche il </w:t>
      </w:r>
      <w:r w:rsidRPr="006755C4">
        <w:rPr>
          <w:rFonts w:ascii="Calibri" w:hAnsi="Calibri" w:cs="Calibri"/>
        </w:rPr>
        <w:t xml:space="preserve">Regno Unito, che ha più che dimezzato </w:t>
      </w:r>
      <w:r>
        <w:rPr>
          <w:rFonts w:ascii="Calibri" w:hAnsi="Calibri" w:cs="Calibri"/>
        </w:rPr>
        <w:t xml:space="preserve">gli acquisti </w:t>
      </w:r>
      <w:r w:rsidRPr="006755C4">
        <w:rPr>
          <w:rFonts w:ascii="Calibri" w:hAnsi="Calibri" w:cs="Calibri"/>
        </w:rPr>
        <w:t>passando da 2,4 milioni a 1,</w:t>
      </w:r>
      <w:r>
        <w:rPr>
          <w:rFonts w:ascii="Calibri" w:hAnsi="Calibri" w:cs="Calibri"/>
        </w:rPr>
        <w:t>4</w:t>
      </w:r>
      <w:r w:rsidRPr="006755C4">
        <w:rPr>
          <w:rFonts w:ascii="Calibri" w:hAnsi="Calibri" w:cs="Calibri"/>
        </w:rPr>
        <w:t xml:space="preserve"> milioni di euro (-42,7%).</w:t>
      </w:r>
      <w:r>
        <w:rPr>
          <w:rFonts w:ascii="Calibri" w:hAnsi="Calibri" w:cs="Calibri"/>
        </w:rPr>
        <w:t xml:space="preserve"> I </w:t>
      </w:r>
      <w:r w:rsidRPr="006755C4">
        <w:rPr>
          <w:rFonts w:ascii="Calibri" w:hAnsi="Calibri" w:cs="Calibri"/>
        </w:rPr>
        <w:t>Paesi Bassi</w:t>
      </w:r>
      <w:r>
        <w:rPr>
          <w:rFonts w:ascii="Calibri" w:hAnsi="Calibri" w:cs="Calibri"/>
        </w:rPr>
        <w:t xml:space="preserve">, secondo mercato di destinazione, hanno invece </w:t>
      </w:r>
      <w:r w:rsidRPr="006755C4">
        <w:rPr>
          <w:rFonts w:ascii="Calibri" w:hAnsi="Calibri" w:cs="Calibri"/>
        </w:rPr>
        <w:t>mostra</w:t>
      </w:r>
      <w:r>
        <w:rPr>
          <w:rFonts w:ascii="Calibri" w:hAnsi="Calibri" w:cs="Calibri"/>
        </w:rPr>
        <w:t>t</w:t>
      </w:r>
      <w:r w:rsidRPr="006755C4">
        <w:rPr>
          <w:rFonts w:ascii="Calibri" w:hAnsi="Calibri" w:cs="Calibri"/>
        </w:rPr>
        <w:t xml:space="preserve">o un trend in controtendenza con una crescita del +2,8% </w:t>
      </w:r>
      <w:r>
        <w:rPr>
          <w:rFonts w:ascii="Calibri" w:hAnsi="Calibri" w:cs="Calibri"/>
        </w:rPr>
        <w:t xml:space="preserve">a quota </w:t>
      </w:r>
      <w:r w:rsidRPr="006755C4">
        <w:rPr>
          <w:rFonts w:ascii="Calibri" w:hAnsi="Calibri" w:cs="Calibri"/>
        </w:rPr>
        <w:t>9,8 milioni di euro.</w:t>
      </w:r>
    </w:p>
    <w:p w14:paraId="3A2F5D4A" w14:textId="77777777" w:rsidR="0022419F" w:rsidRDefault="0022419F" w:rsidP="0022419F">
      <w:pPr>
        <w:jc w:val="both"/>
        <w:rPr>
          <w:rFonts w:ascii="Calibri" w:hAnsi="Calibri" w:cs="Calibri"/>
        </w:rPr>
      </w:pPr>
      <w:r w:rsidRPr="00546AF2">
        <w:rPr>
          <w:rFonts w:ascii="Calibri" w:hAnsi="Calibri" w:cs="Calibri"/>
        </w:rPr>
        <w:t>Sono andate decisamente meglio le cose per l’</w:t>
      </w:r>
      <w:r w:rsidRPr="00546AF2">
        <w:rPr>
          <w:rFonts w:ascii="Calibri" w:hAnsi="Calibri" w:cs="Calibri"/>
          <w:b/>
          <w:bCs/>
          <w:i/>
          <w:iCs/>
        </w:rPr>
        <w:t>abbigliamento</w:t>
      </w:r>
      <w:r w:rsidRPr="00343B6B">
        <w:rPr>
          <w:rFonts w:ascii="Calibri" w:hAnsi="Calibri" w:cs="Calibri"/>
          <w:i/>
          <w:iCs/>
        </w:rPr>
        <w:t>,</w:t>
      </w:r>
      <w:r w:rsidRPr="00343B6B">
        <w:rPr>
          <w:rFonts w:ascii="Calibri" w:hAnsi="Calibri" w:cs="Calibri"/>
        </w:rPr>
        <w:t xml:space="preserve"> </w:t>
      </w:r>
      <w:r w:rsidRPr="00546AF2">
        <w:rPr>
          <w:rFonts w:ascii="Calibri" w:hAnsi="Calibri" w:cs="Calibri"/>
        </w:rPr>
        <w:t>le cui vendite estere sono aumentate del 54,3%</w:t>
      </w:r>
      <w:r>
        <w:rPr>
          <w:rFonts w:ascii="Calibri" w:hAnsi="Calibri" w:cs="Calibri"/>
        </w:rPr>
        <w:t>,</w:t>
      </w:r>
      <w:r w:rsidRPr="00546AF2">
        <w:rPr>
          <w:rFonts w:ascii="Calibri" w:hAnsi="Calibri" w:cs="Calibri"/>
        </w:rPr>
        <w:t xml:space="preserve"> dopo il crollo del 47,3% registrato nel primo semestre del 2024, passando da 32 a quasi 50 milioni</w:t>
      </w:r>
      <w:r w:rsidR="000A2A45">
        <w:rPr>
          <w:rFonts w:ascii="Calibri" w:hAnsi="Calibri" w:cs="Calibri"/>
        </w:rPr>
        <w:t xml:space="preserve"> di euro e</w:t>
      </w:r>
      <w:r w:rsidRPr="00546AF2">
        <w:rPr>
          <w:rFonts w:ascii="Calibri" w:hAnsi="Calibri" w:cs="Calibri"/>
        </w:rPr>
        <w:t xml:space="preserve"> contribu</w:t>
      </w:r>
      <w:r>
        <w:rPr>
          <w:rFonts w:ascii="Calibri" w:hAnsi="Calibri" w:cs="Calibri"/>
        </w:rPr>
        <w:t xml:space="preserve">endo </w:t>
      </w:r>
      <w:r w:rsidRPr="00546AF2">
        <w:rPr>
          <w:rFonts w:ascii="Calibri" w:hAnsi="Calibri" w:cs="Calibri"/>
        </w:rPr>
        <w:t>alla crescita</w:t>
      </w:r>
      <w:r>
        <w:rPr>
          <w:rFonts w:ascii="Calibri" w:hAnsi="Calibri" w:cs="Calibri"/>
        </w:rPr>
        <w:t xml:space="preserve"> provinciale</w:t>
      </w:r>
      <w:r w:rsidRPr="00546AF2">
        <w:rPr>
          <w:rFonts w:ascii="Calibri" w:hAnsi="Calibri" w:cs="Calibri"/>
        </w:rPr>
        <w:t xml:space="preserve"> </w:t>
      </w:r>
      <w:r>
        <w:rPr>
          <w:rFonts w:ascii="Calibri" w:hAnsi="Calibri" w:cs="Calibri"/>
        </w:rPr>
        <w:t>per</w:t>
      </w:r>
      <w:r w:rsidRPr="00546AF2">
        <w:rPr>
          <w:rFonts w:ascii="Calibri" w:hAnsi="Calibri" w:cs="Calibri"/>
        </w:rPr>
        <w:t xml:space="preserve"> </w:t>
      </w:r>
      <w:r>
        <w:rPr>
          <w:rFonts w:ascii="Calibri" w:hAnsi="Calibri" w:cs="Calibri"/>
        </w:rPr>
        <w:t>un</w:t>
      </w:r>
      <w:r w:rsidRPr="00546AF2">
        <w:rPr>
          <w:rFonts w:ascii="Calibri" w:hAnsi="Calibri" w:cs="Calibri"/>
        </w:rPr>
        <w:t xml:space="preserve"> punto percentuale. Tra i mercati principali</w:t>
      </w:r>
      <w:r>
        <w:rPr>
          <w:rFonts w:ascii="Calibri" w:hAnsi="Calibri" w:cs="Calibri"/>
        </w:rPr>
        <w:t xml:space="preserve"> di sbocco</w:t>
      </w:r>
      <w:r w:rsidRPr="00546AF2">
        <w:rPr>
          <w:rFonts w:ascii="Calibri" w:hAnsi="Calibri" w:cs="Calibri"/>
        </w:rPr>
        <w:t xml:space="preserve">, la Francia si </w:t>
      </w:r>
      <w:r w:rsidR="000A2A45">
        <w:rPr>
          <w:rFonts w:ascii="Calibri" w:hAnsi="Calibri" w:cs="Calibri"/>
        </w:rPr>
        <w:t xml:space="preserve">è </w:t>
      </w:r>
      <w:r w:rsidRPr="00546AF2">
        <w:rPr>
          <w:rFonts w:ascii="Calibri" w:hAnsi="Calibri" w:cs="Calibri"/>
        </w:rPr>
        <w:t>conferma</w:t>
      </w:r>
      <w:r w:rsidR="000A2A45">
        <w:rPr>
          <w:rFonts w:ascii="Calibri" w:hAnsi="Calibri" w:cs="Calibri"/>
        </w:rPr>
        <w:t>ta</w:t>
      </w:r>
      <w:r w:rsidRPr="00546AF2">
        <w:rPr>
          <w:rFonts w:ascii="Calibri" w:hAnsi="Calibri" w:cs="Calibri"/>
        </w:rPr>
        <w:t xml:space="preserve"> primo partner commerciale con oltre 12,5 milioni di euro di esportazioni, in aumento del 35,9% rispetto al 2024. </w:t>
      </w:r>
      <w:r w:rsidR="000A2A45">
        <w:rPr>
          <w:rFonts w:ascii="Calibri" w:hAnsi="Calibri" w:cs="Calibri"/>
        </w:rPr>
        <w:t>A seguire</w:t>
      </w:r>
      <w:r w:rsidRPr="00546AF2">
        <w:rPr>
          <w:rFonts w:ascii="Calibri" w:hAnsi="Calibri" w:cs="Calibri"/>
        </w:rPr>
        <w:t xml:space="preserve"> gli Stati Uniti</w:t>
      </w:r>
      <w:r w:rsidR="004D045F">
        <w:rPr>
          <w:rFonts w:ascii="Calibri" w:hAnsi="Calibri" w:cs="Calibri"/>
        </w:rPr>
        <w:t>,</w:t>
      </w:r>
      <w:r w:rsidRPr="00546AF2">
        <w:rPr>
          <w:rFonts w:ascii="Calibri" w:hAnsi="Calibri" w:cs="Calibri"/>
        </w:rPr>
        <w:t xml:space="preserve"> che pur registrando una </w:t>
      </w:r>
      <w:r>
        <w:rPr>
          <w:rFonts w:ascii="Calibri" w:hAnsi="Calibri" w:cs="Calibri"/>
        </w:rPr>
        <w:t xml:space="preserve">buona </w:t>
      </w:r>
      <w:r w:rsidRPr="00546AF2">
        <w:rPr>
          <w:rFonts w:ascii="Calibri" w:hAnsi="Calibri" w:cs="Calibri"/>
        </w:rPr>
        <w:t>ripresa (+12,9%</w:t>
      </w:r>
      <w:r>
        <w:rPr>
          <w:rFonts w:ascii="Calibri" w:hAnsi="Calibri" w:cs="Calibri"/>
        </w:rPr>
        <w:t>, 7,9 milioni</w:t>
      </w:r>
      <w:r w:rsidRPr="00546AF2">
        <w:rPr>
          <w:rFonts w:ascii="Calibri" w:hAnsi="Calibri" w:cs="Calibri"/>
        </w:rPr>
        <w:t xml:space="preserve">) </w:t>
      </w:r>
      <w:r w:rsidR="000A2A45">
        <w:rPr>
          <w:rFonts w:ascii="Calibri" w:hAnsi="Calibri" w:cs="Calibri"/>
        </w:rPr>
        <w:t>sono rimasti</w:t>
      </w:r>
      <w:r>
        <w:rPr>
          <w:rFonts w:ascii="Calibri" w:hAnsi="Calibri" w:cs="Calibri"/>
        </w:rPr>
        <w:t xml:space="preserve"> ancora sotto i livelli del 2023</w:t>
      </w:r>
      <w:r w:rsidRPr="00546AF2">
        <w:rPr>
          <w:rFonts w:ascii="Calibri" w:hAnsi="Calibri" w:cs="Calibri"/>
        </w:rPr>
        <w:t>. Ottima performance per Hong Kong (+31,2%)</w:t>
      </w:r>
      <w:r>
        <w:rPr>
          <w:rFonts w:ascii="Calibri" w:hAnsi="Calibri" w:cs="Calibri"/>
        </w:rPr>
        <w:t>, per il Regno Unito (+59%)</w:t>
      </w:r>
      <w:r w:rsidRPr="00546AF2">
        <w:rPr>
          <w:rFonts w:ascii="Calibri" w:hAnsi="Calibri" w:cs="Calibri"/>
        </w:rPr>
        <w:t xml:space="preserve"> e soprattutto per il Giappone, dove l’export </w:t>
      </w:r>
      <w:r>
        <w:rPr>
          <w:rFonts w:ascii="Calibri" w:hAnsi="Calibri" w:cs="Calibri"/>
        </w:rPr>
        <w:t xml:space="preserve">è più che </w:t>
      </w:r>
      <w:r>
        <w:rPr>
          <w:rFonts w:ascii="Calibri" w:hAnsi="Calibri" w:cs="Calibri"/>
        </w:rPr>
        <w:lastRenderedPageBreak/>
        <w:t>quadruplicato</w:t>
      </w:r>
      <w:r w:rsidRPr="00546AF2">
        <w:rPr>
          <w:rFonts w:ascii="Calibri" w:hAnsi="Calibri" w:cs="Calibri"/>
        </w:rPr>
        <w:t xml:space="preserve"> passando da circa 483 mila euro a oltre 2,2 milioni.</w:t>
      </w:r>
      <w:r>
        <w:rPr>
          <w:rFonts w:ascii="Calibri" w:hAnsi="Calibri" w:cs="Calibri"/>
        </w:rPr>
        <w:t xml:space="preserve"> </w:t>
      </w:r>
      <w:r w:rsidRPr="00546AF2">
        <w:rPr>
          <w:rFonts w:ascii="Calibri" w:hAnsi="Calibri" w:cs="Calibri"/>
        </w:rPr>
        <w:t xml:space="preserve">L’Arabia Saudita si </w:t>
      </w:r>
      <w:r w:rsidR="000A2A45">
        <w:rPr>
          <w:rFonts w:ascii="Calibri" w:hAnsi="Calibri" w:cs="Calibri"/>
        </w:rPr>
        <w:t>è distinta</w:t>
      </w:r>
      <w:r w:rsidRPr="00546AF2">
        <w:rPr>
          <w:rFonts w:ascii="Calibri" w:hAnsi="Calibri" w:cs="Calibri"/>
        </w:rPr>
        <w:t xml:space="preserve"> come uno dei mercati emergenti più dinamici, con un balzo da 144 mila euro a oltre 2,</w:t>
      </w:r>
      <w:r w:rsidR="005432D1">
        <w:rPr>
          <w:rFonts w:ascii="Calibri" w:hAnsi="Calibri" w:cs="Calibri"/>
        </w:rPr>
        <w:t>1</w:t>
      </w:r>
      <w:r w:rsidRPr="00546AF2">
        <w:rPr>
          <w:rFonts w:ascii="Calibri" w:hAnsi="Calibri" w:cs="Calibri"/>
        </w:rPr>
        <w:t xml:space="preserve"> milioni. </w:t>
      </w:r>
    </w:p>
    <w:p w14:paraId="461AC290" w14:textId="77777777" w:rsidR="0022419F" w:rsidRDefault="0022419F" w:rsidP="0022419F">
      <w:pPr>
        <w:jc w:val="both"/>
        <w:rPr>
          <w:rFonts w:ascii="Calibri" w:hAnsi="Calibri" w:cs="Calibri"/>
        </w:rPr>
      </w:pPr>
      <w:r w:rsidRPr="00FD2134">
        <w:rPr>
          <w:rFonts w:ascii="Calibri" w:hAnsi="Calibri" w:cs="Calibri"/>
        </w:rPr>
        <w:t xml:space="preserve">Dopo la flessione del 2024, che aveva segnato un rallentamento generalizzato rispetto agli anni di </w:t>
      </w:r>
      <w:r>
        <w:rPr>
          <w:rFonts w:ascii="Calibri" w:hAnsi="Calibri" w:cs="Calibri"/>
        </w:rPr>
        <w:t>forte crescita</w:t>
      </w:r>
      <w:r w:rsidRPr="00FD2134">
        <w:rPr>
          <w:rFonts w:ascii="Calibri" w:hAnsi="Calibri" w:cs="Calibri"/>
        </w:rPr>
        <w:t xml:space="preserve"> </w:t>
      </w:r>
      <w:r>
        <w:rPr>
          <w:rFonts w:ascii="Calibri" w:hAnsi="Calibri" w:cs="Calibri"/>
        </w:rPr>
        <w:t xml:space="preserve">del periodo </w:t>
      </w:r>
      <w:r w:rsidRPr="00FD2134">
        <w:rPr>
          <w:rFonts w:ascii="Calibri" w:hAnsi="Calibri" w:cs="Calibri"/>
        </w:rPr>
        <w:t xml:space="preserve">pandemico, i primi sei mesi del 2025 vedono una netta inversione di tendenza per l’export pisano del comparto </w:t>
      </w:r>
      <w:r w:rsidRPr="00FD2134">
        <w:rPr>
          <w:rFonts w:ascii="Calibri" w:hAnsi="Calibri" w:cs="Calibri"/>
          <w:b/>
          <w:bCs/>
          <w:i/>
          <w:iCs/>
        </w:rPr>
        <w:t>farmaceutico</w:t>
      </w:r>
      <w:r w:rsidRPr="00FD2134">
        <w:rPr>
          <w:rFonts w:ascii="Calibri" w:hAnsi="Calibri" w:cs="Calibri"/>
        </w:rPr>
        <w:t xml:space="preserve">. Le esportazioni </w:t>
      </w:r>
      <w:r>
        <w:rPr>
          <w:rFonts w:ascii="Calibri" w:hAnsi="Calibri" w:cs="Calibri"/>
        </w:rPr>
        <w:t xml:space="preserve">hanno </w:t>
      </w:r>
      <w:r w:rsidRPr="00FD2134">
        <w:rPr>
          <w:rFonts w:ascii="Calibri" w:hAnsi="Calibri" w:cs="Calibri"/>
        </w:rPr>
        <w:t>raggiun</w:t>
      </w:r>
      <w:r>
        <w:rPr>
          <w:rFonts w:ascii="Calibri" w:hAnsi="Calibri" w:cs="Calibri"/>
        </w:rPr>
        <w:t>to</w:t>
      </w:r>
      <w:r w:rsidRPr="00FD2134">
        <w:rPr>
          <w:rFonts w:ascii="Calibri" w:hAnsi="Calibri" w:cs="Calibri"/>
        </w:rPr>
        <w:t xml:space="preserve"> i 134,5 milioni di euro, in aumento di quasi 29,6 milioni rispetto allo stesso periodo del 2024, </w:t>
      </w:r>
      <w:r>
        <w:rPr>
          <w:rFonts w:ascii="Calibri" w:hAnsi="Calibri" w:cs="Calibri"/>
        </w:rPr>
        <w:t xml:space="preserve">per un </w:t>
      </w:r>
      <w:r w:rsidRPr="00FD2134">
        <w:rPr>
          <w:rFonts w:ascii="Calibri" w:hAnsi="Calibri" w:cs="Calibri"/>
        </w:rPr>
        <w:t>incremento del 28,1%.</w:t>
      </w:r>
      <w:r w:rsidR="00A062AE">
        <w:rPr>
          <w:rFonts w:ascii="Calibri" w:hAnsi="Calibri" w:cs="Calibri"/>
        </w:rPr>
        <w:t xml:space="preserve"> </w:t>
      </w:r>
      <w:r w:rsidRPr="00FD2134">
        <w:rPr>
          <w:rFonts w:ascii="Calibri" w:hAnsi="Calibri" w:cs="Calibri"/>
        </w:rPr>
        <w:t xml:space="preserve">L’Austria </w:t>
      </w:r>
      <w:r w:rsidR="000A2A45">
        <w:rPr>
          <w:rFonts w:ascii="Calibri" w:hAnsi="Calibri" w:cs="Calibri"/>
        </w:rPr>
        <w:t xml:space="preserve">ha </w:t>
      </w:r>
      <w:r w:rsidR="00A062AE">
        <w:rPr>
          <w:rFonts w:ascii="Calibri" w:hAnsi="Calibri" w:cs="Calibri"/>
        </w:rPr>
        <w:t>rafforzato</w:t>
      </w:r>
      <w:r w:rsidR="000A2A45">
        <w:rPr>
          <w:rFonts w:ascii="Calibri" w:hAnsi="Calibri" w:cs="Calibri"/>
        </w:rPr>
        <w:t xml:space="preserve"> il primato tra le </w:t>
      </w:r>
      <w:r w:rsidRPr="00FD2134">
        <w:rPr>
          <w:rFonts w:ascii="Calibri" w:hAnsi="Calibri" w:cs="Calibri"/>
        </w:rPr>
        <w:t>destinazion</w:t>
      </w:r>
      <w:r w:rsidR="000A2A45">
        <w:rPr>
          <w:rFonts w:ascii="Calibri" w:hAnsi="Calibri" w:cs="Calibri"/>
        </w:rPr>
        <w:t>i</w:t>
      </w:r>
      <w:r w:rsidRPr="00FD2134">
        <w:rPr>
          <w:rFonts w:ascii="Calibri" w:hAnsi="Calibri" w:cs="Calibri"/>
        </w:rPr>
        <w:t xml:space="preserve"> </w:t>
      </w:r>
      <w:r w:rsidR="00A062AE">
        <w:rPr>
          <w:rFonts w:ascii="Calibri" w:hAnsi="Calibri" w:cs="Calibri"/>
        </w:rPr>
        <w:t>commerciali</w:t>
      </w:r>
      <w:r w:rsidRPr="00FD2134">
        <w:rPr>
          <w:rFonts w:ascii="Calibri" w:hAnsi="Calibri" w:cs="Calibri"/>
        </w:rPr>
        <w:t>, con un balzo del 50,3% e un controvalore di oltre 109 milioni di euro, recuperando ampiamente il calo registrato nell’anno precedente e contribuendo per più di un terzo alla crescita complessiva del comparto.</w:t>
      </w:r>
      <w:r>
        <w:rPr>
          <w:rFonts w:ascii="Calibri" w:hAnsi="Calibri" w:cs="Calibri"/>
        </w:rPr>
        <w:t xml:space="preserve"> L</w:t>
      </w:r>
      <w:r w:rsidRPr="00FD2134">
        <w:rPr>
          <w:rFonts w:ascii="Calibri" w:hAnsi="Calibri" w:cs="Calibri"/>
        </w:rPr>
        <w:t xml:space="preserve">a Spagna, seconda destinazione in valore, </w:t>
      </w:r>
      <w:r>
        <w:rPr>
          <w:rFonts w:ascii="Calibri" w:hAnsi="Calibri" w:cs="Calibri"/>
        </w:rPr>
        <w:t xml:space="preserve">ha </w:t>
      </w:r>
      <w:r w:rsidRPr="00FD2134">
        <w:rPr>
          <w:rFonts w:ascii="Calibri" w:hAnsi="Calibri" w:cs="Calibri"/>
        </w:rPr>
        <w:t>segna</w:t>
      </w:r>
      <w:r>
        <w:rPr>
          <w:rFonts w:ascii="Calibri" w:hAnsi="Calibri" w:cs="Calibri"/>
        </w:rPr>
        <w:t>to invece</w:t>
      </w:r>
      <w:r w:rsidRPr="00FD2134">
        <w:rPr>
          <w:rFonts w:ascii="Calibri" w:hAnsi="Calibri" w:cs="Calibri"/>
        </w:rPr>
        <w:t xml:space="preserve"> un brusco rallentamento (-36,9%) scendendo a </w:t>
      </w:r>
      <w:r>
        <w:rPr>
          <w:rFonts w:ascii="Calibri" w:hAnsi="Calibri" w:cs="Calibri"/>
        </w:rPr>
        <w:t>quasi</w:t>
      </w:r>
      <w:r w:rsidRPr="00FD2134">
        <w:rPr>
          <w:rFonts w:ascii="Calibri" w:hAnsi="Calibri" w:cs="Calibri"/>
        </w:rPr>
        <w:t xml:space="preserve"> 12 milioni di euro. </w:t>
      </w:r>
    </w:p>
    <w:p w14:paraId="0BA6F09F" w14:textId="77777777" w:rsidR="0038325F" w:rsidRDefault="0022419F" w:rsidP="0038325F">
      <w:pPr>
        <w:jc w:val="both"/>
        <w:rPr>
          <w:rFonts w:ascii="Calibri" w:hAnsi="Calibri" w:cs="Calibri"/>
        </w:rPr>
      </w:pPr>
      <w:r w:rsidRPr="000C0AE2">
        <w:rPr>
          <w:rFonts w:ascii="Calibri" w:hAnsi="Calibri" w:cs="Calibri"/>
        </w:rPr>
        <w:t xml:space="preserve">Pesante battuta d’arresto per il comparto dei prodotti </w:t>
      </w:r>
      <w:r w:rsidRPr="000C0AE2">
        <w:rPr>
          <w:rFonts w:ascii="Calibri" w:hAnsi="Calibri" w:cs="Calibri"/>
          <w:b/>
          <w:bCs/>
          <w:i/>
          <w:iCs/>
        </w:rPr>
        <w:t>chimici e fertilizzanti</w:t>
      </w:r>
      <w:r w:rsidR="005432D1" w:rsidRPr="005432D1">
        <w:rPr>
          <w:rFonts w:ascii="Calibri" w:hAnsi="Calibri" w:cs="Calibri"/>
          <w:i/>
          <w:iCs/>
        </w:rPr>
        <w:t>,</w:t>
      </w:r>
      <w:r w:rsidRPr="000C0AE2">
        <w:rPr>
          <w:rFonts w:ascii="Calibri" w:hAnsi="Calibri" w:cs="Calibri"/>
        </w:rPr>
        <w:t xml:space="preserve"> che nei primi sei mesi del 2025 </w:t>
      </w:r>
      <w:r>
        <w:rPr>
          <w:rFonts w:ascii="Calibri" w:hAnsi="Calibri" w:cs="Calibri"/>
        </w:rPr>
        <w:t>ha r</w:t>
      </w:r>
      <w:r w:rsidRPr="000C0AE2">
        <w:rPr>
          <w:rFonts w:ascii="Calibri" w:hAnsi="Calibri" w:cs="Calibri"/>
        </w:rPr>
        <w:t>egistra</w:t>
      </w:r>
      <w:r>
        <w:rPr>
          <w:rFonts w:ascii="Calibri" w:hAnsi="Calibri" w:cs="Calibri"/>
        </w:rPr>
        <w:t>to</w:t>
      </w:r>
      <w:r w:rsidRPr="000C0AE2">
        <w:rPr>
          <w:rFonts w:ascii="Calibri" w:hAnsi="Calibri" w:cs="Calibri"/>
        </w:rPr>
        <w:t xml:space="preserve"> un calo dell’export del 28,8% su base annua</w:t>
      </w:r>
      <w:r w:rsidR="005432D1">
        <w:rPr>
          <w:rFonts w:ascii="Calibri" w:hAnsi="Calibri" w:cs="Calibri"/>
        </w:rPr>
        <w:t>,</w:t>
      </w:r>
      <w:r w:rsidRPr="000C0AE2">
        <w:rPr>
          <w:rFonts w:ascii="Calibri" w:hAnsi="Calibri" w:cs="Calibri"/>
        </w:rPr>
        <w:t xml:space="preserve"> per un controvalore complessivo sceso a 57,8 milioni di euro. Il settore </w:t>
      </w:r>
      <w:r>
        <w:rPr>
          <w:rFonts w:ascii="Calibri" w:hAnsi="Calibri" w:cs="Calibri"/>
        </w:rPr>
        <w:t xml:space="preserve">ha </w:t>
      </w:r>
      <w:r w:rsidRPr="000C0AE2">
        <w:rPr>
          <w:rFonts w:ascii="Calibri" w:hAnsi="Calibri" w:cs="Calibri"/>
        </w:rPr>
        <w:t>per</w:t>
      </w:r>
      <w:r>
        <w:rPr>
          <w:rFonts w:ascii="Calibri" w:hAnsi="Calibri" w:cs="Calibri"/>
        </w:rPr>
        <w:t>so</w:t>
      </w:r>
      <w:r w:rsidRPr="000C0AE2">
        <w:rPr>
          <w:rFonts w:ascii="Calibri" w:hAnsi="Calibri" w:cs="Calibri"/>
        </w:rPr>
        <w:t xml:space="preserve"> oltre 23 milioni di euro di esportazioni, con una dinamica negativa che </w:t>
      </w:r>
      <w:r>
        <w:rPr>
          <w:rFonts w:ascii="Calibri" w:hAnsi="Calibri" w:cs="Calibri"/>
        </w:rPr>
        <w:t>ha interessato</w:t>
      </w:r>
      <w:r w:rsidRPr="000C0AE2">
        <w:rPr>
          <w:rFonts w:ascii="Calibri" w:hAnsi="Calibri" w:cs="Calibri"/>
        </w:rPr>
        <w:t xml:space="preserve"> la quasi totalità dei principali mercati.</w:t>
      </w:r>
      <w:r>
        <w:rPr>
          <w:rFonts w:ascii="Calibri" w:hAnsi="Calibri" w:cs="Calibri"/>
        </w:rPr>
        <w:t xml:space="preserve"> </w:t>
      </w:r>
      <w:r w:rsidRPr="000C0AE2">
        <w:rPr>
          <w:rFonts w:ascii="Calibri" w:hAnsi="Calibri" w:cs="Calibri"/>
        </w:rPr>
        <w:t>A</w:t>
      </w:r>
      <w:r w:rsidR="000A2A45">
        <w:rPr>
          <w:rFonts w:ascii="Calibri" w:hAnsi="Calibri" w:cs="Calibri"/>
        </w:rPr>
        <w:t xml:space="preserve"> incidere in negativo</w:t>
      </w:r>
      <w:r w:rsidRPr="000C0AE2">
        <w:rPr>
          <w:rFonts w:ascii="Calibri" w:hAnsi="Calibri" w:cs="Calibri"/>
        </w:rPr>
        <w:t xml:space="preserve"> sono</w:t>
      </w:r>
      <w:r>
        <w:rPr>
          <w:rFonts w:ascii="Calibri" w:hAnsi="Calibri" w:cs="Calibri"/>
        </w:rPr>
        <w:t xml:space="preserve"> state</w:t>
      </w:r>
      <w:r w:rsidRPr="000C0AE2">
        <w:rPr>
          <w:rFonts w:ascii="Calibri" w:hAnsi="Calibri" w:cs="Calibri"/>
        </w:rPr>
        <w:t xml:space="preserve"> in particolare le flessioni delle vendite verso i tre maggiori partner europei</w:t>
      </w:r>
      <w:r>
        <w:rPr>
          <w:rFonts w:ascii="Calibri" w:hAnsi="Calibri" w:cs="Calibri"/>
        </w:rPr>
        <w:t>:</w:t>
      </w:r>
      <w:r w:rsidRPr="000C0AE2">
        <w:rPr>
          <w:rFonts w:ascii="Calibri" w:hAnsi="Calibri" w:cs="Calibri"/>
        </w:rPr>
        <w:t xml:space="preserve"> </w:t>
      </w:r>
      <w:r>
        <w:rPr>
          <w:rFonts w:ascii="Calibri" w:hAnsi="Calibri" w:cs="Calibri"/>
        </w:rPr>
        <w:t>i</w:t>
      </w:r>
      <w:r w:rsidRPr="000C0AE2">
        <w:rPr>
          <w:rFonts w:ascii="Calibri" w:hAnsi="Calibri" w:cs="Calibri"/>
        </w:rPr>
        <w:t xml:space="preserve">n primis </w:t>
      </w:r>
      <w:r>
        <w:rPr>
          <w:rFonts w:ascii="Calibri" w:hAnsi="Calibri" w:cs="Calibri"/>
        </w:rPr>
        <w:t>l</w:t>
      </w:r>
      <w:r w:rsidRPr="000C0AE2">
        <w:rPr>
          <w:rFonts w:ascii="Calibri" w:hAnsi="Calibri" w:cs="Calibri"/>
        </w:rPr>
        <w:t>a Spagna</w:t>
      </w:r>
      <w:r>
        <w:rPr>
          <w:rFonts w:ascii="Calibri" w:hAnsi="Calibri" w:cs="Calibri"/>
        </w:rPr>
        <w:t xml:space="preserve">, primo mercato di sbocco, </w:t>
      </w:r>
      <w:r w:rsidRPr="000C0AE2">
        <w:rPr>
          <w:rFonts w:ascii="Calibri" w:hAnsi="Calibri" w:cs="Calibri"/>
        </w:rPr>
        <w:t xml:space="preserve">che </w:t>
      </w:r>
      <w:r>
        <w:rPr>
          <w:rFonts w:ascii="Calibri" w:hAnsi="Calibri" w:cs="Calibri"/>
        </w:rPr>
        <w:t xml:space="preserve">ha </w:t>
      </w:r>
      <w:r w:rsidRPr="000C0AE2">
        <w:rPr>
          <w:rFonts w:ascii="Calibri" w:hAnsi="Calibri" w:cs="Calibri"/>
        </w:rPr>
        <w:t>registra</w:t>
      </w:r>
      <w:r>
        <w:rPr>
          <w:rFonts w:ascii="Calibri" w:hAnsi="Calibri" w:cs="Calibri"/>
        </w:rPr>
        <w:t>to</w:t>
      </w:r>
      <w:r w:rsidRPr="000C0AE2">
        <w:rPr>
          <w:rFonts w:ascii="Calibri" w:hAnsi="Calibri" w:cs="Calibri"/>
        </w:rPr>
        <w:t xml:space="preserve"> un</w:t>
      </w:r>
      <w:r w:rsidR="005432D1">
        <w:rPr>
          <w:rFonts w:ascii="Calibri" w:hAnsi="Calibri" w:cs="Calibri"/>
        </w:rPr>
        <w:t>a flessione</w:t>
      </w:r>
      <w:r w:rsidRPr="000C0AE2">
        <w:rPr>
          <w:rFonts w:ascii="Calibri" w:hAnsi="Calibri" w:cs="Calibri"/>
        </w:rPr>
        <w:t xml:space="preserve"> del 35,8% (-</w:t>
      </w:r>
      <w:r>
        <w:rPr>
          <w:rFonts w:ascii="Calibri" w:hAnsi="Calibri" w:cs="Calibri"/>
        </w:rPr>
        <w:t>7</w:t>
      </w:r>
      <w:r w:rsidRPr="000C0AE2">
        <w:rPr>
          <w:rFonts w:ascii="Calibri" w:hAnsi="Calibri" w:cs="Calibri"/>
        </w:rPr>
        <w:t>,</w:t>
      </w:r>
      <w:r>
        <w:rPr>
          <w:rFonts w:ascii="Calibri" w:hAnsi="Calibri" w:cs="Calibri"/>
        </w:rPr>
        <w:t>1</w:t>
      </w:r>
      <w:r w:rsidRPr="000C0AE2">
        <w:rPr>
          <w:rFonts w:ascii="Calibri" w:hAnsi="Calibri" w:cs="Calibri"/>
        </w:rPr>
        <w:t xml:space="preserve"> milioni), seguita dalla Francia (-18,8%)</w:t>
      </w:r>
      <w:r>
        <w:rPr>
          <w:rFonts w:ascii="Calibri" w:hAnsi="Calibri" w:cs="Calibri"/>
        </w:rPr>
        <w:t xml:space="preserve"> e dalla Germania (</w:t>
      </w:r>
      <w:r w:rsidRPr="000C0AE2">
        <w:rPr>
          <w:rFonts w:ascii="Calibri" w:hAnsi="Calibri" w:cs="Calibri"/>
        </w:rPr>
        <w:t>-3</w:t>
      </w:r>
      <w:r>
        <w:rPr>
          <w:rFonts w:ascii="Calibri" w:hAnsi="Calibri" w:cs="Calibri"/>
        </w:rPr>
        <w:t>8</w:t>
      </w:r>
      <w:r w:rsidRPr="000C0AE2">
        <w:rPr>
          <w:rFonts w:ascii="Calibri" w:hAnsi="Calibri" w:cs="Calibri"/>
        </w:rPr>
        <w:t>,</w:t>
      </w:r>
      <w:r>
        <w:rPr>
          <w:rFonts w:ascii="Calibri" w:hAnsi="Calibri" w:cs="Calibri"/>
        </w:rPr>
        <w:t>4</w:t>
      </w:r>
      <w:r w:rsidRPr="000C0AE2">
        <w:rPr>
          <w:rFonts w:ascii="Calibri" w:hAnsi="Calibri" w:cs="Calibri"/>
        </w:rPr>
        <w:t xml:space="preserve">%). In </w:t>
      </w:r>
      <w:r>
        <w:rPr>
          <w:rFonts w:ascii="Calibri" w:hAnsi="Calibri" w:cs="Calibri"/>
        </w:rPr>
        <w:t xml:space="preserve">significativo </w:t>
      </w:r>
      <w:r w:rsidRPr="000C0AE2">
        <w:rPr>
          <w:rFonts w:ascii="Calibri" w:hAnsi="Calibri" w:cs="Calibri"/>
        </w:rPr>
        <w:t xml:space="preserve">calo anche le esportazioni verso Polonia (-29,8%) e Cina (-34,8%), che negli ultimi anni avevano </w:t>
      </w:r>
      <w:r>
        <w:rPr>
          <w:rFonts w:ascii="Calibri" w:hAnsi="Calibri" w:cs="Calibri"/>
        </w:rPr>
        <w:t xml:space="preserve">invece </w:t>
      </w:r>
      <w:r w:rsidRPr="000C0AE2">
        <w:rPr>
          <w:rFonts w:ascii="Calibri" w:hAnsi="Calibri" w:cs="Calibri"/>
        </w:rPr>
        <w:t>mostrato una certa dinamicità.</w:t>
      </w:r>
    </w:p>
    <w:p w14:paraId="1E69C33A" w14:textId="77777777" w:rsidR="0022419F" w:rsidRDefault="0022419F" w:rsidP="0038325F">
      <w:pPr>
        <w:jc w:val="both"/>
        <w:rPr>
          <w:rFonts w:ascii="Calibri" w:hAnsi="Calibri" w:cs="Calibri"/>
        </w:rPr>
      </w:pPr>
      <w:r w:rsidRPr="00975CFB">
        <w:rPr>
          <w:rFonts w:ascii="Calibri" w:hAnsi="Calibri" w:cs="Calibri"/>
        </w:rPr>
        <w:t>Nel</w:t>
      </w:r>
      <w:r w:rsidR="000A2A45">
        <w:rPr>
          <w:rFonts w:ascii="Calibri" w:hAnsi="Calibri" w:cs="Calibri"/>
        </w:rPr>
        <w:t>la</w:t>
      </w:r>
      <w:r w:rsidRPr="00975CFB">
        <w:rPr>
          <w:rFonts w:ascii="Calibri" w:hAnsi="Calibri" w:cs="Calibri"/>
        </w:rPr>
        <w:t xml:space="preserve"> meccanica </w:t>
      </w:r>
      <w:r w:rsidR="003E08A9">
        <w:rPr>
          <w:rFonts w:ascii="Calibri" w:hAnsi="Calibri" w:cs="Calibri"/>
        </w:rPr>
        <w:t>ha trovato</w:t>
      </w:r>
      <w:r>
        <w:rPr>
          <w:rFonts w:ascii="Calibri" w:hAnsi="Calibri" w:cs="Calibri"/>
        </w:rPr>
        <w:t xml:space="preserve"> </w:t>
      </w:r>
      <w:r w:rsidRPr="00975CFB">
        <w:rPr>
          <w:rFonts w:ascii="Calibri" w:hAnsi="Calibri" w:cs="Calibri"/>
        </w:rPr>
        <w:t xml:space="preserve">conferma la fase di </w:t>
      </w:r>
      <w:r w:rsidR="000A2A45">
        <w:rPr>
          <w:rFonts w:ascii="Calibri" w:hAnsi="Calibri" w:cs="Calibri"/>
        </w:rPr>
        <w:t>rallentamento</w:t>
      </w:r>
      <w:r w:rsidRPr="00975CFB">
        <w:rPr>
          <w:rFonts w:ascii="Calibri" w:hAnsi="Calibri" w:cs="Calibri"/>
        </w:rPr>
        <w:t xml:space="preserve"> delle </w:t>
      </w:r>
      <w:r w:rsidRPr="00975CFB">
        <w:rPr>
          <w:rFonts w:ascii="Calibri" w:hAnsi="Calibri" w:cs="Calibri"/>
          <w:b/>
          <w:bCs/>
          <w:i/>
          <w:iCs/>
        </w:rPr>
        <w:t>macchine di impiego generale</w:t>
      </w:r>
      <w:r w:rsidRPr="007B6DBA">
        <w:rPr>
          <w:rFonts w:ascii="Calibri" w:hAnsi="Calibri" w:cs="Calibri"/>
          <w:i/>
          <w:iCs/>
        </w:rPr>
        <w:t>,</w:t>
      </w:r>
      <w:r w:rsidRPr="00975CFB">
        <w:rPr>
          <w:rFonts w:ascii="Calibri" w:hAnsi="Calibri" w:cs="Calibri"/>
        </w:rPr>
        <w:t xml:space="preserve"> terzo comparto pisano per </w:t>
      </w:r>
      <w:r>
        <w:rPr>
          <w:rFonts w:ascii="Calibri" w:hAnsi="Calibri" w:cs="Calibri"/>
        </w:rPr>
        <w:t>vendite estere</w:t>
      </w:r>
      <w:r w:rsidRPr="00975CFB">
        <w:rPr>
          <w:rFonts w:ascii="Calibri" w:hAnsi="Calibri" w:cs="Calibri"/>
        </w:rPr>
        <w:t xml:space="preserve">. Nei </w:t>
      </w:r>
      <w:r>
        <w:rPr>
          <w:rFonts w:ascii="Calibri" w:hAnsi="Calibri" w:cs="Calibri"/>
        </w:rPr>
        <w:t>primi sei mesi del 2025</w:t>
      </w:r>
      <w:r w:rsidRPr="00975CFB">
        <w:rPr>
          <w:rFonts w:ascii="Calibri" w:hAnsi="Calibri" w:cs="Calibri"/>
        </w:rPr>
        <w:t xml:space="preserve"> le esportazioni complessive sono scese a </w:t>
      </w:r>
      <w:r>
        <w:rPr>
          <w:rFonts w:ascii="Calibri" w:hAnsi="Calibri" w:cs="Calibri"/>
        </w:rPr>
        <w:t>poco più di</w:t>
      </w:r>
      <w:r w:rsidRPr="00975CFB">
        <w:rPr>
          <w:rFonts w:ascii="Calibri" w:hAnsi="Calibri" w:cs="Calibri"/>
        </w:rPr>
        <w:t xml:space="preserve"> 165 milioni di euro, in calo del 9,4% rispetto al</w:t>
      </w:r>
      <w:r>
        <w:rPr>
          <w:rFonts w:ascii="Calibri" w:hAnsi="Calibri" w:cs="Calibri"/>
        </w:rPr>
        <w:t xml:space="preserve"> pari periodo del</w:t>
      </w:r>
      <w:r w:rsidRPr="00975CFB">
        <w:rPr>
          <w:rFonts w:ascii="Calibri" w:hAnsi="Calibri" w:cs="Calibri"/>
        </w:rPr>
        <w:t xml:space="preserve">l’anno precedente, con una </w:t>
      </w:r>
      <w:r w:rsidR="00BE593E">
        <w:rPr>
          <w:rFonts w:ascii="Calibri" w:hAnsi="Calibri" w:cs="Calibri"/>
        </w:rPr>
        <w:t>diminuzione</w:t>
      </w:r>
      <w:r w:rsidRPr="00975CFB">
        <w:rPr>
          <w:rFonts w:ascii="Calibri" w:hAnsi="Calibri" w:cs="Calibri"/>
        </w:rPr>
        <w:t xml:space="preserve"> di oltre 17 milioni di euro.</w:t>
      </w:r>
      <w:r>
        <w:rPr>
          <w:rFonts w:ascii="Calibri" w:hAnsi="Calibri" w:cs="Calibri"/>
        </w:rPr>
        <w:t xml:space="preserve"> </w:t>
      </w:r>
      <w:r w:rsidRPr="00975CFB">
        <w:rPr>
          <w:rFonts w:ascii="Calibri" w:hAnsi="Calibri" w:cs="Calibri"/>
        </w:rPr>
        <w:t xml:space="preserve">Il rallentamento è attribuibile in larga parte alla debolezza della domanda nei mercati europei tradizionali, a partire dalla Germania, prima destinazione del comparto, che </w:t>
      </w:r>
      <w:r>
        <w:rPr>
          <w:rFonts w:ascii="Calibri" w:hAnsi="Calibri" w:cs="Calibri"/>
        </w:rPr>
        <w:t xml:space="preserve">è </w:t>
      </w:r>
      <w:r w:rsidRPr="00975CFB">
        <w:rPr>
          <w:rFonts w:ascii="Calibri" w:hAnsi="Calibri" w:cs="Calibri"/>
        </w:rPr>
        <w:t>sce</w:t>
      </w:r>
      <w:r>
        <w:rPr>
          <w:rFonts w:ascii="Calibri" w:hAnsi="Calibri" w:cs="Calibri"/>
        </w:rPr>
        <w:t xml:space="preserve">sa </w:t>
      </w:r>
      <w:r w:rsidRPr="00975CFB">
        <w:rPr>
          <w:rFonts w:ascii="Calibri" w:hAnsi="Calibri" w:cs="Calibri"/>
        </w:rPr>
        <w:t>a 35,6 milioni di euro</w:t>
      </w:r>
      <w:r>
        <w:rPr>
          <w:rFonts w:ascii="Calibri" w:hAnsi="Calibri" w:cs="Calibri"/>
        </w:rPr>
        <w:t xml:space="preserve"> dai </w:t>
      </w:r>
      <w:r w:rsidRPr="00975CFB">
        <w:rPr>
          <w:rFonts w:ascii="Calibri" w:hAnsi="Calibri" w:cs="Calibri"/>
        </w:rPr>
        <w:t>48,7</w:t>
      </w:r>
      <w:r>
        <w:rPr>
          <w:rFonts w:ascii="Calibri" w:hAnsi="Calibri" w:cs="Calibri"/>
        </w:rPr>
        <w:t xml:space="preserve"> dell’anno precedente</w:t>
      </w:r>
      <w:r w:rsidRPr="00975CFB">
        <w:rPr>
          <w:rFonts w:ascii="Calibri" w:hAnsi="Calibri" w:cs="Calibri"/>
        </w:rPr>
        <w:t>, registrando una flessione del 26,7%. In calo anche la Francia (-15,5%)</w:t>
      </w:r>
      <w:r>
        <w:rPr>
          <w:rFonts w:ascii="Calibri" w:hAnsi="Calibri" w:cs="Calibri"/>
        </w:rPr>
        <w:t>,</w:t>
      </w:r>
      <w:r w:rsidRPr="00975CFB">
        <w:rPr>
          <w:rFonts w:ascii="Calibri" w:hAnsi="Calibri" w:cs="Calibri"/>
        </w:rPr>
        <w:t xml:space="preserve"> secondo mercato di riferimento</w:t>
      </w:r>
      <w:r>
        <w:rPr>
          <w:rFonts w:ascii="Calibri" w:hAnsi="Calibri" w:cs="Calibri"/>
        </w:rPr>
        <w:t xml:space="preserve"> con quasi 25 milioni</w:t>
      </w:r>
      <w:r w:rsidRPr="00975CFB">
        <w:rPr>
          <w:rFonts w:ascii="Calibri" w:hAnsi="Calibri" w:cs="Calibri"/>
        </w:rPr>
        <w:t xml:space="preserve">, la </w:t>
      </w:r>
      <w:r>
        <w:rPr>
          <w:rFonts w:ascii="Calibri" w:hAnsi="Calibri" w:cs="Calibri"/>
        </w:rPr>
        <w:t xml:space="preserve">Corea del Sud (-38,6%), la </w:t>
      </w:r>
      <w:r w:rsidRPr="00975CFB">
        <w:rPr>
          <w:rFonts w:ascii="Calibri" w:hAnsi="Calibri" w:cs="Calibri"/>
        </w:rPr>
        <w:t>Romania (-34,5</w:t>
      </w:r>
      <w:r w:rsidR="00A31BE8">
        <w:rPr>
          <w:rFonts w:ascii="Calibri" w:hAnsi="Calibri" w:cs="Calibri"/>
        </w:rPr>
        <w:t>%</w:t>
      </w:r>
      <w:r w:rsidRPr="00975CFB">
        <w:rPr>
          <w:rFonts w:ascii="Calibri" w:hAnsi="Calibri" w:cs="Calibri"/>
        </w:rPr>
        <w:t>),</w:t>
      </w:r>
      <w:r>
        <w:rPr>
          <w:rFonts w:ascii="Calibri" w:hAnsi="Calibri" w:cs="Calibri"/>
        </w:rPr>
        <w:t xml:space="preserve"> e il Messico (-6,3 milioni) </w:t>
      </w:r>
      <w:r w:rsidRPr="00975CFB">
        <w:rPr>
          <w:rFonts w:ascii="Calibri" w:hAnsi="Calibri" w:cs="Calibri"/>
        </w:rPr>
        <w:t>che negli ultimi anni aveva rappresentato un’importante destinazione per la meccanica pisana.</w:t>
      </w:r>
      <w:r>
        <w:rPr>
          <w:rFonts w:ascii="Calibri" w:hAnsi="Calibri" w:cs="Calibri"/>
        </w:rPr>
        <w:t xml:space="preserve"> </w:t>
      </w:r>
      <w:r w:rsidRPr="00975CFB">
        <w:rPr>
          <w:rFonts w:ascii="Calibri" w:hAnsi="Calibri" w:cs="Calibri"/>
        </w:rPr>
        <w:t>In controtendenza si segnala</w:t>
      </w:r>
      <w:r>
        <w:rPr>
          <w:rFonts w:ascii="Calibri" w:hAnsi="Calibri" w:cs="Calibri"/>
        </w:rPr>
        <w:t xml:space="preserve"> la </w:t>
      </w:r>
      <w:r w:rsidRPr="00975CFB">
        <w:rPr>
          <w:rFonts w:ascii="Calibri" w:hAnsi="Calibri" w:cs="Calibri"/>
        </w:rPr>
        <w:t>performance positiv</w:t>
      </w:r>
      <w:r>
        <w:rPr>
          <w:rFonts w:ascii="Calibri" w:hAnsi="Calibri" w:cs="Calibri"/>
        </w:rPr>
        <w:t>a</w:t>
      </w:r>
      <w:r w:rsidRPr="00975CFB">
        <w:rPr>
          <w:rFonts w:ascii="Calibri" w:hAnsi="Calibri" w:cs="Calibri"/>
        </w:rPr>
        <w:t xml:space="preserve"> </w:t>
      </w:r>
      <w:r>
        <w:rPr>
          <w:rFonts w:ascii="Calibri" w:hAnsi="Calibri" w:cs="Calibri"/>
        </w:rPr>
        <w:t xml:space="preserve">dell’export </w:t>
      </w:r>
      <w:r w:rsidRPr="00975CFB">
        <w:rPr>
          <w:rFonts w:ascii="Calibri" w:hAnsi="Calibri" w:cs="Calibri"/>
        </w:rPr>
        <w:t>verso la Cin</w:t>
      </w:r>
      <w:r>
        <w:rPr>
          <w:rFonts w:ascii="Calibri" w:hAnsi="Calibri" w:cs="Calibri"/>
        </w:rPr>
        <w:t>a,</w:t>
      </w:r>
      <w:r w:rsidRPr="00975CFB">
        <w:rPr>
          <w:rFonts w:ascii="Calibri" w:hAnsi="Calibri" w:cs="Calibri"/>
        </w:rPr>
        <w:t xml:space="preserve"> cresciuto </w:t>
      </w:r>
      <w:r>
        <w:rPr>
          <w:rFonts w:ascii="Calibri" w:hAnsi="Calibri" w:cs="Calibri"/>
        </w:rPr>
        <w:t>a quota 15 milioni (+9 milioni), e dell’Ungheria (11,4 milioni) che ha quasi raddoppiato gli acquisti pisani nel periodo. A</w:t>
      </w:r>
      <w:r w:rsidRPr="00975CFB">
        <w:rPr>
          <w:rFonts w:ascii="Calibri" w:hAnsi="Calibri" w:cs="Calibri"/>
        </w:rPr>
        <w:t>nche</w:t>
      </w:r>
      <w:r>
        <w:rPr>
          <w:rFonts w:ascii="Calibri" w:hAnsi="Calibri" w:cs="Calibri"/>
        </w:rPr>
        <w:t xml:space="preserve"> </w:t>
      </w:r>
      <w:r w:rsidRPr="00975CFB">
        <w:rPr>
          <w:rFonts w:ascii="Calibri" w:hAnsi="Calibri" w:cs="Calibri"/>
        </w:rPr>
        <w:t xml:space="preserve">dagli Stati Uniti </w:t>
      </w:r>
      <w:r w:rsidR="000A2A45">
        <w:rPr>
          <w:rFonts w:ascii="Calibri" w:hAnsi="Calibri" w:cs="Calibri"/>
        </w:rPr>
        <w:t xml:space="preserve">è </w:t>
      </w:r>
      <w:r w:rsidRPr="00975CFB">
        <w:rPr>
          <w:rFonts w:ascii="Calibri" w:hAnsi="Calibri" w:cs="Calibri"/>
        </w:rPr>
        <w:t>arriva</w:t>
      </w:r>
      <w:r w:rsidR="000A2A45">
        <w:rPr>
          <w:rFonts w:ascii="Calibri" w:hAnsi="Calibri" w:cs="Calibri"/>
        </w:rPr>
        <w:t xml:space="preserve">to </w:t>
      </w:r>
      <w:r w:rsidRPr="00975CFB">
        <w:rPr>
          <w:rFonts w:ascii="Calibri" w:hAnsi="Calibri" w:cs="Calibri"/>
        </w:rPr>
        <w:t>un segnale</w:t>
      </w:r>
      <w:r>
        <w:rPr>
          <w:rFonts w:ascii="Calibri" w:hAnsi="Calibri" w:cs="Calibri"/>
        </w:rPr>
        <w:t xml:space="preserve"> positiv</w:t>
      </w:r>
      <w:r w:rsidR="000A2A45">
        <w:rPr>
          <w:rFonts w:ascii="Calibri" w:hAnsi="Calibri" w:cs="Calibri"/>
        </w:rPr>
        <w:t>o</w:t>
      </w:r>
      <w:r w:rsidR="00A31BE8">
        <w:rPr>
          <w:rFonts w:ascii="Calibri" w:hAnsi="Calibri" w:cs="Calibri"/>
        </w:rPr>
        <w:t>,</w:t>
      </w:r>
      <w:r>
        <w:rPr>
          <w:rFonts w:ascii="Calibri" w:hAnsi="Calibri" w:cs="Calibri"/>
        </w:rPr>
        <w:t xml:space="preserve"> con </w:t>
      </w:r>
      <w:r w:rsidRPr="00975CFB">
        <w:rPr>
          <w:rFonts w:ascii="Calibri" w:hAnsi="Calibri" w:cs="Calibri"/>
        </w:rPr>
        <w:t>le esportazioni torna</w:t>
      </w:r>
      <w:r>
        <w:rPr>
          <w:rFonts w:ascii="Calibri" w:hAnsi="Calibri" w:cs="Calibri"/>
        </w:rPr>
        <w:t xml:space="preserve">te </w:t>
      </w:r>
      <w:r w:rsidRPr="00975CFB">
        <w:rPr>
          <w:rFonts w:ascii="Calibri" w:hAnsi="Calibri" w:cs="Calibri"/>
        </w:rPr>
        <w:t>a crescere (+5,3%)</w:t>
      </w:r>
      <w:r w:rsidR="00A31BE8">
        <w:rPr>
          <w:rFonts w:ascii="Calibri" w:hAnsi="Calibri" w:cs="Calibri"/>
        </w:rPr>
        <w:t xml:space="preserve"> </w:t>
      </w:r>
      <w:r w:rsidR="00A31BE8" w:rsidRPr="00975CFB">
        <w:rPr>
          <w:rFonts w:ascii="Calibri" w:hAnsi="Calibri" w:cs="Calibri"/>
        </w:rPr>
        <w:t xml:space="preserve">dopo il forte calo registrato </w:t>
      </w:r>
      <w:r w:rsidR="00A31BE8">
        <w:rPr>
          <w:rFonts w:ascii="Calibri" w:hAnsi="Calibri" w:cs="Calibri"/>
        </w:rPr>
        <w:t>lo scorso anno.</w:t>
      </w:r>
    </w:p>
    <w:p w14:paraId="5A735C23" w14:textId="77777777" w:rsidR="0022419F" w:rsidRPr="00975CFB" w:rsidRDefault="0022419F" w:rsidP="0022419F">
      <w:pPr>
        <w:jc w:val="both"/>
        <w:rPr>
          <w:rFonts w:ascii="Calibri" w:hAnsi="Calibri" w:cs="Calibri"/>
        </w:rPr>
      </w:pPr>
      <w:r w:rsidRPr="00975CFB">
        <w:rPr>
          <w:rFonts w:ascii="Calibri" w:hAnsi="Calibri" w:cs="Calibri"/>
        </w:rPr>
        <w:t xml:space="preserve">Sono andate decisamente </w:t>
      </w:r>
      <w:r>
        <w:rPr>
          <w:rFonts w:ascii="Calibri" w:hAnsi="Calibri" w:cs="Calibri"/>
        </w:rPr>
        <w:t>male</w:t>
      </w:r>
      <w:r w:rsidRPr="00975CFB">
        <w:rPr>
          <w:rFonts w:ascii="Calibri" w:hAnsi="Calibri" w:cs="Calibri"/>
        </w:rPr>
        <w:t>, ne</w:t>
      </w:r>
      <w:r>
        <w:rPr>
          <w:rFonts w:ascii="Calibri" w:hAnsi="Calibri" w:cs="Calibri"/>
        </w:rPr>
        <w:t xml:space="preserve">lla prima metà del </w:t>
      </w:r>
      <w:r w:rsidRPr="00975CFB">
        <w:rPr>
          <w:rFonts w:ascii="Calibri" w:hAnsi="Calibri" w:cs="Calibri"/>
        </w:rPr>
        <w:t>2025, le vendite</w:t>
      </w:r>
      <w:r>
        <w:rPr>
          <w:rFonts w:ascii="Calibri" w:hAnsi="Calibri" w:cs="Calibri"/>
        </w:rPr>
        <w:t xml:space="preserve"> del settore</w:t>
      </w:r>
      <w:r w:rsidRPr="00975CFB">
        <w:rPr>
          <w:rFonts w:ascii="Calibri" w:hAnsi="Calibri" w:cs="Calibri"/>
        </w:rPr>
        <w:t xml:space="preserve"> </w:t>
      </w:r>
      <w:r>
        <w:rPr>
          <w:rFonts w:ascii="Calibri" w:hAnsi="Calibri" w:cs="Calibri"/>
        </w:rPr>
        <w:t>dell’</w:t>
      </w:r>
      <w:r w:rsidRPr="00586E58">
        <w:rPr>
          <w:rFonts w:ascii="Calibri" w:hAnsi="Calibri" w:cs="Calibri"/>
          <w:b/>
          <w:bCs/>
        </w:rPr>
        <w:t>arredamento</w:t>
      </w:r>
      <w:r>
        <w:rPr>
          <w:rFonts w:ascii="Calibri" w:hAnsi="Calibri" w:cs="Calibri"/>
          <w:b/>
          <w:bCs/>
        </w:rPr>
        <w:t xml:space="preserve"> </w:t>
      </w:r>
      <w:r w:rsidRPr="00586E58">
        <w:rPr>
          <w:rFonts w:ascii="Calibri" w:hAnsi="Calibri" w:cs="Calibri"/>
        </w:rPr>
        <w:t>pisano</w:t>
      </w:r>
      <w:r>
        <w:rPr>
          <w:rFonts w:ascii="Calibri" w:hAnsi="Calibri" w:cs="Calibri"/>
        </w:rPr>
        <w:t xml:space="preserve"> </w:t>
      </w:r>
      <w:r w:rsidRPr="00975CFB">
        <w:rPr>
          <w:rFonts w:ascii="Calibri" w:hAnsi="Calibri" w:cs="Calibri"/>
        </w:rPr>
        <w:t xml:space="preserve">rispetto all’anno precedente. </w:t>
      </w:r>
      <w:r>
        <w:rPr>
          <w:rFonts w:ascii="Calibri" w:hAnsi="Calibri" w:cs="Calibri"/>
        </w:rPr>
        <w:t>L</w:t>
      </w:r>
      <w:r w:rsidRPr="00975CFB">
        <w:rPr>
          <w:rFonts w:ascii="Calibri" w:hAnsi="Calibri" w:cs="Calibri"/>
        </w:rPr>
        <w:t>e esportazioni complessive sono diminuite del 18,3%, con una perdita di oltre 9,5 milioni di euro</w:t>
      </w:r>
      <w:r>
        <w:rPr>
          <w:rFonts w:ascii="Calibri" w:hAnsi="Calibri" w:cs="Calibri"/>
        </w:rPr>
        <w:t>.</w:t>
      </w:r>
      <w:r w:rsidR="00D75CB9">
        <w:rPr>
          <w:rFonts w:ascii="Calibri" w:hAnsi="Calibri" w:cs="Calibri"/>
        </w:rPr>
        <w:t xml:space="preserve"> </w:t>
      </w:r>
      <w:r>
        <w:rPr>
          <w:rFonts w:ascii="Calibri" w:hAnsi="Calibri" w:cs="Calibri"/>
        </w:rPr>
        <w:t>A incidere maggiormente sulla flessione è stato il fo</w:t>
      </w:r>
      <w:r w:rsidRPr="00975CFB">
        <w:rPr>
          <w:rFonts w:ascii="Calibri" w:hAnsi="Calibri" w:cs="Calibri"/>
        </w:rPr>
        <w:t xml:space="preserve">rte ridimensionamento delle vendite in Francia, </w:t>
      </w:r>
      <w:r w:rsidR="00004B40">
        <w:rPr>
          <w:rFonts w:ascii="Calibri" w:hAnsi="Calibri" w:cs="Calibri"/>
        </w:rPr>
        <w:t>dove si è</w:t>
      </w:r>
      <w:r w:rsidRPr="00975CFB">
        <w:rPr>
          <w:rFonts w:ascii="Calibri" w:hAnsi="Calibri" w:cs="Calibri"/>
        </w:rPr>
        <w:t xml:space="preserve"> registrato un calo di quasi 2,5 milioni di euro (-37,8%)</w:t>
      </w:r>
      <w:r>
        <w:rPr>
          <w:rFonts w:ascii="Calibri" w:hAnsi="Calibri" w:cs="Calibri"/>
        </w:rPr>
        <w:t xml:space="preserve"> </w:t>
      </w:r>
      <w:r w:rsidR="00AD2594">
        <w:rPr>
          <w:rFonts w:ascii="Calibri" w:hAnsi="Calibri" w:cs="Calibri"/>
        </w:rPr>
        <w:t xml:space="preserve">che ha fatto </w:t>
      </w:r>
      <w:r w:rsidR="00AD2594" w:rsidRPr="00AD2594">
        <w:rPr>
          <w:rFonts w:ascii="Calibri" w:hAnsi="Calibri" w:cs="Calibri"/>
        </w:rPr>
        <w:t>scivolare il Paese al secondo</w:t>
      </w:r>
      <w:r w:rsidR="00AD2594">
        <w:rPr>
          <w:rFonts w:ascii="Calibri" w:hAnsi="Calibri" w:cs="Calibri"/>
        </w:rPr>
        <w:t xml:space="preserve"> </w:t>
      </w:r>
      <w:r w:rsidR="00AD2594" w:rsidRPr="00AD2594">
        <w:rPr>
          <w:rFonts w:ascii="Calibri" w:hAnsi="Calibri" w:cs="Calibri"/>
        </w:rPr>
        <w:t xml:space="preserve">posto tra </w:t>
      </w:r>
      <w:r w:rsidR="00AD2594">
        <w:rPr>
          <w:rFonts w:ascii="Calibri" w:hAnsi="Calibri" w:cs="Calibri"/>
        </w:rPr>
        <w:t>i partner commerciali</w:t>
      </w:r>
      <w:r>
        <w:rPr>
          <w:rFonts w:ascii="Calibri" w:hAnsi="Calibri" w:cs="Calibri"/>
        </w:rPr>
        <w:t xml:space="preserve">. In forte calo </w:t>
      </w:r>
      <w:r w:rsidR="000A2A45">
        <w:rPr>
          <w:rFonts w:ascii="Calibri" w:hAnsi="Calibri" w:cs="Calibri"/>
        </w:rPr>
        <w:t>anche gli altri</w:t>
      </w:r>
      <w:r>
        <w:rPr>
          <w:rFonts w:ascii="Calibri" w:hAnsi="Calibri" w:cs="Calibri"/>
        </w:rPr>
        <w:t xml:space="preserve"> principali mercati di destinazione, con significative diminuzioni in Russia (-31,3%), Regno Unito (-32,1%) e Turchia (-54,6%)</w:t>
      </w:r>
      <w:r w:rsidRPr="00975CFB">
        <w:rPr>
          <w:rFonts w:ascii="Calibri" w:hAnsi="Calibri" w:cs="Calibri"/>
        </w:rPr>
        <w:t>.</w:t>
      </w:r>
      <w:r>
        <w:rPr>
          <w:rFonts w:ascii="Calibri" w:hAnsi="Calibri" w:cs="Calibri"/>
        </w:rPr>
        <w:t xml:space="preserve"> Sono invece aumentate le vendite negli Stati Uniti (+10%)</w:t>
      </w:r>
      <w:r w:rsidR="000A2A45">
        <w:rPr>
          <w:rFonts w:ascii="Calibri" w:hAnsi="Calibri" w:cs="Calibri"/>
        </w:rPr>
        <w:t xml:space="preserve">, </w:t>
      </w:r>
      <w:r>
        <w:rPr>
          <w:rFonts w:ascii="Calibri" w:hAnsi="Calibri" w:cs="Calibri"/>
        </w:rPr>
        <w:t>primo mercato con oltre 4,8 milioni</w:t>
      </w:r>
      <w:r w:rsidR="00D75CB9">
        <w:rPr>
          <w:rFonts w:ascii="Calibri" w:hAnsi="Calibri" w:cs="Calibri"/>
        </w:rPr>
        <w:t xml:space="preserve"> di euro</w:t>
      </w:r>
      <w:r>
        <w:rPr>
          <w:rFonts w:ascii="Calibri" w:hAnsi="Calibri" w:cs="Calibri"/>
        </w:rPr>
        <w:t>, e negli Emirati Arabi Uniti, saliti oltre i 2,2 milioni (+52,9%).</w:t>
      </w:r>
    </w:p>
    <w:p w14:paraId="16A2A347" w14:textId="77777777" w:rsidR="0022419F" w:rsidRPr="00975CFB" w:rsidRDefault="0022419F" w:rsidP="0038325F">
      <w:pPr>
        <w:spacing w:after="240"/>
        <w:jc w:val="both"/>
        <w:rPr>
          <w:rFonts w:ascii="Calibri" w:hAnsi="Calibri" w:cs="Calibri"/>
        </w:rPr>
      </w:pPr>
      <w:r w:rsidRPr="00A66426">
        <w:rPr>
          <w:rFonts w:ascii="Calibri" w:hAnsi="Calibri" w:cs="Calibri"/>
        </w:rPr>
        <w:t xml:space="preserve">L'export di bevande pisane, principalmente </w:t>
      </w:r>
      <w:r w:rsidRPr="00A66426">
        <w:rPr>
          <w:rFonts w:ascii="Calibri" w:hAnsi="Calibri" w:cs="Calibri"/>
          <w:b/>
          <w:bCs/>
          <w:i/>
          <w:iCs/>
        </w:rPr>
        <w:t>vino</w:t>
      </w:r>
      <w:r w:rsidRPr="00A66426">
        <w:rPr>
          <w:rFonts w:ascii="Calibri" w:hAnsi="Calibri" w:cs="Calibri"/>
        </w:rPr>
        <w:t>, ha continuato a crescere anche nel primo semestre del 2025 segnando un incremento del 3,1% rispetto allo stesso periodo dell’anno precedente e raggiungendo un valore complessivo di oltre 36,5 milioni di euro.</w:t>
      </w:r>
      <w:r>
        <w:rPr>
          <w:rFonts w:ascii="Calibri" w:hAnsi="Calibri" w:cs="Calibri"/>
        </w:rPr>
        <w:t xml:space="preserve"> </w:t>
      </w:r>
      <w:r w:rsidRPr="00A66426">
        <w:rPr>
          <w:rFonts w:ascii="Calibri" w:hAnsi="Calibri" w:cs="Calibri"/>
        </w:rPr>
        <w:t xml:space="preserve">Gli Stati Uniti </w:t>
      </w:r>
      <w:r w:rsidR="000A2A45">
        <w:rPr>
          <w:rFonts w:ascii="Calibri" w:hAnsi="Calibri" w:cs="Calibri"/>
        </w:rPr>
        <w:t>hanno confermato la prima posizione tra i mercati di sbocco</w:t>
      </w:r>
      <w:r w:rsidRPr="00A66426">
        <w:rPr>
          <w:rFonts w:ascii="Calibri" w:hAnsi="Calibri" w:cs="Calibri"/>
        </w:rPr>
        <w:t xml:space="preserve"> con </w:t>
      </w:r>
      <w:r>
        <w:rPr>
          <w:rFonts w:ascii="Calibri" w:hAnsi="Calibri" w:cs="Calibri"/>
        </w:rPr>
        <w:t xml:space="preserve">oltre </w:t>
      </w:r>
      <w:r w:rsidRPr="00A66426">
        <w:rPr>
          <w:rFonts w:ascii="Calibri" w:hAnsi="Calibri" w:cs="Calibri"/>
        </w:rPr>
        <w:t xml:space="preserve">11 milioni e 700mila euro e una variazione positiva dell’1,8% rispetto al 2024. </w:t>
      </w:r>
      <w:r>
        <w:rPr>
          <w:rFonts w:ascii="Calibri" w:hAnsi="Calibri" w:cs="Calibri"/>
        </w:rPr>
        <w:t xml:space="preserve">Seguono i Paesi Bassi, in </w:t>
      </w:r>
      <w:r>
        <w:rPr>
          <w:rFonts w:ascii="Calibri" w:hAnsi="Calibri" w:cs="Calibri"/>
        </w:rPr>
        <w:lastRenderedPageBreak/>
        <w:t>calo del 10% a quota 3,2 milioni, e la Svezia stabile a 2,8 milioni. I</w:t>
      </w:r>
      <w:r w:rsidRPr="00A66426">
        <w:rPr>
          <w:rFonts w:ascii="Calibri" w:hAnsi="Calibri" w:cs="Calibri"/>
        </w:rPr>
        <w:t>l Regno Unito</w:t>
      </w:r>
      <w:r>
        <w:rPr>
          <w:rFonts w:ascii="Calibri" w:hAnsi="Calibri" w:cs="Calibri"/>
        </w:rPr>
        <w:t xml:space="preserve"> ha</w:t>
      </w:r>
      <w:r w:rsidRPr="00A66426">
        <w:rPr>
          <w:rFonts w:ascii="Calibri" w:hAnsi="Calibri" w:cs="Calibri"/>
        </w:rPr>
        <w:t xml:space="preserve"> registra</w:t>
      </w:r>
      <w:r>
        <w:rPr>
          <w:rFonts w:ascii="Calibri" w:hAnsi="Calibri" w:cs="Calibri"/>
        </w:rPr>
        <w:t>to</w:t>
      </w:r>
      <w:r w:rsidRPr="00A66426">
        <w:rPr>
          <w:rFonts w:ascii="Calibri" w:hAnsi="Calibri" w:cs="Calibri"/>
        </w:rPr>
        <w:t xml:space="preserve"> una crescita </w:t>
      </w:r>
      <w:r>
        <w:rPr>
          <w:rFonts w:ascii="Calibri" w:hAnsi="Calibri" w:cs="Calibri"/>
        </w:rPr>
        <w:t xml:space="preserve">molto elevata nel semestre, con esportazioni </w:t>
      </w:r>
      <w:r w:rsidRPr="00A66426">
        <w:rPr>
          <w:rFonts w:ascii="Calibri" w:hAnsi="Calibri" w:cs="Calibri"/>
        </w:rPr>
        <w:t xml:space="preserve">quintuplicate </w:t>
      </w:r>
      <w:r>
        <w:rPr>
          <w:rFonts w:ascii="Calibri" w:hAnsi="Calibri" w:cs="Calibri"/>
        </w:rPr>
        <w:t xml:space="preserve">rispetto all’anno precedente </w:t>
      </w:r>
      <w:r w:rsidR="00DA2329">
        <w:rPr>
          <w:rFonts w:ascii="Calibri" w:hAnsi="Calibri" w:cs="Calibri"/>
        </w:rPr>
        <w:t>che hanno superato</w:t>
      </w:r>
      <w:r w:rsidR="008D430F">
        <w:rPr>
          <w:rFonts w:ascii="Calibri" w:hAnsi="Calibri" w:cs="Calibri"/>
        </w:rPr>
        <w:t xml:space="preserve"> </w:t>
      </w:r>
      <w:r w:rsidR="00DA2329">
        <w:rPr>
          <w:rFonts w:ascii="Calibri" w:hAnsi="Calibri" w:cs="Calibri"/>
        </w:rPr>
        <w:t>i</w:t>
      </w:r>
      <w:r w:rsidRPr="00A66426">
        <w:rPr>
          <w:rFonts w:ascii="Calibri" w:hAnsi="Calibri" w:cs="Calibri"/>
        </w:rPr>
        <w:t xml:space="preserve"> 2</w:t>
      </w:r>
      <w:r>
        <w:rPr>
          <w:rFonts w:ascii="Calibri" w:hAnsi="Calibri" w:cs="Calibri"/>
        </w:rPr>
        <w:t>,6</w:t>
      </w:r>
      <w:r w:rsidRPr="00A66426">
        <w:rPr>
          <w:rFonts w:ascii="Calibri" w:hAnsi="Calibri" w:cs="Calibri"/>
        </w:rPr>
        <w:t xml:space="preserve"> milioni </w:t>
      </w:r>
      <w:r>
        <w:rPr>
          <w:rFonts w:ascii="Calibri" w:hAnsi="Calibri" w:cs="Calibri"/>
        </w:rPr>
        <w:t>di</w:t>
      </w:r>
      <w:r w:rsidRPr="00A66426">
        <w:rPr>
          <w:rFonts w:ascii="Calibri" w:hAnsi="Calibri" w:cs="Calibri"/>
        </w:rPr>
        <w:t xml:space="preserve"> euro</w:t>
      </w:r>
      <w:r w:rsidR="00DA2329">
        <w:rPr>
          <w:rFonts w:ascii="Calibri" w:hAnsi="Calibri" w:cs="Calibri"/>
        </w:rPr>
        <w:t>.</w:t>
      </w:r>
      <w:r>
        <w:rPr>
          <w:rFonts w:ascii="Calibri" w:hAnsi="Calibri" w:cs="Calibri"/>
        </w:rPr>
        <w:t xml:space="preserve"> </w:t>
      </w:r>
      <w:r w:rsidRPr="00A66426">
        <w:rPr>
          <w:rFonts w:ascii="Calibri" w:hAnsi="Calibri" w:cs="Calibri"/>
        </w:rPr>
        <w:t>Risultati positivi anche in Svizzera e Giappone</w:t>
      </w:r>
      <w:r>
        <w:rPr>
          <w:rFonts w:ascii="Calibri" w:hAnsi="Calibri" w:cs="Calibri"/>
        </w:rPr>
        <w:t xml:space="preserve">, mentre </w:t>
      </w:r>
      <w:r w:rsidRPr="00A66426">
        <w:rPr>
          <w:rFonts w:ascii="Calibri" w:hAnsi="Calibri" w:cs="Calibri"/>
        </w:rPr>
        <w:t xml:space="preserve">alcuni mercati </w:t>
      </w:r>
      <w:r>
        <w:rPr>
          <w:rFonts w:ascii="Calibri" w:hAnsi="Calibri" w:cs="Calibri"/>
        </w:rPr>
        <w:t xml:space="preserve">consolidati quali Finlandia (-25,7%) e </w:t>
      </w:r>
      <w:r w:rsidRPr="00A66426">
        <w:rPr>
          <w:rFonts w:ascii="Calibri" w:hAnsi="Calibri" w:cs="Calibri"/>
        </w:rPr>
        <w:t>Germania (-38,3%) hanno mostrato segnali di rallentamento</w:t>
      </w:r>
      <w:r>
        <w:rPr>
          <w:rFonts w:ascii="Calibri" w:hAnsi="Calibri" w:cs="Calibri"/>
        </w:rPr>
        <w:t>.</w:t>
      </w:r>
    </w:p>
    <w:p w14:paraId="785E983B" w14:textId="77777777" w:rsidR="0022419F" w:rsidRPr="006862F4" w:rsidRDefault="0022419F" w:rsidP="0022419F">
      <w:pPr>
        <w:rPr>
          <w:rFonts w:ascii="Calibri" w:hAnsi="Calibri"/>
          <w:b/>
          <w:szCs w:val="22"/>
        </w:rPr>
      </w:pPr>
      <w:r w:rsidRPr="006862F4">
        <w:rPr>
          <w:rFonts w:ascii="Calibri" w:hAnsi="Calibri"/>
          <w:b/>
          <w:szCs w:val="22"/>
        </w:rPr>
        <w:t>I mercati di destinazione</w:t>
      </w:r>
    </w:p>
    <w:p w14:paraId="60030D89" w14:textId="77777777" w:rsidR="007615D9" w:rsidRPr="0038325F" w:rsidRDefault="0022419F" w:rsidP="007615D9">
      <w:pPr>
        <w:spacing w:after="240"/>
        <w:jc w:val="both"/>
        <w:rPr>
          <w:rFonts w:ascii="Calibri" w:hAnsi="Calibri"/>
          <w:bCs/>
          <w:szCs w:val="22"/>
        </w:rPr>
      </w:pPr>
      <w:r>
        <w:rPr>
          <w:rFonts w:ascii="Calibri" w:hAnsi="Calibri"/>
          <w:bCs/>
          <w:szCs w:val="22"/>
        </w:rPr>
        <w:t xml:space="preserve">L’Europa rappresenta il principale mercato di sbocco dell’export pisano, arrivando a rappresentare il 72,7% delle vendite all’estero della provincia, il 62,2% nella sola UE27. </w:t>
      </w:r>
      <w:r w:rsidRPr="006862F4">
        <w:rPr>
          <w:rFonts w:ascii="Calibri" w:hAnsi="Calibri"/>
          <w:bCs/>
          <w:szCs w:val="22"/>
        </w:rPr>
        <w:t xml:space="preserve">La </w:t>
      </w:r>
      <w:r w:rsidRPr="00973235">
        <w:rPr>
          <w:rFonts w:ascii="Calibri" w:hAnsi="Calibri"/>
          <w:b/>
          <w:szCs w:val="22"/>
        </w:rPr>
        <w:t>Germania</w:t>
      </w:r>
      <w:r w:rsidRPr="006862F4">
        <w:rPr>
          <w:rFonts w:ascii="Calibri" w:hAnsi="Calibri"/>
          <w:bCs/>
          <w:szCs w:val="22"/>
        </w:rPr>
        <w:t xml:space="preserve">, pur </w:t>
      </w:r>
      <w:r w:rsidR="00DA2329">
        <w:rPr>
          <w:rFonts w:ascii="Calibri" w:hAnsi="Calibri"/>
          <w:bCs/>
          <w:szCs w:val="22"/>
        </w:rPr>
        <w:t>in</w:t>
      </w:r>
      <w:r w:rsidRPr="006862F4">
        <w:rPr>
          <w:rFonts w:ascii="Calibri" w:hAnsi="Calibri"/>
          <w:bCs/>
          <w:szCs w:val="22"/>
        </w:rPr>
        <w:t xml:space="preserve"> calo del 14,5% rispetto al primo semestre 2024</w:t>
      </w:r>
      <w:r>
        <w:rPr>
          <w:rFonts w:ascii="Calibri" w:hAnsi="Calibri"/>
          <w:bCs/>
          <w:szCs w:val="22"/>
        </w:rPr>
        <w:t xml:space="preserve"> per la flessione di mezzi di trasporto e macchinari</w:t>
      </w:r>
      <w:r w:rsidRPr="006862F4">
        <w:rPr>
          <w:rFonts w:ascii="Calibri" w:hAnsi="Calibri"/>
          <w:bCs/>
          <w:szCs w:val="22"/>
        </w:rPr>
        <w:t>, si</w:t>
      </w:r>
      <w:r w:rsidR="0038325F">
        <w:rPr>
          <w:rFonts w:ascii="Calibri" w:hAnsi="Calibri"/>
          <w:bCs/>
          <w:szCs w:val="22"/>
        </w:rPr>
        <w:t xml:space="preserve"> è</w:t>
      </w:r>
      <w:r w:rsidRPr="006862F4">
        <w:rPr>
          <w:rFonts w:ascii="Calibri" w:hAnsi="Calibri"/>
          <w:bCs/>
          <w:szCs w:val="22"/>
        </w:rPr>
        <w:t xml:space="preserve"> conferma</w:t>
      </w:r>
      <w:r w:rsidR="0038325F">
        <w:rPr>
          <w:rFonts w:ascii="Calibri" w:hAnsi="Calibri"/>
          <w:bCs/>
          <w:szCs w:val="22"/>
        </w:rPr>
        <w:t>ta</w:t>
      </w:r>
      <w:r w:rsidRPr="006862F4">
        <w:rPr>
          <w:rFonts w:ascii="Calibri" w:hAnsi="Calibri"/>
          <w:bCs/>
          <w:szCs w:val="22"/>
        </w:rPr>
        <w:t xml:space="preserve"> il primo mercato di destinazione per le esportazioni pisane con oltre 224 milioni di euro. </w:t>
      </w:r>
      <w:r w:rsidR="00DA2329">
        <w:rPr>
          <w:rFonts w:ascii="Calibri" w:hAnsi="Calibri"/>
          <w:bCs/>
          <w:szCs w:val="22"/>
        </w:rPr>
        <w:t xml:space="preserve">Al secondo posto </w:t>
      </w:r>
      <w:r>
        <w:rPr>
          <w:rFonts w:ascii="Calibri" w:hAnsi="Calibri"/>
          <w:bCs/>
          <w:szCs w:val="22"/>
        </w:rPr>
        <w:t>l</w:t>
      </w:r>
      <w:r w:rsidRPr="006862F4">
        <w:rPr>
          <w:rFonts w:ascii="Calibri" w:hAnsi="Calibri"/>
          <w:bCs/>
          <w:szCs w:val="22"/>
        </w:rPr>
        <w:t xml:space="preserve">a </w:t>
      </w:r>
      <w:r w:rsidRPr="00973235">
        <w:rPr>
          <w:rFonts w:ascii="Calibri" w:hAnsi="Calibri"/>
          <w:b/>
          <w:szCs w:val="22"/>
        </w:rPr>
        <w:t>Francia</w:t>
      </w:r>
      <w:r>
        <w:rPr>
          <w:rFonts w:ascii="Calibri" w:hAnsi="Calibri"/>
          <w:bCs/>
          <w:szCs w:val="22"/>
        </w:rPr>
        <w:t xml:space="preserve"> </w:t>
      </w:r>
      <w:r w:rsidRPr="006862F4">
        <w:rPr>
          <w:rFonts w:ascii="Calibri" w:hAnsi="Calibri"/>
          <w:bCs/>
          <w:szCs w:val="22"/>
        </w:rPr>
        <w:t xml:space="preserve">con </w:t>
      </w:r>
      <w:r w:rsidR="00973235">
        <w:rPr>
          <w:rFonts w:ascii="Calibri" w:hAnsi="Calibri"/>
          <w:bCs/>
          <w:szCs w:val="22"/>
        </w:rPr>
        <w:t>qu</w:t>
      </w:r>
      <w:r w:rsidR="007615D9">
        <w:rPr>
          <w:rFonts w:ascii="Calibri" w:hAnsi="Calibri"/>
          <w:bCs/>
          <w:szCs w:val="22"/>
        </w:rPr>
        <w:t>a</w:t>
      </w:r>
      <w:r w:rsidR="00973235">
        <w:rPr>
          <w:rFonts w:ascii="Calibri" w:hAnsi="Calibri"/>
          <w:bCs/>
          <w:szCs w:val="22"/>
        </w:rPr>
        <w:t xml:space="preserve">si </w:t>
      </w:r>
      <w:r w:rsidRPr="006862F4">
        <w:rPr>
          <w:rFonts w:ascii="Calibri" w:hAnsi="Calibri"/>
          <w:bCs/>
          <w:szCs w:val="22"/>
        </w:rPr>
        <w:t>20</w:t>
      </w:r>
      <w:r w:rsidR="00973235">
        <w:rPr>
          <w:rFonts w:ascii="Calibri" w:hAnsi="Calibri"/>
          <w:bCs/>
          <w:szCs w:val="22"/>
        </w:rPr>
        <w:t>8</w:t>
      </w:r>
      <w:r w:rsidRPr="006862F4">
        <w:rPr>
          <w:rFonts w:ascii="Calibri" w:hAnsi="Calibri"/>
          <w:bCs/>
          <w:szCs w:val="22"/>
        </w:rPr>
        <w:t xml:space="preserve"> milioni di euro e una flessione del 9,9%. </w:t>
      </w:r>
      <w:r w:rsidR="00973235" w:rsidRPr="00973235">
        <w:rPr>
          <w:rFonts w:ascii="Calibri" w:hAnsi="Calibri"/>
          <w:bCs/>
          <w:szCs w:val="22"/>
        </w:rPr>
        <w:t>Grazie all'ottima performance del settore farmaceutico, l'</w:t>
      </w:r>
      <w:r w:rsidR="00973235" w:rsidRPr="00973235">
        <w:rPr>
          <w:rFonts w:ascii="Calibri" w:hAnsi="Calibri"/>
          <w:b/>
          <w:szCs w:val="22"/>
        </w:rPr>
        <w:t>Austria</w:t>
      </w:r>
      <w:r w:rsidR="00973235" w:rsidRPr="00973235">
        <w:rPr>
          <w:rFonts w:ascii="Calibri" w:hAnsi="Calibri"/>
          <w:bCs/>
          <w:szCs w:val="22"/>
        </w:rPr>
        <w:t xml:space="preserve"> </w:t>
      </w:r>
      <w:r w:rsidR="007615D9">
        <w:rPr>
          <w:rFonts w:ascii="Calibri" w:hAnsi="Calibri"/>
          <w:bCs/>
          <w:szCs w:val="22"/>
        </w:rPr>
        <w:t xml:space="preserve">(+27,4%) </w:t>
      </w:r>
      <w:r w:rsidR="00973235" w:rsidRPr="00973235">
        <w:rPr>
          <w:rFonts w:ascii="Calibri" w:hAnsi="Calibri"/>
          <w:bCs/>
          <w:szCs w:val="22"/>
        </w:rPr>
        <w:t>è salita al terzo posto tra i principali mercati di destinazione per le esportaz</w:t>
      </w:r>
      <w:r w:rsidR="007615D9">
        <w:rPr>
          <w:rFonts w:ascii="Calibri" w:hAnsi="Calibri"/>
          <w:bCs/>
          <w:szCs w:val="22"/>
        </w:rPr>
        <w:t>i</w:t>
      </w:r>
      <w:r w:rsidR="00973235" w:rsidRPr="00973235">
        <w:rPr>
          <w:rFonts w:ascii="Calibri" w:hAnsi="Calibri"/>
          <w:bCs/>
          <w:szCs w:val="22"/>
        </w:rPr>
        <w:t xml:space="preserve">oni </w:t>
      </w:r>
      <w:r w:rsidR="007615D9">
        <w:rPr>
          <w:rFonts w:ascii="Calibri" w:hAnsi="Calibri"/>
          <w:bCs/>
          <w:szCs w:val="22"/>
        </w:rPr>
        <w:t>pisane</w:t>
      </w:r>
      <w:r w:rsidR="00973235">
        <w:rPr>
          <w:rFonts w:ascii="Calibri" w:hAnsi="Calibri"/>
          <w:bCs/>
          <w:szCs w:val="22"/>
        </w:rPr>
        <w:t>, s</w:t>
      </w:r>
      <w:r w:rsidR="00973235" w:rsidRPr="00973235">
        <w:rPr>
          <w:rFonts w:ascii="Calibri" w:hAnsi="Calibri"/>
          <w:bCs/>
          <w:szCs w:val="22"/>
        </w:rPr>
        <w:t xml:space="preserve">uperando </w:t>
      </w:r>
      <w:r w:rsidR="007615D9">
        <w:rPr>
          <w:rFonts w:ascii="Calibri" w:hAnsi="Calibri"/>
          <w:bCs/>
          <w:szCs w:val="22"/>
        </w:rPr>
        <w:t>la</w:t>
      </w:r>
      <w:r w:rsidR="00973235" w:rsidRPr="00973235">
        <w:rPr>
          <w:rFonts w:ascii="Calibri" w:hAnsi="Calibri"/>
          <w:bCs/>
          <w:szCs w:val="22"/>
        </w:rPr>
        <w:t xml:space="preserve"> </w:t>
      </w:r>
      <w:r w:rsidR="00973235" w:rsidRPr="00973235">
        <w:rPr>
          <w:rFonts w:ascii="Calibri" w:hAnsi="Calibri"/>
          <w:b/>
          <w:szCs w:val="22"/>
        </w:rPr>
        <w:t>Spagna</w:t>
      </w:r>
      <w:r w:rsidR="007615D9" w:rsidRPr="007615D9">
        <w:rPr>
          <w:rFonts w:ascii="Calibri" w:hAnsi="Calibri"/>
          <w:bCs/>
          <w:szCs w:val="22"/>
        </w:rPr>
        <w:t xml:space="preserve"> in calo</w:t>
      </w:r>
      <w:r w:rsidR="007615D9">
        <w:rPr>
          <w:rFonts w:ascii="Calibri" w:hAnsi="Calibri"/>
          <w:bCs/>
          <w:szCs w:val="22"/>
        </w:rPr>
        <w:t xml:space="preserve"> (-13%)</w:t>
      </w:r>
      <w:r w:rsidR="00973235">
        <w:rPr>
          <w:rFonts w:ascii="Calibri" w:hAnsi="Calibri"/>
          <w:bCs/>
          <w:szCs w:val="22"/>
        </w:rPr>
        <w:t>.</w:t>
      </w:r>
      <w:r w:rsidR="007615D9">
        <w:rPr>
          <w:rFonts w:ascii="Calibri" w:hAnsi="Calibri"/>
          <w:bCs/>
          <w:szCs w:val="22"/>
        </w:rPr>
        <w:t xml:space="preserve"> Gli </w:t>
      </w:r>
      <w:r w:rsidR="007615D9" w:rsidRPr="007615D9">
        <w:rPr>
          <w:rFonts w:ascii="Calibri" w:hAnsi="Calibri"/>
          <w:b/>
          <w:szCs w:val="22"/>
        </w:rPr>
        <w:t xml:space="preserve">Stati Uniti </w:t>
      </w:r>
      <w:r w:rsidR="007615D9">
        <w:rPr>
          <w:rFonts w:ascii="Calibri" w:hAnsi="Calibri"/>
          <w:bCs/>
          <w:szCs w:val="22"/>
        </w:rPr>
        <w:t xml:space="preserve">hanno segnato una flessione del 28,6%, diminuendo gli acquisti dalla provincia a quota 124 milioni. Il risultato è stato fortemente influenzato dalle diffuse difficoltà dei mezzi di trasporto (-20 milioni) e dal ridimensionamento delle vendite di macchinari per l’agricoltura (-20 milioni) dopo l’exploit dello scorso anno. Sono aumentate, invece, le esportazioni verso </w:t>
      </w:r>
      <w:r w:rsidR="007615D9" w:rsidRPr="007615D9">
        <w:rPr>
          <w:rFonts w:ascii="Calibri" w:hAnsi="Calibri"/>
          <w:b/>
          <w:szCs w:val="22"/>
        </w:rPr>
        <w:t>Regno Unito</w:t>
      </w:r>
      <w:r w:rsidR="007615D9">
        <w:rPr>
          <w:rFonts w:ascii="Calibri" w:hAnsi="Calibri"/>
          <w:bCs/>
          <w:szCs w:val="22"/>
        </w:rPr>
        <w:t xml:space="preserve"> (+19,2%), </w:t>
      </w:r>
      <w:r w:rsidR="007615D9" w:rsidRPr="007615D9">
        <w:rPr>
          <w:rFonts w:ascii="Calibri" w:hAnsi="Calibri"/>
          <w:b/>
          <w:szCs w:val="22"/>
        </w:rPr>
        <w:t>Cina</w:t>
      </w:r>
      <w:r w:rsidR="007615D9">
        <w:rPr>
          <w:rFonts w:ascii="Calibri" w:hAnsi="Calibri"/>
          <w:bCs/>
          <w:szCs w:val="22"/>
        </w:rPr>
        <w:t xml:space="preserve"> (+10%) e </w:t>
      </w:r>
      <w:r w:rsidR="007615D9" w:rsidRPr="007615D9">
        <w:rPr>
          <w:rFonts w:ascii="Calibri" w:hAnsi="Calibri"/>
          <w:b/>
          <w:szCs w:val="22"/>
        </w:rPr>
        <w:t>Svizzera</w:t>
      </w:r>
      <w:r w:rsidR="007615D9">
        <w:rPr>
          <w:rFonts w:ascii="Calibri" w:hAnsi="Calibri"/>
          <w:bCs/>
          <w:szCs w:val="22"/>
        </w:rPr>
        <w:t xml:space="preserve"> (+35,8%), mentre i </w:t>
      </w:r>
      <w:r w:rsidR="007615D9" w:rsidRPr="007615D9">
        <w:rPr>
          <w:rFonts w:ascii="Calibri" w:hAnsi="Calibri"/>
          <w:b/>
          <w:szCs w:val="22"/>
        </w:rPr>
        <w:t xml:space="preserve">Paesi Bassi </w:t>
      </w:r>
      <w:r w:rsidR="007615D9">
        <w:rPr>
          <w:rFonts w:ascii="Calibri" w:hAnsi="Calibri"/>
          <w:bCs/>
          <w:szCs w:val="22"/>
        </w:rPr>
        <w:t xml:space="preserve">sono rimasti stabili (+0,4) e la </w:t>
      </w:r>
      <w:r w:rsidR="007615D9" w:rsidRPr="007615D9">
        <w:rPr>
          <w:rFonts w:ascii="Calibri" w:hAnsi="Calibri"/>
          <w:b/>
          <w:szCs w:val="22"/>
        </w:rPr>
        <w:t>Turchia</w:t>
      </w:r>
      <w:r w:rsidR="007615D9">
        <w:rPr>
          <w:rFonts w:ascii="Calibri" w:hAnsi="Calibri"/>
          <w:bCs/>
          <w:szCs w:val="22"/>
        </w:rPr>
        <w:t xml:space="preserve"> ha registrato una flessione del 35% legata ai mezzi di trasporto.</w:t>
      </w:r>
    </w:p>
    <w:tbl>
      <w:tblPr>
        <w:tblW w:w="8219" w:type="dxa"/>
        <w:tblInd w:w="70" w:type="dxa"/>
        <w:tblCellMar>
          <w:left w:w="70" w:type="dxa"/>
          <w:right w:w="70" w:type="dxa"/>
        </w:tblCellMar>
        <w:tblLook w:val="04A0" w:firstRow="1" w:lastRow="0" w:firstColumn="1" w:lastColumn="0" w:noHBand="0" w:noVBand="1"/>
      </w:tblPr>
      <w:tblGrid>
        <w:gridCol w:w="1773"/>
        <w:gridCol w:w="1513"/>
        <w:gridCol w:w="1605"/>
        <w:gridCol w:w="1134"/>
        <w:gridCol w:w="741"/>
        <w:gridCol w:w="1042"/>
        <w:gridCol w:w="164"/>
        <w:gridCol w:w="68"/>
        <w:gridCol w:w="15"/>
        <w:gridCol w:w="149"/>
        <w:gridCol w:w="15"/>
      </w:tblGrid>
      <w:tr w:rsidR="004C235D" w14:paraId="15B92963" w14:textId="77777777" w:rsidTr="004C235D">
        <w:trPr>
          <w:gridAfter w:val="1"/>
          <w:wAfter w:w="15" w:type="dxa"/>
          <w:trHeight w:val="283"/>
        </w:trPr>
        <w:tc>
          <w:tcPr>
            <w:tcW w:w="8040" w:type="dxa"/>
            <w:gridSpan w:val="8"/>
            <w:tcBorders>
              <w:top w:val="nil"/>
              <w:left w:val="nil"/>
              <w:bottom w:val="nil"/>
              <w:right w:val="nil"/>
            </w:tcBorders>
            <w:noWrap/>
            <w:vAlign w:val="center"/>
            <w:hideMark/>
          </w:tcPr>
          <w:p w14:paraId="44B375C9" w14:textId="43C8ADD0" w:rsidR="004C235D" w:rsidRDefault="004C235D" w:rsidP="00A35AEF">
            <w:pPr>
              <w:rPr>
                <w:rFonts w:ascii="Calibri" w:hAnsi="Calibri" w:cs="Calibri"/>
                <w:b/>
                <w:bCs/>
                <w:color w:val="000000"/>
                <w:sz w:val="20"/>
                <w:szCs w:val="20"/>
              </w:rPr>
            </w:pPr>
            <w:r w:rsidRPr="00E26663">
              <w:rPr>
                <w:rFonts w:ascii="Calibri" w:hAnsi="Calibri" w:cs="Calibri"/>
                <w:b/>
                <w:bCs/>
                <w:color w:val="000000"/>
                <w:sz w:val="20"/>
              </w:rPr>
              <w:t>I principali paesi di destinazione delle esportazioni</w:t>
            </w:r>
            <w:r>
              <w:rPr>
                <w:rFonts w:ascii="Calibri" w:hAnsi="Calibri" w:cs="Calibri"/>
                <w:b/>
                <w:bCs/>
                <w:color w:val="000000"/>
                <w:sz w:val="20"/>
                <w:szCs w:val="20"/>
              </w:rPr>
              <w:t xml:space="preserve"> della provincia di Pisa - I semestre 2025</w:t>
            </w:r>
          </w:p>
        </w:tc>
        <w:tc>
          <w:tcPr>
            <w:tcW w:w="164" w:type="dxa"/>
            <w:gridSpan w:val="2"/>
            <w:tcBorders>
              <w:top w:val="nil"/>
              <w:left w:val="nil"/>
              <w:bottom w:val="nil"/>
              <w:right w:val="nil"/>
            </w:tcBorders>
            <w:noWrap/>
            <w:vAlign w:val="center"/>
            <w:hideMark/>
          </w:tcPr>
          <w:p w14:paraId="33BA8626" w14:textId="77777777" w:rsidR="004C235D" w:rsidRDefault="004C235D" w:rsidP="00A35AEF">
            <w:pPr>
              <w:rPr>
                <w:sz w:val="20"/>
                <w:szCs w:val="20"/>
              </w:rPr>
            </w:pPr>
          </w:p>
        </w:tc>
      </w:tr>
      <w:tr w:rsidR="0022419F" w14:paraId="34A2C836" w14:textId="77777777" w:rsidTr="004C235D">
        <w:trPr>
          <w:trHeight w:val="283"/>
        </w:trPr>
        <w:tc>
          <w:tcPr>
            <w:tcW w:w="6022" w:type="dxa"/>
            <w:gridSpan w:val="4"/>
            <w:tcBorders>
              <w:top w:val="nil"/>
              <w:left w:val="nil"/>
              <w:bottom w:val="nil"/>
              <w:right w:val="nil"/>
            </w:tcBorders>
            <w:noWrap/>
            <w:vAlign w:val="center"/>
            <w:hideMark/>
          </w:tcPr>
          <w:p w14:paraId="7B757CAC" w14:textId="77777777" w:rsidR="0022419F" w:rsidRDefault="0022419F" w:rsidP="00A35AEF">
            <w:pPr>
              <w:rPr>
                <w:rFonts w:ascii="Calibri" w:hAnsi="Calibri" w:cs="Calibri"/>
                <w:i/>
                <w:iCs/>
                <w:color w:val="000000"/>
                <w:sz w:val="20"/>
                <w:szCs w:val="20"/>
              </w:rPr>
            </w:pPr>
            <w:r>
              <w:rPr>
                <w:rFonts w:ascii="Calibri" w:hAnsi="Calibri" w:cs="Calibri"/>
                <w:i/>
                <w:iCs/>
                <w:color w:val="000000"/>
                <w:sz w:val="20"/>
                <w:szCs w:val="20"/>
              </w:rPr>
              <w:t>Valori assoluti in euro, var. % e contributi % alla crescita </w:t>
            </w:r>
          </w:p>
        </w:tc>
        <w:tc>
          <w:tcPr>
            <w:tcW w:w="741" w:type="dxa"/>
            <w:tcBorders>
              <w:top w:val="nil"/>
              <w:left w:val="nil"/>
              <w:bottom w:val="nil"/>
              <w:right w:val="nil"/>
            </w:tcBorders>
            <w:noWrap/>
            <w:vAlign w:val="center"/>
            <w:hideMark/>
          </w:tcPr>
          <w:p w14:paraId="653CDE26" w14:textId="77777777" w:rsidR="0022419F" w:rsidRDefault="0022419F" w:rsidP="00A35AEF">
            <w:pPr>
              <w:rPr>
                <w:rFonts w:ascii="Calibri" w:hAnsi="Calibri" w:cs="Calibri"/>
                <w:i/>
                <w:iCs/>
                <w:color w:val="000000"/>
                <w:sz w:val="20"/>
                <w:szCs w:val="20"/>
              </w:rPr>
            </w:pPr>
          </w:p>
        </w:tc>
        <w:tc>
          <w:tcPr>
            <w:tcW w:w="1289" w:type="dxa"/>
            <w:gridSpan w:val="4"/>
            <w:tcBorders>
              <w:top w:val="nil"/>
              <w:left w:val="nil"/>
              <w:bottom w:val="nil"/>
              <w:right w:val="nil"/>
            </w:tcBorders>
            <w:noWrap/>
            <w:vAlign w:val="center"/>
            <w:hideMark/>
          </w:tcPr>
          <w:p w14:paraId="6B2347D2" w14:textId="77777777" w:rsidR="0022419F" w:rsidRDefault="0022419F" w:rsidP="00A35AEF">
            <w:pPr>
              <w:rPr>
                <w:sz w:val="20"/>
                <w:szCs w:val="20"/>
              </w:rPr>
            </w:pPr>
          </w:p>
        </w:tc>
        <w:tc>
          <w:tcPr>
            <w:tcW w:w="164" w:type="dxa"/>
            <w:gridSpan w:val="2"/>
            <w:tcBorders>
              <w:top w:val="nil"/>
              <w:left w:val="nil"/>
              <w:bottom w:val="nil"/>
              <w:right w:val="nil"/>
            </w:tcBorders>
            <w:noWrap/>
            <w:vAlign w:val="center"/>
            <w:hideMark/>
          </w:tcPr>
          <w:p w14:paraId="43873255" w14:textId="77777777" w:rsidR="0022419F" w:rsidRDefault="0022419F" w:rsidP="00A35AEF">
            <w:pPr>
              <w:rPr>
                <w:sz w:val="20"/>
                <w:szCs w:val="20"/>
              </w:rPr>
            </w:pPr>
          </w:p>
        </w:tc>
      </w:tr>
      <w:tr w:rsidR="004C235D" w14:paraId="0AE250D0" w14:textId="77777777" w:rsidTr="004C235D">
        <w:trPr>
          <w:gridAfter w:val="4"/>
          <w:wAfter w:w="247" w:type="dxa"/>
          <w:trHeight w:val="283"/>
        </w:trPr>
        <w:tc>
          <w:tcPr>
            <w:tcW w:w="1773" w:type="dxa"/>
            <w:vMerge w:val="restart"/>
            <w:tcBorders>
              <w:top w:val="single" w:sz="4" w:space="0" w:color="auto"/>
              <w:left w:val="nil"/>
              <w:bottom w:val="single" w:sz="4" w:space="0" w:color="000000"/>
              <w:right w:val="nil"/>
            </w:tcBorders>
            <w:noWrap/>
            <w:vAlign w:val="center"/>
            <w:hideMark/>
          </w:tcPr>
          <w:p w14:paraId="63E79795" w14:textId="77777777" w:rsidR="004C235D" w:rsidRDefault="004C235D" w:rsidP="00A35AEF">
            <w:pPr>
              <w:rPr>
                <w:rFonts w:ascii="Calibri" w:hAnsi="Calibri" w:cs="Calibri"/>
                <w:b/>
                <w:bCs/>
                <w:color w:val="000000"/>
                <w:sz w:val="20"/>
                <w:szCs w:val="20"/>
              </w:rPr>
            </w:pPr>
            <w:r>
              <w:rPr>
                <w:rFonts w:ascii="Calibri" w:hAnsi="Calibri" w:cs="Calibri"/>
                <w:b/>
                <w:bCs/>
                <w:color w:val="000000"/>
                <w:sz w:val="20"/>
                <w:szCs w:val="20"/>
              </w:rPr>
              <w:t>Settori di attività</w:t>
            </w:r>
          </w:p>
        </w:tc>
        <w:tc>
          <w:tcPr>
            <w:tcW w:w="3118" w:type="dxa"/>
            <w:gridSpan w:val="2"/>
            <w:tcBorders>
              <w:top w:val="single" w:sz="4" w:space="0" w:color="auto"/>
              <w:left w:val="nil"/>
              <w:bottom w:val="single" w:sz="4" w:space="0" w:color="auto"/>
              <w:right w:val="nil"/>
            </w:tcBorders>
            <w:noWrap/>
            <w:vAlign w:val="center"/>
            <w:hideMark/>
          </w:tcPr>
          <w:p w14:paraId="46AF1269" w14:textId="77777777" w:rsidR="004C235D" w:rsidRDefault="004C235D" w:rsidP="00234F3A">
            <w:pPr>
              <w:jc w:val="center"/>
              <w:rPr>
                <w:rFonts w:ascii="Calibri" w:hAnsi="Calibri" w:cs="Calibri"/>
                <w:b/>
                <w:bCs/>
                <w:color w:val="000000"/>
                <w:sz w:val="20"/>
                <w:szCs w:val="20"/>
              </w:rPr>
            </w:pPr>
            <w:r>
              <w:rPr>
                <w:rFonts w:ascii="Calibri" w:hAnsi="Calibri" w:cs="Calibri"/>
                <w:b/>
                <w:bCs/>
                <w:color w:val="000000"/>
                <w:sz w:val="20"/>
                <w:szCs w:val="20"/>
              </w:rPr>
              <w:t>Valori assoluti in euro</w:t>
            </w:r>
          </w:p>
        </w:tc>
        <w:tc>
          <w:tcPr>
            <w:tcW w:w="1134" w:type="dxa"/>
            <w:vMerge w:val="restart"/>
            <w:tcBorders>
              <w:top w:val="single" w:sz="4" w:space="0" w:color="auto"/>
              <w:left w:val="nil"/>
              <w:right w:val="nil"/>
            </w:tcBorders>
            <w:noWrap/>
            <w:vAlign w:val="center"/>
            <w:hideMark/>
          </w:tcPr>
          <w:p w14:paraId="45621378" w14:textId="77777777" w:rsidR="004C235D" w:rsidRDefault="004C235D" w:rsidP="00A35AEF">
            <w:pPr>
              <w:jc w:val="center"/>
              <w:rPr>
                <w:rFonts w:ascii="Calibri" w:hAnsi="Calibri" w:cs="Calibri"/>
                <w:b/>
                <w:bCs/>
                <w:color w:val="000000"/>
                <w:sz w:val="20"/>
                <w:szCs w:val="20"/>
              </w:rPr>
            </w:pPr>
            <w:r>
              <w:rPr>
                <w:rFonts w:ascii="Calibri" w:hAnsi="Calibri" w:cs="Calibri"/>
                <w:b/>
                <w:bCs/>
                <w:color w:val="000000"/>
                <w:sz w:val="20"/>
                <w:szCs w:val="20"/>
              </w:rPr>
              <w:t>Quota %</w:t>
            </w:r>
          </w:p>
        </w:tc>
        <w:tc>
          <w:tcPr>
            <w:tcW w:w="741" w:type="dxa"/>
            <w:vMerge w:val="restart"/>
            <w:tcBorders>
              <w:top w:val="single" w:sz="4" w:space="0" w:color="auto"/>
              <w:left w:val="nil"/>
              <w:right w:val="nil"/>
            </w:tcBorders>
            <w:noWrap/>
            <w:vAlign w:val="center"/>
            <w:hideMark/>
          </w:tcPr>
          <w:p w14:paraId="5E91CDD1" w14:textId="77777777" w:rsidR="004C235D" w:rsidRDefault="004C235D" w:rsidP="00A35AEF">
            <w:pPr>
              <w:jc w:val="center"/>
              <w:rPr>
                <w:rFonts w:ascii="Calibri" w:hAnsi="Calibri" w:cs="Calibri"/>
                <w:b/>
                <w:bCs/>
                <w:color w:val="000000"/>
                <w:sz w:val="20"/>
                <w:szCs w:val="20"/>
              </w:rPr>
            </w:pPr>
            <w:r>
              <w:rPr>
                <w:rFonts w:ascii="Calibri" w:hAnsi="Calibri" w:cs="Calibri"/>
                <w:b/>
                <w:bCs/>
                <w:color w:val="000000"/>
                <w:sz w:val="20"/>
                <w:szCs w:val="20"/>
              </w:rPr>
              <w:t>Var. %</w:t>
            </w:r>
          </w:p>
        </w:tc>
        <w:tc>
          <w:tcPr>
            <w:tcW w:w="1042" w:type="dxa"/>
            <w:vMerge w:val="restart"/>
            <w:tcBorders>
              <w:top w:val="single" w:sz="4" w:space="0" w:color="auto"/>
              <w:left w:val="nil"/>
              <w:right w:val="nil"/>
            </w:tcBorders>
            <w:vAlign w:val="center"/>
            <w:hideMark/>
          </w:tcPr>
          <w:p w14:paraId="1A91A1FF" w14:textId="77777777" w:rsidR="004C235D" w:rsidRDefault="004C235D" w:rsidP="00A35AEF">
            <w:pPr>
              <w:jc w:val="center"/>
              <w:rPr>
                <w:rFonts w:ascii="Calibri" w:hAnsi="Calibri" w:cs="Calibri"/>
                <w:b/>
                <w:bCs/>
                <w:color w:val="000000"/>
                <w:sz w:val="20"/>
                <w:szCs w:val="20"/>
              </w:rPr>
            </w:pPr>
            <w:r>
              <w:rPr>
                <w:rFonts w:ascii="Calibri" w:hAnsi="Calibri" w:cs="Calibri"/>
                <w:b/>
                <w:bCs/>
                <w:color w:val="000000"/>
                <w:sz w:val="20"/>
                <w:szCs w:val="20"/>
              </w:rPr>
              <w:t>Contributo %</w:t>
            </w:r>
          </w:p>
        </w:tc>
        <w:tc>
          <w:tcPr>
            <w:tcW w:w="164" w:type="dxa"/>
            <w:tcBorders>
              <w:top w:val="nil"/>
              <w:left w:val="nil"/>
              <w:bottom w:val="nil"/>
              <w:right w:val="nil"/>
            </w:tcBorders>
            <w:noWrap/>
            <w:vAlign w:val="center"/>
            <w:hideMark/>
          </w:tcPr>
          <w:p w14:paraId="600069A9" w14:textId="77777777" w:rsidR="004C235D" w:rsidRDefault="004C235D" w:rsidP="00A35AEF">
            <w:pPr>
              <w:jc w:val="center"/>
              <w:rPr>
                <w:rFonts w:ascii="Calibri" w:hAnsi="Calibri" w:cs="Calibri"/>
                <w:b/>
                <w:bCs/>
                <w:color w:val="000000"/>
                <w:sz w:val="20"/>
                <w:szCs w:val="20"/>
              </w:rPr>
            </w:pPr>
          </w:p>
        </w:tc>
      </w:tr>
      <w:tr w:rsidR="004C235D" w14:paraId="47BA0E00" w14:textId="77777777" w:rsidTr="004C235D">
        <w:trPr>
          <w:gridAfter w:val="4"/>
          <w:wAfter w:w="247" w:type="dxa"/>
          <w:trHeight w:val="283"/>
        </w:trPr>
        <w:tc>
          <w:tcPr>
            <w:tcW w:w="1773" w:type="dxa"/>
            <w:vMerge/>
            <w:tcBorders>
              <w:top w:val="single" w:sz="4" w:space="0" w:color="auto"/>
              <w:left w:val="nil"/>
              <w:bottom w:val="single" w:sz="4" w:space="0" w:color="000000"/>
              <w:right w:val="nil"/>
            </w:tcBorders>
            <w:vAlign w:val="center"/>
            <w:hideMark/>
          </w:tcPr>
          <w:p w14:paraId="2742FBEE" w14:textId="77777777" w:rsidR="004C235D" w:rsidRDefault="004C235D" w:rsidP="00A35AEF">
            <w:pPr>
              <w:rPr>
                <w:rFonts w:ascii="Calibri" w:hAnsi="Calibri" w:cs="Calibri"/>
                <w:b/>
                <w:bCs/>
                <w:color w:val="000000"/>
                <w:sz w:val="20"/>
                <w:szCs w:val="20"/>
              </w:rPr>
            </w:pPr>
          </w:p>
        </w:tc>
        <w:tc>
          <w:tcPr>
            <w:tcW w:w="1513" w:type="dxa"/>
            <w:tcBorders>
              <w:top w:val="nil"/>
              <w:left w:val="nil"/>
              <w:bottom w:val="single" w:sz="4" w:space="0" w:color="auto"/>
              <w:right w:val="nil"/>
            </w:tcBorders>
            <w:noWrap/>
            <w:vAlign w:val="center"/>
            <w:hideMark/>
          </w:tcPr>
          <w:p w14:paraId="4FC78E0F" w14:textId="77777777" w:rsidR="004C235D" w:rsidRDefault="004C235D" w:rsidP="00234F3A">
            <w:pPr>
              <w:jc w:val="center"/>
              <w:rPr>
                <w:rFonts w:ascii="Calibri" w:hAnsi="Calibri" w:cs="Calibri"/>
                <w:b/>
                <w:bCs/>
                <w:color w:val="000000"/>
                <w:sz w:val="20"/>
                <w:szCs w:val="20"/>
              </w:rPr>
            </w:pPr>
            <w:r>
              <w:rPr>
                <w:rFonts w:ascii="Calibri" w:hAnsi="Calibri" w:cs="Calibri"/>
                <w:b/>
                <w:bCs/>
                <w:color w:val="000000"/>
                <w:sz w:val="20"/>
                <w:szCs w:val="20"/>
              </w:rPr>
              <w:t xml:space="preserve">I </w:t>
            </w:r>
            <w:proofErr w:type="spellStart"/>
            <w:r>
              <w:rPr>
                <w:rFonts w:ascii="Calibri" w:hAnsi="Calibri" w:cs="Calibri"/>
                <w:b/>
                <w:bCs/>
                <w:color w:val="000000"/>
                <w:sz w:val="20"/>
                <w:szCs w:val="20"/>
              </w:rPr>
              <w:t>sem</w:t>
            </w:r>
            <w:proofErr w:type="spellEnd"/>
            <w:r>
              <w:rPr>
                <w:rFonts w:ascii="Calibri" w:hAnsi="Calibri" w:cs="Calibri"/>
                <w:b/>
                <w:bCs/>
                <w:color w:val="000000"/>
                <w:sz w:val="20"/>
                <w:szCs w:val="20"/>
              </w:rPr>
              <w:t xml:space="preserve"> 2024</w:t>
            </w:r>
          </w:p>
        </w:tc>
        <w:tc>
          <w:tcPr>
            <w:tcW w:w="1605" w:type="dxa"/>
            <w:tcBorders>
              <w:top w:val="nil"/>
              <w:left w:val="nil"/>
              <w:bottom w:val="single" w:sz="4" w:space="0" w:color="auto"/>
              <w:right w:val="nil"/>
            </w:tcBorders>
            <w:noWrap/>
            <w:vAlign w:val="center"/>
            <w:hideMark/>
          </w:tcPr>
          <w:p w14:paraId="35A1C2EC" w14:textId="77777777" w:rsidR="004C235D" w:rsidRDefault="004C235D" w:rsidP="00234F3A">
            <w:pPr>
              <w:jc w:val="center"/>
              <w:rPr>
                <w:rFonts w:ascii="Calibri" w:hAnsi="Calibri" w:cs="Calibri"/>
                <w:b/>
                <w:bCs/>
                <w:color w:val="000000"/>
                <w:sz w:val="20"/>
                <w:szCs w:val="20"/>
              </w:rPr>
            </w:pPr>
            <w:r>
              <w:rPr>
                <w:rFonts w:ascii="Calibri" w:hAnsi="Calibri" w:cs="Calibri"/>
                <w:b/>
                <w:bCs/>
                <w:color w:val="000000"/>
                <w:sz w:val="20"/>
                <w:szCs w:val="20"/>
              </w:rPr>
              <w:t xml:space="preserve">I </w:t>
            </w:r>
            <w:proofErr w:type="spellStart"/>
            <w:r>
              <w:rPr>
                <w:rFonts w:ascii="Calibri" w:hAnsi="Calibri" w:cs="Calibri"/>
                <w:b/>
                <w:bCs/>
                <w:color w:val="000000"/>
                <w:sz w:val="20"/>
                <w:szCs w:val="20"/>
              </w:rPr>
              <w:t>sem</w:t>
            </w:r>
            <w:proofErr w:type="spellEnd"/>
            <w:r>
              <w:rPr>
                <w:rFonts w:ascii="Calibri" w:hAnsi="Calibri" w:cs="Calibri"/>
                <w:b/>
                <w:bCs/>
                <w:color w:val="000000"/>
                <w:sz w:val="20"/>
                <w:szCs w:val="20"/>
              </w:rPr>
              <w:t xml:space="preserve"> 2025</w:t>
            </w:r>
          </w:p>
        </w:tc>
        <w:tc>
          <w:tcPr>
            <w:tcW w:w="1134" w:type="dxa"/>
            <w:vMerge/>
            <w:tcBorders>
              <w:left w:val="nil"/>
              <w:bottom w:val="single" w:sz="4" w:space="0" w:color="000000"/>
              <w:right w:val="nil"/>
            </w:tcBorders>
            <w:vAlign w:val="center"/>
            <w:hideMark/>
          </w:tcPr>
          <w:p w14:paraId="19BF99AD" w14:textId="77777777" w:rsidR="004C235D" w:rsidRDefault="004C235D" w:rsidP="00A35AEF">
            <w:pPr>
              <w:rPr>
                <w:rFonts w:ascii="Calibri" w:hAnsi="Calibri" w:cs="Calibri"/>
                <w:b/>
                <w:bCs/>
                <w:color w:val="000000"/>
                <w:sz w:val="20"/>
                <w:szCs w:val="20"/>
              </w:rPr>
            </w:pPr>
          </w:p>
        </w:tc>
        <w:tc>
          <w:tcPr>
            <w:tcW w:w="741" w:type="dxa"/>
            <w:vMerge/>
            <w:tcBorders>
              <w:left w:val="nil"/>
              <w:bottom w:val="single" w:sz="4" w:space="0" w:color="000000"/>
              <w:right w:val="nil"/>
            </w:tcBorders>
            <w:vAlign w:val="center"/>
            <w:hideMark/>
          </w:tcPr>
          <w:p w14:paraId="66772F54" w14:textId="77777777" w:rsidR="004C235D" w:rsidRDefault="004C235D" w:rsidP="00A35AEF">
            <w:pPr>
              <w:rPr>
                <w:rFonts w:ascii="Calibri" w:hAnsi="Calibri" w:cs="Calibri"/>
                <w:b/>
                <w:bCs/>
                <w:color w:val="000000"/>
                <w:sz w:val="20"/>
                <w:szCs w:val="20"/>
              </w:rPr>
            </w:pPr>
          </w:p>
        </w:tc>
        <w:tc>
          <w:tcPr>
            <w:tcW w:w="1042" w:type="dxa"/>
            <w:vMerge/>
            <w:tcBorders>
              <w:left w:val="nil"/>
              <w:bottom w:val="single" w:sz="4" w:space="0" w:color="000000"/>
              <w:right w:val="nil"/>
            </w:tcBorders>
            <w:vAlign w:val="center"/>
            <w:hideMark/>
          </w:tcPr>
          <w:p w14:paraId="055F8D2D" w14:textId="77777777" w:rsidR="004C235D" w:rsidRDefault="004C235D" w:rsidP="00A35AEF">
            <w:pPr>
              <w:rPr>
                <w:rFonts w:ascii="Calibri" w:hAnsi="Calibri" w:cs="Calibri"/>
                <w:b/>
                <w:bCs/>
                <w:color w:val="000000"/>
                <w:sz w:val="20"/>
                <w:szCs w:val="20"/>
              </w:rPr>
            </w:pPr>
          </w:p>
        </w:tc>
        <w:tc>
          <w:tcPr>
            <w:tcW w:w="164" w:type="dxa"/>
            <w:tcBorders>
              <w:top w:val="nil"/>
              <w:left w:val="nil"/>
              <w:bottom w:val="nil"/>
              <w:right w:val="nil"/>
            </w:tcBorders>
            <w:noWrap/>
            <w:vAlign w:val="center"/>
            <w:hideMark/>
          </w:tcPr>
          <w:p w14:paraId="3DB79ACA" w14:textId="77777777" w:rsidR="004C235D" w:rsidRDefault="004C235D" w:rsidP="00A35AEF">
            <w:pPr>
              <w:jc w:val="center"/>
              <w:rPr>
                <w:rFonts w:ascii="Calibri" w:hAnsi="Calibri" w:cs="Calibri"/>
                <w:b/>
                <w:bCs/>
                <w:color w:val="000000"/>
                <w:sz w:val="20"/>
                <w:szCs w:val="20"/>
              </w:rPr>
            </w:pPr>
          </w:p>
        </w:tc>
      </w:tr>
      <w:tr w:rsidR="0022419F" w14:paraId="5B71CF47" w14:textId="77777777" w:rsidTr="004C235D">
        <w:trPr>
          <w:trHeight w:val="272"/>
        </w:trPr>
        <w:tc>
          <w:tcPr>
            <w:tcW w:w="1773" w:type="dxa"/>
            <w:tcBorders>
              <w:top w:val="nil"/>
              <w:left w:val="nil"/>
              <w:bottom w:val="nil"/>
              <w:right w:val="nil"/>
            </w:tcBorders>
            <w:noWrap/>
            <w:vAlign w:val="center"/>
            <w:hideMark/>
          </w:tcPr>
          <w:p w14:paraId="47B7EEF1"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Germania</w:t>
            </w:r>
          </w:p>
        </w:tc>
        <w:tc>
          <w:tcPr>
            <w:tcW w:w="1513" w:type="dxa"/>
            <w:tcBorders>
              <w:top w:val="nil"/>
              <w:left w:val="nil"/>
              <w:bottom w:val="nil"/>
              <w:right w:val="nil"/>
            </w:tcBorders>
            <w:noWrap/>
            <w:vAlign w:val="center"/>
            <w:hideMark/>
          </w:tcPr>
          <w:p w14:paraId="76565E54"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262.008.000</w:t>
            </w:r>
          </w:p>
        </w:tc>
        <w:tc>
          <w:tcPr>
            <w:tcW w:w="1605" w:type="dxa"/>
            <w:tcBorders>
              <w:top w:val="nil"/>
              <w:left w:val="nil"/>
              <w:bottom w:val="nil"/>
              <w:right w:val="nil"/>
            </w:tcBorders>
            <w:noWrap/>
            <w:vAlign w:val="center"/>
            <w:hideMark/>
          </w:tcPr>
          <w:p w14:paraId="6A6DA0FE"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224.059.785</w:t>
            </w:r>
          </w:p>
        </w:tc>
        <w:tc>
          <w:tcPr>
            <w:tcW w:w="1134" w:type="dxa"/>
            <w:tcBorders>
              <w:top w:val="nil"/>
              <w:left w:val="nil"/>
              <w:bottom w:val="nil"/>
              <w:right w:val="nil"/>
            </w:tcBorders>
            <w:noWrap/>
            <w:vAlign w:val="center"/>
            <w:hideMark/>
          </w:tcPr>
          <w:p w14:paraId="0AC62072" w14:textId="77777777" w:rsidR="0022419F" w:rsidRDefault="0022419F" w:rsidP="00A35AEF">
            <w:pPr>
              <w:jc w:val="center"/>
              <w:rPr>
                <w:rFonts w:ascii="Calibri" w:hAnsi="Calibri" w:cs="Calibri"/>
                <w:color w:val="000000"/>
                <w:sz w:val="20"/>
                <w:szCs w:val="20"/>
              </w:rPr>
            </w:pPr>
            <w:r>
              <w:rPr>
                <w:rFonts w:ascii="Calibri" w:hAnsi="Calibri" w:cs="Calibri"/>
                <w:color w:val="000000"/>
                <w:sz w:val="20"/>
                <w:szCs w:val="20"/>
              </w:rPr>
              <w:t>12,9%</w:t>
            </w:r>
          </w:p>
        </w:tc>
        <w:tc>
          <w:tcPr>
            <w:tcW w:w="741" w:type="dxa"/>
            <w:tcBorders>
              <w:top w:val="nil"/>
              <w:left w:val="nil"/>
              <w:bottom w:val="nil"/>
              <w:right w:val="nil"/>
            </w:tcBorders>
            <w:noWrap/>
            <w:vAlign w:val="center"/>
            <w:hideMark/>
          </w:tcPr>
          <w:p w14:paraId="6DD765AA" w14:textId="77777777" w:rsidR="0022419F" w:rsidRDefault="0022419F" w:rsidP="00A35AEF">
            <w:pPr>
              <w:jc w:val="center"/>
              <w:rPr>
                <w:rFonts w:ascii="Calibri" w:hAnsi="Calibri" w:cs="Calibri"/>
                <w:color w:val="000000"/>
                <w:sz w:val="20"/>
                <w:szCs w:val="20"/>
              </w:rPr>
            </w:pPr>
            <w:r>
              <w:rPr>
                <w:rFonts w:ascii="Calibri" w:hAnsi="Calibri" w:cs="Calibri"/>
                <w:color w:val="000000"/>
                <w:sz w:val="20"/>
                <w:szCs w:val="20"/>
              </w:rPr>
              <w:t>-14,5%</w:t>
            </w:r>
          </w:p>
        </w:tc>
        <w:tc>
          <w:tcPr>
            <w:tcW w:w="1289" w:type="dxa"/>
            <w:gridSpan w:val="4"/>
            <w:tcBorders>
              <w:top w:val="nil"/>
              <w:left w:val="nil"/>
              <w:bottom w:val="nil"/>
              <w:right w:val="nil"/>
            </w:tcBorders>
            <w:noWrap/>
            <w:vAlign w:val="center"/>
            <w:hideMark/>
          </w:tcPr>
          <w:p w14:paraId="7B642A0F" w14:textId="77777777" w:rsidR="0022419F" w:rsidRDefault="0022419F" w:rsidP="00A35AEF">
            <w:pPr>
              <w:jc w:val="center"/>
              <w:rPr>
                <w:rFonts w:ascii="Calibri" w:hAnsi="Calibri" w:cs="Calibri"/>
                <w:i/>
                <w:iCs/>
                <w:color w:val="000000"/>
                <w:sz w:val="20"/>
                <w:szCs w:val="20"/>
              </w:rPr>
            </w:pPr>
            <w:r>
              <w:rPr>
                <w:rFonts w:ascii="Calibri" w:hAnsi="Calibri" w:cs="Calibri"/>
                <w:i/>
                <w:iCs/>
                <w:color w:val="000000"/>
                <w:sz w:val="20"/>
                <w:szCs w:val="20"/>
              </w:rPr>
              <w:t>-2,1%</w:t>
            </w:r>
          </w:p>
        </w:tc>
        <w:tc>
          <w:tcPr>
            <w:tcW w:w="164" w:type="dxa"/>
            <w:gridSpan w:val="2"/>
            <w:tcBorders>
              <w:top w:val="nil"/>
              <w:left w:val="nil"/>
              <w:bottom w:val="nil"/>
              <w:right w:val="nil"/>
            </w:tcBorders>
            <w:noWrap/>
            <w:vAlign w:val="center"/>
            <w:hideMark/>
          </w:tcPr>
          <w:p w14:paraId="4CAE72AA" w14:textId="77777777" w:rsidR="0022419F" w:rsidRDefault="0022419F" w:rsidP="00A35AEF">
            <w:pPr>
              <w:jc w:val="center"/>
              <w:rPr>
                <w:rFonts w:ascii="Calibri" w:hAnsi="Calibri" w:cs="Calibri"/>
                <w:i/>
                <w:iCs/>
                <w:color w:val="000000"/>
                <w:sz w:val="20"/>
                <w:szCs w:val="20"/>
              </w:rPr>
            </w:pPr>
          </w:p>
        </w:tc>
      </w:tr>
      <w:tr w:rsidR="0022419F" w14:paraId="40F3C308" w14:textId="77777777" w:rsidTr="004C235D">
        <w:trPr>
          <w:trHeight w:val="272"/>
        </w:trPr>
        <w:tc>
          <w:tcPr>
            <w:tcW w:w="1773" w:type="dxa"/>
            <w:tcBorders>
              <w:top w:val="nil"/>
              <w:left w:val="nil"/>
              <w:bottom w:val="nil"/>
              <w:right w:val="nil"/>
            </w:tcBorders>
            <w:noWrap/>
            <w:vAlign w:val="center"/>
            <w:hideMark/>
          </w:tcPr>
          <w:p w14:paraId="3829C9BC"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Francia</w:t>
            </w:r>
          </w:p>
        </w:tc>
        <w:tc>
          <w:tcPr>
            <w:tcW w:w="1513" w:type="dxa"/>
            <w:tcBorders>
              <w:top w:val="nil"/>
              <w:left w:val="nil"/>
              <w:bottom w:val="nil"/>
              <w:right w:val="nil"/>
            </w:tcBorders>
            <w:noWrap/>
            <w:vAlign w:val="center"/>
            <w:hideMark/>
          </w:tcPr>
          <w:p w14:paraId="362CFD33"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230.420.989</w:t>
            </w:r>
          </w:p>
        </w:tc>
        <w:tc>
          <w:tcPr>
            <w:tcW w:w="1605" w:type="dxa"/>
            <w:tcBorders>
              <w:top w:val="nil"/>
              <w:left w:val="nil"/>
              <w:bottom w:val="nil"/>
              <w:right w:val="nil"/>
            </w:tcBorders>
            <w:noWrap/>
            <w:vAlign w:val="center"/>
            <w:hideMark/>
          </w:tcPr>
          <w:p w14:paraId="76FA6770"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207.671.943</w:t>
            </w:r>
          </w:p>
        </w:tc>
        <w:tc>
          <w:tcPr>
            <w:tcW w:w="1134" w:type="dxa"/>
            <w:tcBorders>
              <w:top w:val="nil"/>
              <w:left w:val="nil"/>
              <w:bottom w:val="nil"/>
              <w:right w:val="nil"/>
            </w:tcBorders>
            <w:noWrap/>
            <w:vAlign w:val="center"/>
            <w:hideMark/>
          </w:tcPr>
          <w:p w14:paraId="7F5F32B0" w14:textId="77777777" w:rsidR="0022419F" w:rsidRDefault="0022419F" w:rsidP="00A35AEF">
            <w:pPr>
              <w:jc w:val="center"/>
              <w:rPr>
                <w:rFonts w:ascii="Calibri" w:hAnsi="Calibri" w:cs="Calibri"/>
                <w:color w:val="000000"/>
                <w:sz w:val="20"/>
                <w:szCs w:val="20"/>
              </w:rPr>
            </w:pPr>
            <w:r>
              <w:rPr>
                <w:rFonts w:ascii="Calibri" w:hAnsi="Calibri" w:cs="Calibri"/>
                <w:color w:val="000000"/>
                <w:sz w:val="20"/>
                <w:szCs w:val="20"/>
              </w:rPr>
              <w:t>11,9%</w:t>
            </w:r>
          </w:p>
        </w:tc>
        <w:tc>
          <w:tcPr>
            <w:tcW w:w="741" w:type="dxa"/>
            <w:tcBorders>
              <w:top w:val="nil"/>
              <w:left w:val="nil"/>
              <w:bottom w:val="nil"/>
              <w:right w:val="nil"/>
            </w:tcBorders>
            <w:noWrap/>
            <w:vAlign w:val="center"/>
            <w:hideMark/>
          </w:tcPr>
          <w:p w14:paraId="022885A6" w14:textId="77777777" w:rsidR="0022419F" w:rsidRDefault="0022419F" w:rsidP="00A35AEF">
            <w:pPr>
              <w:jc w:val="center"/>
              <w:rPr>
                <w:rFonts w:ascii="Calibri" w:hAnsi="Calibri" w:cs="Calibri"/>
                <w:color w:val="000000"/>
                <w:sz w:val="20"/>
                <w:szCs w:val="20"/>
              </w:rPr>
            </w:pPr>
            <w:r>
              <w:rPr>
                <w:rFonts w:ascii="Calibri" w:hAnsi="Calibri" w:cs="Calibri"/>
                <w:color w:val="000000"/>
                <w:sz w:val="20"/>
                <w:szCs w:val="20"/>
              </w:rPr>
              <w:t>-9,9%</w:t>
            </w:r>
          </w:p>
        </w:tc>
        <w:tc>
          <w:tcPr>
            <w:tcW w:w="1289" w:type="dxa"/>
            <w:gridSpan w:val="4"/>
            <w:tcBorders>
              <w:top w:val="nil"/>
              <w:left w:val="nil"/>
              <w:bottom w:val="nil"/>
              <w:right w:val="nil"/>
            </w:tcBorders>
            <w:noWrap/>
            <w:vAlign w:val="center"/>
            <w:hideMark/>
          </w:tcPr>
          <w:p w14:paraId="679BE095" w14:textId="77777777" w:rsidR="0022419F" w:rsidRDefault="0022419F" w:rsidP="00A35AEF">
            <w:pPr>
              <w:jc w:val="center"/>
              <w:rPr>
                <w:rFonts w:ascii="Calibri" w:hAnsi="Calibri" w:cs="Calibri"/>
                <w:i/>
                <w:iCs/>
                <w:color w:val="000000"/>
                <w:sz w:val="20"/>
                <w:szCs w:val="20"/>
              </w:rPr>
            </w:pPr>
            <w:r>
              <w:rPr>
                <w:rFonts w:ascii="Calibri" w:hAnsi="Calibri" w:cs="Calibri"/>
                <w:i/>
                <w:iCs/>
                <w:color w:val="000000"/>
                <w:sz w:val="20"/>
                <w:szCs w:val="20"/>
              </w:rPr>
              <w:t>-1,3%</w:t>
            </w:r>
          </w:p>
        </w:tc>
        <w:tc>
          <w:tcPr>
            <w:tcW w:w="164" w:type="dxa"/>
            <w:gridSpan w:val="2"/>
            <w:tcBorders>
              <w:top w:val="nil"/>
              <w:left w:val="nil"/>
              <w:bottom w:val="nil"/>
              <w:right w:val="nil"/>
            </w:tcBorders>
            <w:noWrap/>
            <w:vAlign w:val="center"/>
            <w:hideMark/>
          </w:tcPr>
          <w:p w14:paraId="6203A592" w14:textId="77777777" w:rsidR="0022419F" w:rsidRDefault="0022419F" w:rsidP="00A35AEF">
            <w:pPr>
              <w:jc w:val="center"/>
              <w:rPr>
                <w:rFonts w:ascii="Calibri" w:hAnsi="Calibri" w:cs="Calibri"/>
                <w:i/>
                <w:iCs/>
                <w:color w:val="000000"/>
                <w:sz w:val="20"/>
                <w:szCs w:val="20"/>
              </w:rPr>
            </w:pPr>
          </w:p>
        </w:tc>
      </w:tr>
      <w:tr w:rsidR="0022419F" w14:paraId="4F4AEBD3" w14:textId="77777777" w:rsidTr="004C235D">
        <w:trPr>
          <w:trHeight w:val="272"/>
        </w:trPr>
        <w:tc>
          <w:tcPr>
            <w:tcW w:w="1773" w:type="dxa"/>
            <w:tcBorders>
              <w:top w:val="nil"/>
              <w:left w:val="nil"/>
              <w:bottom w:val="nil"/>
              <w:right w:val="nil"/>
            </w:tcBorders>
            <w:noWrap/>
            <w:vAlign w:val="center"/>
            <w:hideMark/>
          </w:tcPr>
          <w:p w14:paraId="628DE072"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Austria</w:t>
            </w:r>
          </w:p>
        </w:tc>
        <w:tc>
          <w:tcPr>
            <w:tcW w:w="1513" w:type="dxa"/>
            <w:tcBorders>
              <w:top w:val="nil"/>
              <w:left w:val="nil"/>
              <w:bottom w:val="nil"/>
              <w:right w:val="nil"/>
            </w:tcBorders>
            <w:noWrap/>
            <w:vAlign w:val="center"/>
            <w:hideMark/>
          </w:tcPr>
          <w:p w14:paraId="77E86DBF"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126.507.854</w:t>
            </w:r>
          </w:p>
        </w:tc>
        <w:tc>
          <w:tcPr>
            <w:tcW w:w="1605" w:type="dxa"/>
            <w:tcBorders>
              <w:top w:val="nil"/>
              <w:left w:val="nil"/>
              <w:bottom w:val="nil"/>
              <w:right w:val="nil"/>
            </w:tcBorders>
            <w:noWrap/>
            <w:vAlign w:val="center"/>
            <w:hideMark/>
          </w:tcPr>
          <w:p w14:paraId="2AC72DA7"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161.115.548</w:t>
            </w:r>
          </w:p>
        </w:tc>
        <w:tc>
          <w:tcPr>
            <w:tcW w:w="1134" w:type="dxa"/>
            <w:tcBorders>
              <w:top w:val="nil"/>
              <w:left w:val="nil"/>
              <w:bottom w:val="nil"/>
              <w:right w:val="nil"/>
            </w:tcBorders>
            <w:noWrap/>
            <w:vAlign w:val="center"/>
            <w:hideMark/>
          </w:tcPr>
          <w:p w14:paraId="362F1D7C" w14:textId="77777777" w:rsidR="0022419F" w:rsidRDefault="0022419F" w:rsidP="00A35AEF">
            <w:pPr>
              <w:jc w:val="center"/>
              <w:rPr>
                <w:rFonts w:ascii="Calibri" w:hAnsi="Calibri" w:cs="Calibri"/>
                <w:color w:val="000000"/>
                <w:sz w:val="20"/>
                <w:szCs w:val="20"/>
              </w:rPr>
            </w:pPr>
            <w:r>
              <w:rPr>
                <w:rFonts w:ascii="Calibri" w:hAnsi="Calibri" w:cs="Calibri"/>
                <w:color w:val="000000"/>
                <w:sz w:val="20"/>
                <w:szCs w:val="20"/>
              </w:rPr>
              <w:t>9,3%</w:t>
            </w:r>
          </w:p>
        </w:tc>
        <w:tc>
          <w:tcPr>
            <w:tcW w:w="741" w:type="dxa"/>
            <w:tcBorders>
              <w:top w:val="nil"/>
              <w:left w:val="nil"/>
              <w:bottom w:val="nil"/>
              <w:right w:val="nil"/>
            </w:tcBorders>
            <w:noWrap/>
            <w:vAlign w:val="center"/>
            <w:hideMark/>
          </w:tcPr>
          <w:p w14:paraId="488AF244" w14:textId="77777777" w:rsidR="0022419F" w:rsidRDefault="0022419F" w:rsidP="00A35AEF">
            <w:pPr>
              <w:jc w:val="center"/>
              <w:rPr>
                <w:rFonts w:ascii="Calibri" w:hAnsi="Calibri" w:cs="Calibri"/>
                <w:color w:val="000000"/>
                <w:sz w:val="20"/>
                <w:szCs w:val="20"/>
              </w:rPr>
            </w:pPr>
            <w:r>
              <w:rPr>
                <w:rFonts w:ascii="Calibri" w:hAnsi="Calibri" w:cs="Calibri"/>
                <w:color w:val="000000"/>
                <w:sz w:val="20"/>
                <w:szCs w:val="20"/>
              </w:rPr>
              <w:t>27,4%</w:t>
            </w:r>
          </w:p>
        </w:tc>
        <w:tc>
          <w:tcPr>
            <w:tcW w:w="1289" w:type="dxa"/>
            <w:gridSpan w:val="4"/>
            <w:tcBorders>
              <w:top w:val="nil"/>
              <w:left w:val="nil"/>
              <w:bottom w:val="nil"/>
              <w:right w:val="nil"/>
            </w:tcBorders>
            <w:noWrap/>
            <w:vAlign w:val="center"/>
            <w:hideMark/>
          </w:tcPr>
          <w:p w14:paraId="157CFAD7" w14:textId="77777777" w:rsidR="0022419F" w:rsidRDefault="0022419F" w:rsidP="00A35AEF">
            <w:pPr>
              <w:jc w:val="center"/>
              <w:rPr>
                <w:rFonts w:ascii="Calibri" w:hAnsi="Calibri" w:cs="Calibri"/>
                <w:i/>
                <w:iCs/>
                <w:color w:val="000000"/>
                <w:sz w:val="20"/>
                <w:szCs w:val="20"/>
              </w:rPr>
            </w:pPr>
            <w:r>
              <w:rPr>
                <w:rFonts w:ascii="Calibri" w:hAnsi="Calibri" w:cs="Calibri"/>
                <w:i/>
                <w:iCs/>
                <w:color w:val="000000"/>
                <w:sz w:val="20"/>
                <w:szCs w:val="20"/>
              </w:rPr>
              <w:t>1,9%</w:t>
            </w:r>
          </w:p>
        </w:tc>
        <w:tc>
          <w:tcPr>
            <w:tcW w:w="164" w:type="dxa"/>
            <w:gridSpan w:val="2"/>
            <w:tcBorders>
              <w:top w:val="nil"/>
              <w:left w:val="nil"/>
              <w:bottom w:val="nil"/>
              <w:right w:val="nil"/>
            </w:tcBorders>
            <w:noWrap/>
            <w:vAlign w:val="center"/>
            <w:hideMark/>
          </w:tcPr>
          <w:p w14:paraId="76AFBF4D" w14:textId="77777777" w:rsidR="0022419F" w:rsidRDefault="0022419F" w:rsidP="00A35AEF">
            <w:pPr>
              <w:jc w:val="center"/>
              <w:rPr>
                <w:rFonts w:ascii="Calibri" w:hAnsi="Calibri" w:cs="Calibri"/>
                <w:i/>
                <w:iCs/>
                <w:color w:val="000000"/>
                <w:sz w:val="20"/>
                <w:szCs w:val="20"/>
              </w:rPr>
            </w:pPr>
          </w:p>
        </w:tc>
      </w:tr>
      <w:tr w:rsidR="0022419F" w14:paraId="0A87BA08" w14:textId="77777777" w:rsidTr="004C235D">
        <w:trPr>
          <w:trHeight w:val="272"/>
        </w:trPr>
        <w:tc>
          <w:tcPr>
            <w:tcW w:w="1773" w:type="dxa"/>
            <w:tcBorders>
              <w:top w:val="nil"/>
              <w:left w:val="nil"/>
              <w:bottom w:val="nil"/>
              <w:right w:val="nil"/>
            </w:tcBorders>
            <w:noWrap/>
            <w:vAlign w:val="center"/>
            <w:hideMark/>
          </w:tcPr>
          <w:p w14:paraId="0845EB6D"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Spagna</w:t>
            </w:r>
          </w:p>
        </w:tc>
        <w:tc>
          <w:tcPr>
            <w:tcW w:w="1513" w:type="dxa"/>
            <w:tcBorders>
              <w:top w:val="nil"/>
              <w:left w:val="nil"/>
              <w:bottom w:val="nil"/>
              <w:right w:val="nil"/>
            </w:tcBorders>
            <w:noWrap/>
            <w:vAlign w:val="center"/>
            <w:hideMark/>
          </w:tcPr>
          <w:p w14:paraId="7D656C0B"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178.641.931</w:t>
            </w:r>
          </w:p>
        </w:tc>
        <w:tc>
          <w:tcPr>
            <w:tcW w:w="1605" w:type="dxa"/>
            <w:tcBorders>
              <w:top w:val="nil"/>
              <w:left w:val="nil"/>
              <w:bottom w:val="nil"/>
              <w:right w:val="nil"/>
            </w:tcBorders>
            <w:noWrap/>
            <w:vAlign w:val="center"/>
            <w:hideMark/>
          </w:tcPr>
          <w:p w14:paraId="36EECBB9"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155.393.148</w:t>
            </w:r>
          </w:p>
        </w:tc>
        <w:tc>
          <w:tcPr>
            <w:tcW w:w="1134" w:type="dxa"/>
            <w:tcBorders>
              <w:top w:val="nil"/>
              <w:left w:val="nil"/>
              <w:bottom w:val="nil"/>
              <w:right w:val="nil"/>
            </w:tcBorders>
            <w:noWrap/>
            <w:vAlign w:val="center"/>
            <w:hideMark/>
          </w:tcPr>
          <w:p w14:paraId="020A3713" w14:textId="77777777" w:rsidR="0022419F" w:rsidRDefault="0022419F" w:rsidP="00A35AEF">
            <w:pPr>
              <w:jc w:val="center"/>
              <w:rPr>
                <w:rFonts w:ascii="Calibri" w:hAnsi="Calibri" w:cs="Calibri"/>
                <w:color w:val="000000"/>
                <w:sz w:val="20"/>
                <w:szCs w:val="20"/>
              </w:rPr>
            </w:pPr>
            <w:r>
              <w:rPr>
                <w:rFonts w:ascii="Calibri" w:hAnsi="Calibri" w:cs="Calibri"/>
                <w:color w:val="000000"/>
                <w:sz w:val="20"/>
                <w:szCs w:val="20"/>
              </w:rPr>
              <w:t>8,9%</w:t>
            </w:r>
          </w:p>
        </w:tc>
        <w:tc>
          <w:tcPr>
            <w:tcW w:w="741" w:type="dxa"/>
            <w:tcBorders>
              <w:top w:val="nil"/>
              <w:left w:val="nil"/>
              <w:bottom w:val="nil"/>
              <w:right w:val="nil"/>
            </w:tcBorders>
            <w:noWrap/>
            <w:vAlign w:val="center"/>
            <w:hideMark/>
          </w:tcPr>
          <w:p w14:paraId="5CEF9696" w14:textId="77777777" w:rsidR="0022419F" w:rsidRDefault="0022419F" w:rsidP="00A35AEF">
            <w:pPr>
              <w:jc w:val="center"/>
              <w:rPr>
                <w:rFonts w:ascii="Calibri" w:hAnsi="Calibri" w:cs="Calibri"/>
                <w:color w:val="000000"/>
                <w:sz w:val="20"/>
                <w:szCs w:val="20"/>
              </w:rPr>
            </w:pPr>
            <w:r>
              <w:rPr>
                <w:rFonts w:ascii="Calibri" w:hAnsi="Calibri" w:cs="Calibri"/>
                <w:color w:val="000000"/>
                <w:sz w:val="20"/>
                <w:szCs w:val="20"/>
              </w:rPr>
              <w:t>-13,0%</w:t>
            </w:r>
          </w:p>
        </w:tc>
        <w:tc>
          <w:tcPr>
            <w:tcW w:w="1289" w:type="dxa"/>
            <w:gridSpan w:val="4"/>
            <w:tcBorders>
              <w:top w:val="nil"/>
              <w:left w:val="nil"/>
              <w:bottom w:val="nil"/>
              <w:right w:val="nil"/>
            </w:tcBorders>
            <w:noWrap/>
            <w:vAlign w:val="center"/>
            <w:hideMark/>
          </w:tcPr>
          <w:p w14:paraId="6E70EBA8" w14:textId="77777777" w:rsidR="0022419F" w:rsidRDefault="0022419F" w:rsidP="00A35AEF">
            <w:pPr>
              <w:jc w:val="center"/>
              <w:rPr>
                <w:rFonts w:ascii="Calibri" w:hAnsi="Calibri" w:cs="Calibri"/>
                <w:i/>
                <w:iCs/>
                <w:color w:val="000000"/>
                <w:sz w:val="20"/>
                <w:szCs w:val="20"/>
              </w:rPr>
            </w:pPr>
            <w:r>
              <w:rPr>
                <w:rFonts w:ascii="Calibri" w:hAnsi="Calibri" w:cs="Calibri"/>
                <w:i/>
                <w:iCs/>
                <w:color w:val="000000"/>
                <w:sz w:val="20"/>
                <w:szCs w:val="20"/>
              </w:rPr>
              <w:t>-1,3%</w:t>
            </w:r>
          </w:p>
        </w:tc>
        <w:tc>
          <w:tcPr>
            <w:tcW w:w="164" w:type="dxa"/>
            <w:gridSpan w:val="2"/>
            <w:tcBorders>
              <w:top w:val="nil"/>
              <w:left w:val="nil"/>
              <w:bottom w:val="nil"/>
              <w:right w:val="nil"/>
            </w:tcBorders>
            <w:noWrap/>
            <w:vAlign w:val="center"/>
            <w:hideMark/>
          </w:tcPr>
          <w:p w14:paraId="7D0D83D7" w14:textId="77777777" w:rsidR="0022419F" w:rsidRDefault="0022419F" w:rsidP="00A35AEF">
            <w:pPr>
              <w:jc w:val="center"/>
              <w:rPr>
                <w:rFonts w:ascii="Calibri" w:hAnsi="Calibri" w:cs="Calibri"/>
                <w:i/>
                <w:iCs/>
                <w:color w:val="000000"/>
                <w:sz w:val="20"/>
                <w:szCs w:val="20"/>
              </w:rPr>
            </w:pPr>
          </w:p>
        </w:tc>
      </w:tr>
      <w:tr w:rsidR="0022419F" w14:paraId="7A1CF57C" w14:textId="77777777" w:rsidTr="004C235D">
        <w:trPr>
          <w:trHeight w:val="272"/>
        </w:trPr>
        <w:tc>
          <w:tcPr>
            <w:tcW w:w="1773" w:type="dxa"/>
            <w:tcBorders>
              <w:top w:val="nil"/>
              <w:left w:val="nil"/>
              <w:bottom w:val="nil"/>
              <w:right w:val="nil"/>
            </w:tcBorders>
            <w:noWrap/>
            <w:vAlign w:val="center"/>
            <w:hideMark/>
          </w:tcPr>
          <w:p w14:paraId="13F8802D"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Stati Uniti</w:t>
            </w:r>
          </w:p>
        </w:tc>
        <w:tc>
          <w:tcPr>
            <w:tcW w:w="1513" w:type="dxa"/>
            <w:tcBorders>
              <w:top w:val="nil"/>
              <w:left w:val="nil"/>
              <w:bottom w:val="nil"/>
              <w:right w:val="nil"/>
            </w:tcBorders>
            <w:noWrap/>
            <w:vAlign w:val="center"/>
            <w:hideMark/>
          </w:tcPr>
          <w:p w14:paraId="3F5A0BD3"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173.882.956</w:t>
            </w:r>
          </w:p>
        </w:tc>
        <w:tc>
          <w:tcPr>
            <w:tcW w:w="1605" w:type="dxa"/>
            <w:tcBorders>
              <w:top w:val="nil"/>
              <w:left w:val="nil"/>
              <w:bottom w:val="nil"/>
              <w:right w:val="nil"/>
            </w:tcBorders>
            <w:noWrap/>
            <w:vAlign w:val="center"/>
            <w:hideMark/>
          </w:tcPr>
          <w:p w14:paraId="7C847072"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124.206.919</w:t>
            </w:r>
          </w:p>
        </w:tc>
        <w:tc>
          <w:tcPr>
            <w:tcW w:w="1134" w:type="dxa"/>
            <w:tcBorders>
              <w:top w:val="nil"/>
              <w:left w:val="nil"/>
              <w:bottom w:val="nil"/>
              <w:right w:val="nil"/>
            </w:tcBorders>
            <w:noWrap/>
            <w:vAlign w:val="center"/>
            <w:hideMark/>
          </w:tcPr>
          <w:p w14:paraId="7FDABA99" w14:textId="77777777" w:rsidR="0022419F" w:rsidRDefault="0022419F" w:rsidP="00A35AEF">
            <w:pPr>
              <w:jc w:val="center"/>
              <w:rPr>
                <w:rFonts w:ascii="Calibri" w:hAnsi="Calibri" w:cs="Calibri"/>
                <w:color w:val="000000"/>
                <w:sz w:val="20"/>
                <w:szCs w:val="20"/>
              </w:rPr>
            </w:pPr>
            <w:r>
              <w:rPr>
                <w:rFonts w:ascii="Calibri" w:hAnsi="Calibri" w:cs="Calibri"/>
                <w:color w:val="000000"/>
                <w:sz w:val="20"/>
                <w:szCs w:val="20"/>
              </w:rPr>
              <w:t>7,1%</w:t>
            </w:r>
          </w:p>
        </w:tc>
        <w:tc>
          <w:tcPr>
            <w:tcW w:w="741" w:type="dxa"/>
            <w:tcBorders>
              <w:top w:val="nil"/>
              <w:left w:val="nil"/>
              <w:bottom w:val="nil"/>
              <w:right w:val="nil"/>
            </w:tcBorders>
            <w:noWrap/>
            <w:vAlign w:val="center"/>
            <w:hideMark/>
          </w:tcPr>
          <w:p w14:paraId="05358316" w14:textId="77777777" w:rsidR="0022419F" w:rsidRDefault="0022419F" w:rsidP="00A35AEF">
            <w:pPr>
              <w:jc w:val="center"/>
              <w:rPr>
                <w:rFonts w:ascii="Calibri" w:hAnsi="Calibri" w:cs="Calibri"/>
                <w:color w:val="000000"/>
                <w:sz w:val="20"/>
                <w:szCs w:val="20"/>
              </w:rPr>
            </w:pPr>
            <w:r>
              <w:rPr>
                <w:rFonts w:ascii="Calibri" w:hAnsi="Calibri" w:cs="Calibri"/>
                <w:color w:val="000000"/>
                <w:sz w:val="20"/>
                <w:szCs w:val="20"/>
              </w:rPr>
              <w:t>-28,6%</w:t>
            </w:r>
          </w:p>
        </w:tc>
        <w:tc>
          <w:tcPr>
            <w:tcW w:w="1289" w:type="dxa"/>
            <w:gridSpan w:val="4"/>
            <w:tcBorders>
              <w:top w:val="nil"/>
              <w:left w:val="nil"/>
              <w:bottom w:val="nil"/>
              <w:right w:val="nil"/>
            </w:tcBorders>
            <w:noWrap/>
            <w:vAlign w:val="center"/>
            <w:hideMark/>
          </w:tcPr>
          <w:p w14:paraId="70F28E13" w14:textId="77777777" w:rsidR="0022419F" w:rsidRDefault="0022419F" w:rsidP="00A35AEF">
            <w:pPr>
              <w:jc w:val="center"/>
              <w:rPr>
                <w:rFonts w:ascii="Calibri" w:hAnsi="Calibri" w:cs="Calibri"/>
                <w:i/>
                <w:iCs/>
                <w:color w:val="000000"/>
                <w:sz w:val="20"/>
                <w:szCs w:val="20"/>
              </w:rPr>
            </w:pPr>
            <w:r>
              <w:rPr>
                <w:rFonts w:ascii="Calibri" w:hAnsi="Calibri" w:cs="Calibri"/>
                <w:i/>
                <w:iCs/>
                <w:color w:val="000000"/>
                <w:sz w:val="20"/>
                <w:szCs w:val="20"/>
              </w:rPr>
              <w:t>-2,7%</w:t>
            </w:r>
          </w:p>
        </w:tc>
        <w:tc>
          <w:tcPr>
            <w:tcW w:w="164" w:type="dxa"/>
            <w:gridSpan w:val="2"/>
            <w:tcBorders>
              <w:top w:val="nil"/>
              <w:left w:val="nil"/>
              <w:bottom w:val="nil"/>
              <w:right w:val="nil"/>
            </w:tcBorders>
            <w:noWrap/>
            <w:vAlign w:val="center"/>
            <w:hideMark/>
          </w:tcPr>
          <w:p w14:paraId="244159C1" w14:textId="77777777" w:rsidR="0022419F" w:rsidRDefault="0022419F" w:rsidP="00A35AEF">
            <w:pPr>
              <w:jc w:val="center"/>
              <w:rPr>
                <w:rFonts w:ascii="Calibri" w:hAnsi="Calibri" w:cs="Calibri"/>
                <w:i/>
                <w:iCs/>
                <w:color w:val="000000"/>
                <w:sz w:val="20"/>
                <w:szCs w:val="20"/>
              </w:rPr>
            </w:pPr>
          </w:p>
        </w:tc>
      </w:tr>
      <w:tr w:rsidR="0022419F" w14:paraId="14A34546" w14:textId="77777777" w:rsidTr="004C235D">
        <w:trPr>
          <w:trHeight w:val="272"/>
        </w:trPr>
        <w:tc>
          <w:tcPr>
            <w:tcW w:w="1773" w:type="dxa"/>
            <w:tcBorders>
              <w:top w:val="nil"/>
              <w:left w:val="nil"/>
              <w:bottom w:val="nil"/>
              <w:right w:val="nil"/>
            </w:tcBorders>
            <w:noWrap/>
            <w:vAlign w:val="center"/>
            <w:hideMark/>
          </w:tcPr>
          <w:p w14:paraId="440294FA"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Regno Unito</w:t>
            </w:r>
          </w:p>
        </w:tc>
        <w:tc>
          <w:tcPr>
            <w:tcW w:w="1513" w:type="dxa"/>
            <w:tcBorders>
              <w:top w:val="nil"/>
              <w:left w:val="nil"/>
              <w:bottom w:val="nil"/>
              <w:right w:val="nil"/>
            </w:tcBorders>
            <w:noWrap/>
            <w:vAlign w:val="center"/>
            <w:hideMark/>
          </w:tcPr>
          <w:p w14:paraId="321A0945"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54.318.086</w:t>
            </w:r>
          </w:p>
        </w:tc>
        <w:tc>
          <w:tcPr>
            <w:tcW w:w="1605" w:type="dxa"/>
            <w:tcBorders>
              <w:top w:val="nil"/>
              <w:left w:val="nil"/>
              <w:bottom w:val="nil"/>
              <w:right w:val="nil"/>
            </w:tcBorders>
            <w:noWrap/>
            <w:vAlign w:val="center"/>
            <w:hideMark/>
          </w:tcPr>
          <w:p w14:paraId="2BE27CBA"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64.748.560</w:t>
            </w:r>
          </w:p>
        </w:tc>
        <w:tc>
          <w:tcPr>
            <w:tcW w:w="1134" w:type="dxa"/>
            <w:tcBorders>
              <w:top w:val="nil"/>
              <w:left w:val="nil"/>
              <w:bottom w:val="nil"/>
              <w:right w:val="nil"/>
            </w:tcBorders>
            <w:noWrap/>
            <w:vAlign w:val="center"/>
            <w:hideMark/>
          </w:tcPr>
          <w:p w14:paraId="2AD7AB30" w14:textId="77777777" w:rsidR="0022419F" w:rsidRDefault="0022419F" w:rsidP="00A35AEF">
            <w:pPr>
              <w:jc w:val="center"/>
              <w:rPr>
                <w:rFonts w:ascii="Calibri" w:hAnsi="Calibri" w:cs="Calibri"/>
                <w:color w:val="000000"/>
                <w:sz w:val="20"/>
                <w:szCs w:val="20"/>
              </w:rPr>
            </w:pPr>
            <w:r>
              <w:rPr>
                <w:rFonts w:ascii="Calibri" w:hAnsi="Calibri" w:cs="Calibri"/>
                <w:color w:val="000000"/>
                <w:sz w:val="20"/>
                <w:szCs w:val="20"/>
              </w:rPr>
              <w:t>3,7%</w:t>
            </w:r>
          </w:p>
        </w:tc>
        <w:tc>
          <w:tcPr>
            <w:tcW w:w="741" w:type="dxa"/>
            <w:tcBorders>
              <w:top w:val="nil"/>
              <w:left w:val="nil"/>
              <w:bottom w:val="nil"/>
              <w:right w:val="nil"/>
            </w:tcBorders>
            <w:noWrap/>
            <w:vAlign w:val="center"/>
            <w:hideMark/>
          </w:tcPr>
          <w:p w14:paraId="2ECF0C15" w14:textId="77777777" w:rsidR="0022419F" w:rsidRDefault="0022419F" w:rsidP="00A35AEF">
            <w:pPr>
              <w:jc w:val="center"/>
              <w:rPr>
                <w:rFonts w:ascii="Calibri" w:hAnsi="Calibri" w:cs="Calibri"/>
                <w:color w:val="000000"/>
                <w:sz w:val="20"/>
                <w:szCs w:val="20"/>
              </w:rPr>
            </w:pPr>
            <w:r>
              <w:rPr>
                <w:rFonts w:ascii="Calibri" w:hAnsi="Calibri" w:cs="Calibri"/>
                <w:color w:val="000000"/>
                <w:sz w:val="20"/>
                <w:szCs w:val="20"/>
              </w:rPr>
              <w:t>19,2%</w:t>
            </w:r>
          </w:p>
        </w:tc>
        <w:tc>
          <w:tcPr>
            <w:tcW w:w="1289" w:type="dxa"/>
            <w:gridSpan w:val="4"/>
            <w:tcBorders>
              <w:top w:val="nil"/>
              <w:left w:val="nil"/>
              <w:bottom w:val="nil"/>
              <w:right w:val="nil"/>
            </w:tcBorders>
            <w:noWrap/>
            <w:vAlign w:val="center"/>
            <w:hideMark/>
          </w:tcPr>
          <w:p w14:paraId="580F4B95" w14:textId="77777777" w:rsidR="0022419F" w:rsidRDefault="0022419F" w:rsidP="00A35AEF">
            <w:pPr>
              <w:jc w:val="center"/>
              <w:rPr>
                <w:rFonts w:ascii="Calibri" w:hAnsi="Calibri" w:cs="Calibri"/>
                <w:i/>
                <w:iCs/>
                <w:color w:val="000000"/>
                <w:sz w:val="20"/>
                <w:szCs w:val="20"/>
              </w:rPr>
            </w:pPr>
            <w:r>
              <w:rPr>
                <w:rFonts w:ascii="Calibri" w:hAnsi="Calibri" w:cs="Calibri"/>
                <w:i/>
                <w:iCs/>
                <w:color w:val="000000"/>
                <w:sz w:val="20"/>
                <w:szCs w:val="20"/>
              </w:rPr>
              <w:t>0,6%</w:t>
            </w:r>
          </w:p>
        </w:tc>
        <w:tc>
          <w:tcPr>
            <w:tcW w:w="164" w:type="dxa"/>
            <w:gridSpan w:val="2"/>
            <w:tcBorders>
              <w:top w:val="nil"/>
              <w:left w:val="nil"/>
              <w:bottom w:val="nil"/>
              <w:right w:val="nil"/>
            </w:tcBorders>
            <w:noWrap/>
            <w:vAlign w:val="center"/>
            <w:hideMark/>
          </w:tcPr>
          <w:p w14:paraId="5DD377AE" w14:textId="77777777" w:rsidR="0022419F" w:rsidRDefault="0022419F" w:rsidP="00A35AEF">
            <w:pPr>
              <w:jc w:val="center"/>
              <w:rPr>
                <w:rFonts w:ascii="Calibri" w:hAnsi="Calibri" w:cs="Calibri"/>
                <w:i/>
                <w:iCs/>
                <w:color w:val="000000"/>
                <w:sz w:val="20"/>
                <w:szCs w:val="20"/>
              </w:rPr>
            </w:pPr>
          </w:p>
        </w:tc>
      </w:tr>
      <w:tr w:rsidR="0022419F" w14:paraId="2F7D01E8" w14:textId="77777777" w:rsidTr="004C235D">
        <w:trPr>
          <w:trHeight w:val="272"/>
        </w:trPr>
        <w:tc>
          <w:tcPr>
            <w:tcW w:w="1773" w:type="dxa"/>
            <w:tcBorders>
              <w:top w:val="nil"/>
              <w:left w:val="nil"/>
              <w:bottom w:val="nil"/>
              <w:right w:val="nil"/>
            </w:tcBorders>
            <w:noWrap/>
            <w:vAlign w:val="center"/>
            <w:hideMark/>
          </w:tcPr>
          <w:p w14:paraId="56A559F5"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Cina</w:t>
            </w:r>
          </w:p>
        </w:tc>
        <w:tc>
          <w:tcPr>
            <w:tcW w:w="1513" w:type="dxa"/>
            <w:tcBorders>
              <w:top w:val="nil"/>
              <w:left w:val="nil"/>
              <w:bottom w:val="nil"/>
              <w:right w:val="nil"/>
            </w:tcBorders>
            <w:noWrap/>
            <w:vAlign w:val="center"/>
            <w:hideMark/>
          </w:tcPr>
          <w:p w14:paraId="2078E971"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55.442.466</w:t>
            </w:r>
          </w:p>
        </w:tc>
        <w:tc>
          <w:tcPr>
            <w:tcW w:w="1605" w:type="dxa"/>
            <w:tcBorders>
              <w:top w:val="nil"/>
              <w:left w:val="nil"/>
              <w:bottom w:val="nil"/>
              <w:right w:val="nil"/>
            </w:tcBorders>
            <w:noWrap/>
            <w:vAlign w:val="center"/>
            <w:hideMark/>
          </w:tcPr>
          <w:p w14:paraId="59A05AEF"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60.981.463</w:t>
            </w:r>
          </w:p>
        </w:tc>
        <w:tc>
          <w:tcPr>
            <w:tcW w:w="1134" w:type="dxa"/>
            <w:tcBorders>
              <w:top w:val="nil"/>
              <w:left w:val="nil"/>
              <w:bottom w:val="nil"/>
              <w:right w:val="nil"/>
            </w:tcBorders>
            <w:noWrap/>
            <w:vAlign w:val="center"/>
            <w:hideMark/>
          </w:tcPr>
          <w:p w14:paraId="77CD5637" w14:textId="77777777" w:rsidR="0022419F" w:rsidRDefault="0022419F" w:rsidP="00A35AEF">
            <w:pPr>
              <w:jc w:val="center"/>
              <w:rPr>
                <w:rFonts w:ascii="Calibri" w:hAnsi="Calibri" w:cs="Calibri"/>
                <w:color w:val="000000"/>
                <w:sz w:val="20"/>
                <w:szCs w:val="20"/>
              </w:rPr>
            </w:pPr>
            <w:r>
              <w:rPr>
                <w:rFonts w:ascii="Calibri" w:hAnsi="Calibri" w:cs="Calibri"/>
                <w:color w:val="000000"/>
                <w:sz w:val="20"/>
                <w:szCs w:val="20"/>
              </w:rPr>
              <w:t>3,5%</w:t>
            </w:r>
          </w:p>
        </w:tc>
        <w:tc>
          <w:tcPr>
            <w:tcW w:w="741" w:type="dxa"/>
            <w:tcBorders>
              <w:top w:val="nil"/>
              <w:left w:val="nil"/>
              <w:bottom w:val="nil"/>
              <w:right w:val="nil"/>
            </w:tcBorders>
            <w:noWrap/>
            <w:vAlign w:val="center"/>
            <w:hideMark/>
          </w:tcPr>
          <w:p w14:paraId="1B71828E" w14:textId="77777777" w:rsidR="0022419F" w:rsidRDefault="0022419F" w:rsidP="00A35AEF">
            <w:pPr>
              <w:jc w:val="center"/>
              <w:rPr>
                <w:rFonts w:ascii="Calibri" w:hAnsi="Calibri" w:cs="Calibri"/>
                <w:color w:val="000000"/>
                <w:sz w:val="20"/>
                <w:szCs w:val="20"/>
              </w:rPr>
            </w:pPr>
            <w:r>
              <w:rPr>
                <w:rFonts w:ascii="Calibri" w:hAnsi="Calibri" w:cs="Calibri"/>
                <w:color w:val="000000"/>
                <w:sz w:val="20"/>
                <w:szCs w:val="20"/>
              </w:rPr>
              <w:t>10,0%</w:t>
            </w:r>
          </w:p>
        </w:tc>
        <w:tc>
          <w:tcPr>
            <w:tcW w:w="1289" w:type="dxa"/>
            <w:gridSpan w:val="4"/>
            <w:tcBorders>
              <w:top w:val="nil"/>
              <w:left w:val="nil"/>
              <w:bottom w:val="nil"/>
              <w:right w:val="nil"/>
            </w:tcBorders>
            <w:noWrap/>
            <w:vAlign w:val="center"/>
            <w:hideMark/>
          </w:tcPr>
          <w:p w14:paraId="6CAA3DC0" w14:textId="77777777" w:rsidR="0022419F" w:rsidRDefault="0022419F" w:rsidP="00A35AEF">
            <w:pPr>
              <w:jc w:val="center"/>
              <w:rPr>
                <w:rFonts w:ascii="Calibri" w:hAnsi="Calibri" w:cs="Calibri"/>
                <w:i/>
                <w:iCs/>
                <w:color w:val="000000"/>
                <w:sz w:val="20"/>
                <w:szCs w:val="20"/>
              </w:rPr>
            </w:pPr>
            <w:r>
              <w:rPr>
                <w:rFonts w:ascii="Calibri" w:hAnsi="Calibri" w:cs="Calibri"/>
                <w:i/>
                <w:iCs/>
                <w:color w:val="000000"/>
                <w:sz w:val="20"/>
                <w:szCs w:val="20"/>
              </w:rPr>
              <w:t>0,3%</w:t>
            </w:r>
          </w:p>
        </w:tc>
        <w:tc>
          <w:tcPr>
            <w:tcW w:w="164" w:type="dxa"/>
            <w:gridSpan w:val="2"/>
            <w:tcBorders>
              <w:top w:val="nil"/>
              <w:left w:val="nil"/>
              <w:bottom w:val="nil"/>
              <w:right w:val="nil"/>
            </w:tcBorders>
            <w:noWrap/>
            <w:vAlign w:val="center"/>
            <w:hideMark/>
          </w:tcPr>
          <w:p w14:paraId="5A0FE97B" w14:textId="77777777" w:rsidR="0022419F" w:rsidRDefault="0022419F" w:rsidP="00A35AEF">
            <w:pPr>
              <w:jc w:val="center"/>
              <w:rPr>
                <w:rFonts w:ascii="Calibri" w:hAnsi="Calibri" w:cs="Calibri"/>
                <w:i/>
                <w:iCs/>
                <w:color w:val="000000"/>
                <w:sz w:val="20"/>
                <w:szCs w:val="20"/>
              </w:rPr>
            </w:pPr>
          </w:p>
        </w:tc>
      </w:tr>
      <w:tr w:rsidR="0022419F" w14:paraId="67A16EA6" w14:textId="77777777" w:rsidTr="004C235D">
        <w:trPr>
          <w:trHeight w:val="272"/>
        </w:trPr>
        <w:tc>
          <w:tcPr>
            <w:tcW w:w="1773" w:type="dxa"/>
            <w:tcBorders>
              <w:top w:val="nil"/>
              <w:left w:val="nil"/>
              <w:bottom w:val="nil"/>
              <w:right w:val="nil"/>
            </w:tcBorders>
            <w:noWrap/>
            <w:vAlign w:val="center"/>
            <w:hideMark/>
          </w:tcPr>
          <w:p w14:paraId="69BEDC2C"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Paesi Bassi</w:t>
            </w:r>
          </w:p>
        </w:tc>
        <w:tc>
          <w:tcPr>
            <w:tcW w:w="1513" w:type="dxa"/>
            <w:tcBorders>
              <w:top w:val="nil"/>
              <w:left w:val="nil"/>
              <w:bottom w:val="nil"/>
              <w:right w:val="nil"/>
            </w:tcBorders>
            <w:noWrap/>
            <w:vAlign w:val="center"/>
            <w:hideMark/>
          </w:tcPr>
          <w:p w14:paraId="5A117B58"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56.020.811</w:t>
            </w:r>
          </w:p>
        </w:tc>
        <w:tc>
          <w:tcPr>
            <w:tcW w:w="1605" w:type="dxa"/>
            <w:tcBorders>
              <w:top w:val="nil"/>
              <w:left w:val="nil"/>
              <w:bottom w:val="nil"/>
              <w:right w:val="nil"/>
            </w:tcBorders>
            <w:noWrap/>
            <w:vAlign w:val="center"/>
            <w:hideMark/>
          </w:tcPr>
          <w:p w14:paraId="6BB5C65E"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56.259.889</w:t>
            </w:r>
          </w:p>
        </w:tc>
        <w:tc>
          <w:tcPr>
            <w:tcW w:w="1134" w:type="dxa"/>
            <w:tcBorders>
              <w:top w:val="nil"/>
              <w:left w:val="nil"/>
              <w:bottom w:val="nil"/>
              <w:right w:val="nil"/>
            </w:tcBorders>
            <w:noWrap/>
            <w:vAlign w:val="center"/>
            <w:hideMark/>
          </w:tcPr>
          <w:p w14:paraId="3787F777" w14:textId="77777777" w:rsidR="0022419F" w:rsidRDefault="0022419F" w:rsidP="00A35AEF">
            <w:pPr>
              <w:jc w:val="center"/>
              <w:rPr>
                <w:rFonts w:ascii="Calibri" w:hAnsi="Calibri" w:cs="Calibri"/>
                <w:color w:val="000000"/>
                <w:sz w:val="20"/>
                <w:szCs w:val="20"/>
              </w:rPr>
            </w:pPr>
            <w:r>
              <w:rPr>
                <w:rFonts w:ascii="Calibri" w:hAnsi="Calibri" w:cs="Calibri"/>
                <w:color w:val="000000"/>
                <w:sz w:val="20"/>
                <w:szCs w:val="20"/>
              </w:rPr>
              <w:t>3,2%</w:t>
            </w:r>
          </w:p>
        </w:tc>
        <w:tc>
          <w:tcPr>
            <w:tcW w:w="741" w:type="dxa"/>
            <w:tcBorders>
              <w:top w:val="nil"/>
              <w:left w:val="nil"/>
              <w:bottom w:val="nil"/>
              <w:right w:val="nil"/>
            </w:tcBorders>
            <w:noWrap/>
            <w:vAlign w:val="center"/>
            <w:hideMark/>
          </w:tcPr>
          <w:p w14:paraId="762D58AF" w14:textId="77777777" w:rsidR="0022419F" w:rsidRDefault="0022419F" w:rsidP="00A35AEF">
            <w:pPr>
              <w:jc w:val="center"/>
              <w:rPr>
                <w:rFonts w:ascii="Calibri" w:hAnsi="Calibri" w:cs="Calibri"/>
                <w:color w:val="000000"/>
                <w:sz w:val="20"/>
                <w:szCs w:val="20"/>
              </w:rPr>
            </w:pPr>
            <w:r>
              <w:rPr>
                <w:rFonts w:ascii="Calibri" w:hAnsi="Calibri" w:cs="Calibri"/>
                <w:color w:val="000000"/>
                <w:sz w:val="20"/>
                <w:szCs w:val="20"/>
              </w:rPr>
              <w:t>0,4%</w:t>
            </w:r>
          </w:p>
        </w:tc>
        <w:tc>
          <w:tcPr>
            <w:tcW w:w="1289" w:type="dxa"/>
            <w:gridSpan w:val="4"/>
            <w:tcBorders>
              <w:top w:val="nil"/>
              <w:left w:val="nil"/>
              <w:bottom w:val="nil"/>
              <w:right w:val="nil"/>
            </w:tcBorders>
            <w:noWrap/>
            <w:vAlign w:val="center"/>
            <w:hideMark/>
          </w:tcPr>
          <w:p w14:paraId="44B02437" w14:textId="77777777" w:rsidR="0022419F" w:rsidRDefault="0022419F" w:rsidP="00A35AEF">
            <w:pPr>
              <w:jc w:val="center"/>
              <w:rPr>
                <w:rFonts w:ascii="Calibri" w:hAnsi="Calibri" w:cs="Calibri"/>
                <w:i/>
                <w:iCs/>
                <w:color w:val="000000"/>
                <w:sz w:val="20"/>
                <w:szCs w:val="20"/>
              </w:rPr>
            </w:pPr>
            <w:r>
              <w:rPr>
                <w:rFonts w:ascii="Calibri" w:hAnsi="Calibri" w:cs="Calibri"/>
                <w:i/>
                <w:iCs/>
                <w:color w:val="000000"/>
                <w:sz w:val="20"/>
                <w:szCs w:val="20"/>
              </w:rPr>
              <w:t>0,0%</w:t>
            </w:r>
          </w:p>
        </w:tc>
        <w:tc>
          <w:tcPr>
            <w:tcW w:w="164" w:type="dxa"/>
            <w:gridSpan w:val="2"/>
            <w:tcBorders>
              <w:top w:val="nil"/>
              <w:left w:val="nil"/>
              <w:bottom w:val="nil"/>
              <w:right w:val="nil"/>
            </w:tcBorders>
            <w:noWrap/>
            <w:vAlign w:val="center"/>
            <w:hideMark/>
          </w:tcPr>
          <w:p w14:paraId="346A2886" w14:textId="77777777" w:rsidR="0022419F" w:rsidRDefault="0022419F" w:rsidP="00A35AEF">
            <w:pPr>
              <w:jc w:val="center"/>
              <w:rPr>
                <w:rFonts w:ascii="Calibri" w:hAnsi="Calibri" w:cs="Calibri"/>
                <w:i/>
                <w:iCs/>
                <w:color w:val="000000"/>
                <w:sz w:val="20"/>
                <w:szCs w:val="20"/>
              </w:rPr>
            </w:pPr>
          </w:p>
        </w:tc>
      </w:tr>
      <w:tr w:rsidR="0022419F" w14:paraId="27B95C4D" w14:textId="77777777" w:rsidTr="004C235D">
        <w:trPr>
          <w:trHeight w:val="272"/>
        </w:trPr>
        <w:tc>
          <w:tcPr>
            <w:tcW w:w="1773" w:type="dxa"/>
            <w:tcBorders>
              <w:top w:val="nil"/>
              <w:left w:val="nil"/>
              <w:bottom w:val="nil"/>
              <w:right w:val="nil"/>
            </w:tcBorders>
            <w:noWrap/>
            <w:vAlign w:val="center"/>
            <w:hideMark/>
          </w:tcPr>
          <w:p w14:paraId="371ECB91"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Svizzera</w:t>
            </w:r>
          </w:p>
        </w:tc>
        <w:tc>
          <w:tcPr>
            <w:tcW w:w="1513" w:type="dxa"/>
            <w:tcBorders>
              <w:top w:val="nil"/>
              <w:left w:val="nil"/>
              <w:bottom w:val="nil"/>
              <w:right w:val="nil"/>
            </w:tcBorders>
            <w:noWrap/>
            <w:vAlign w:val="center"/>
            <w:hideMark/>
          </w:tcPr>
          <w:p w14:paraId="33745DC8"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40.280.795</w:t>
            </w:r>
          </w:p>
        </w:tc>
        <w:tc>
          <w:tcPr>
            <w:tcW w:w="1605" w:type="dxa"/>
            <w:tcBorders>
              <w:top w:val="nil"/>
              <w:left w:val="nil"/>
              <w:bottom w:val="nil"/>
              <w:right w:val="nil"/>
            </w:tcBorders>
            <w:noWrap/>
            <w:vAlign w:val="center"/>
            <w:hideMark/>
          </w:tcPr>
          <w:p w14:paraId="123E8EE9"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54.717.696</w:t>
            </w:r>
          </w:p>
        </w:tc>
        <w:tc>
          <w:tcPr>
            <w:tcW w:w="1134" w:type="dxa"/>
            <w:tcBorders>
              <w:top w:val="nil"/>
              <w:left w:val="nil"/>
              <w:bottom w:val="nil"/>
              <w:right w:val="nil"/>
            </w:tcBorders>
            <w:noWrap/>
            <w:vAlign w:val="center"/>
            <w:hideMark/>
          </w:tcPr>
          <w:p w14:paraId="04FD3E8A" w14:textId="77777777" w:rsidR="0022419F" w:rsidRDefault="0022419F" w:rsidP="00A35AEF">
            <w:pPr>
              <w:jc w:val="center"/>
              <w:rPr>
                <w:rFonts w:ascii="Calibri" w:hAnsi="Calibri" w:cs="Calibri"/>
                <w:color w:val="000000"/>
                <w:sz w:val="20"/>
                <w:szCs w:val="20"/>
              </w:rPr>
            </w:pPr>
            <w:r>
              <w:rPr>
                <w:rFonts w:ascii="Calibri" w:hAnsi="Calibri" w:cs="Calibri"/>
                <w:color w:val="000000"/>
                <w:sz w:val="20"/>
                <w:szCs w:val="20"/>
              </w:rPr>
              <w:t>3,1%</w:t>
            </w:r>
          </w:p>
        </w:tc>
        <w:tc>
          <w:tcPr>
            <w:tcW w:w="741" w:type="dxa"/>
            <w:tcBorders>
              <w:top w:val="nil"/>
              <w:left w:val="nil"/>
              <w:bottom w:val="nil"/>
              <w:right w:val="nil"/>
            </w:tcBorders>
            <w:noWrap/>
            <w:vAlign w:val="center"/>
            <w:hideMark/>
          </w:tcPr>
          <w:p w14:paraId="0254E8F6" w14:textId="77777777" w:rsidR="0022419F" w:rsidRDefault="0022419F" w:rsidP="00A35AEF">
            <w:pPr>
              <w:jc w:val="center"/>
              <w:rPr>
                <w:rFonts w:ascii="Calibri" w:hAnsi="Calibri" w:cs="Calibri"/>
                <w:color w:val="000000"/>
                <w:sz w:val="20"/>
                <w:szCs w:val="20"/>
              </w:rPr>
            </w:pPr>
            <w:r>
              <w:rPr>
                <w:rFonts w:ascii="Calibri" w:hAnsi="Calibri" w:cs="Calibri"/>
                <w:color w:val="000000"/>
                <w:sz w:val="20"/>
                <w:szCs w:val="20"/>
              </w:rPr>
              <w:t>35,8%</w:t>
            </w:r>
          </w:p>
        </w:tc>
        <w:tc>
          <w:tcPr>
            <w:tcW w:w="1289" w:type="dxa"/>
            <w:gridSpan w:val="4"/>
            <w:tcBorders>
              <w:top w:val="nil"/>
              <w:left w:val="nil"/>
              <w:bottom w:val="nil"/>
              <w:right w:val="nil"/>
            </w:tcBorders>
            <w:noWrap/>
            <w:vAlign w:val="center"/>
            <w:hideMark/>
          </w:tcPr>
          <w:p w14:paraId="0E79DB05" w14:textId="77777777" w:rsidR="0022419F" w:rsidRDefault="0022419F" w:rsidP="00A35AEF">
            <w:pPr>
              <w:jc w:val="center"/>
              <w:rPr>
                <w:rFonts w:ascii="Calibri" w:hAnsi="Calibri" w:cs="Calibri"/>
                <w:i/>
                <w:iCs/>
                <w:color w:val="000000"/>
                <w:sz w:val="20"/>
                <w:szCs w:val="20"/>
              </w:rPr>
            </w:pPr>
            <w:r>
              <w:rPr>
                <w:rFonts w:ascii="Calibri" w:hAnsi="Calibri" w:cs="Calibri"/>
                <w:i/>
                <w:iCs/>
                <w:color w:val="000000"/>
                <w:sz w:val="20"/>
                <w:szCs w:val="20"/>
              </w:rPr>
              <w:t>0,8%</w:t>
            </w:r>
          </w:p>
        </w:tc>
        <w:tc>
          <w:tcPr>
            <w:tcW w:w="164" w:type="dxa"/>
            <w:gridSpan w:val="2"/>
            <w:tcBorders>
              <w:top w:val="nil"/>
              <w:left w:val="nil"/>
              <w:bottom w:val="nil"/>
              <w:right w:val="nil"/>
            </w:tcBorders>
            <w:noWrap/>
            <w:vAlign w:val="center"/>
            <w:hideMark/>
          </w:tcPr>
          <w:p w14:paraId="73D40464" w14:textId="77777777" w:rsidR="0022419F" w:rsidRDefault="0022419F" w:rsidP="00A35AEF">
            <w:pPr>
              <w:jc w:val="center"/>
              <w:rPr>
                <w:rFonts w:ascii="Calibri" w:hAnsi="Calibri" w:cs="Calibri"/>
                <w:i/>
                <w:iCs/>
                <w:color w:val="000000"/>
                <w:sz w:val="20"/>
                <w:szCs w:val="20"/>
              </w:rPr>
            </w:pPr>
          </w:p>
        </w:tc>
      </w:tr>
      <w:tr w:rsidR="0022419F" w14:paraId="10FAB076" w14:textId="77777777" w:rsidTr="004C235D">
        <w:trPr>
          <w:trHeight w:val="272"/>
        </w:trPr>
        <w:tc>
          <w:tcPr>
            <w:tcW w:w="1773" w:type="dxa"/>
            <w:tcBorders>
              <w:top w:val="nil"/>
              <w:left w:val="nil"/>
              <w:bottom w:val="nil"/>
              <w:right w:val="nil"/>
            </w:tcBorders>
            <w:noWrap/>
            <w:vAlign w:val="center"/>
            <w:hideMark/>
          </w:tcPr>
          <w:p w14:paraId="0D16C613"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Grecia</w:t>
            </w:r>
          </w:p>
        </w:tc>
        <w:tc>
          <w:tcPr>
            <w:tcW w:w="1513" w:type="dxa"/>
            <w:tcBorders>
              <w:top w:val="nil"/>
              <w:left w:val="nil"/>
              <w:bottom w:val="nil"/>
              <w:right w:val="nil"/>
            </w:tcBorders>
            <w:noWrap/>
            <w:vAlign w:val="center"/>
            <w:hideMark/>
          </w:tcPr>
          <w:p w14:paraId="3DB9810C"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33.869.069</w:t>
            </w:r>
          </w:p>
        </w:tc>
        <w:tc>
          <w:tcPr>
            <w:tcW w:w="1605" w:type="dxa"/>
            <w:tcBorders>
              <w:top w:val="nil"/>
              <w:left w:val="nil"/>
              <w:bottom w:val="nil"/>
              <w:right w:val="nil"/>
            </w:tcBorders>
            <w:noWrap/>
            <w:vAlign w:val="center"/>
            <w:hideMark/>
          </w:tcPr>
          <w:p w14:paraId="10988167"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35.788.218</w:t>
            </w:r>
          </w:p>
        </w:tc>
        <w:tc>
          <w:tcPr>
            <w:tcW w:w="1134" w:type="dxa"/>
            <w:tcBorders>
              <w:top w:val="nil"/>
              <w:left w:val="nil"/>
              <w:bottom w:val="nil"/>
              <w:right w:val="nil"/>
            </w:tcBorders>
            <w:noWrap/>
            <w:vAlign w:val="center"/>
            <w:hideMark/>
          </w:tcPr>
          <w:p w14:paraId="45A9104E" w14:textId="77777777" w:rsidR="0022419F" w:rsidRDefault="0022419F" w:rsidP="00A35AEF">
            <w:pPr>
              <w:jc w:val="center"/>
              <w:rPr>
                <w:rFonts w:ascii="Calibri" w:hAnsi="Calibri" w:cs="Calibri"/>
                <w:color w:val="000000"/>
                <w:sz w:val="20"/>
                <w:szCs w:val="20"/>
              </w:rPr>
            </w:pPr>
            <w:r>
              <w:rPr>
                <w:rFonts w:ascii="Calibri" w:hAnsi="Calibri" w:cs="Calibri"/>
                <w:color w:val="000000"/>
                <w:sz w:val="20"/>
                <w:szCs w:val="20"/>
              </w:rPr>
              <w:t>2,1%</w:t>
            </w:r>
          </w:p>
        </w:tc>
        <w:tc>
          <w:tcPr>
            <w:tcW w:w="741" w:type="dxa"/>
            <w:tcBorders>
              <w:top w:val="nil"/>
              <w:left w:val="nil"/>
              <w:bottom w:val="nil"/>
              <w:right w:val="nil"/>
            </w:tcBorders>
            <w:noWrap/>
            <w:vAlign w:val="center"/>
            <w:hideMark/>
          </w:tcPr>
          <w:p w14:paraId="01E3498C" w14:textId="77777777" w:rsidR="0022419F" w:rsidRDefault="0022419F" w:rsidP="00A35AEF">
            <w:pPr>
              <w:jc w:val="center"/>
              <w:rPr>
                <w:rFonts w:ascii="Calibri" w:hAnsi="Calibri" w:cs="Calibri"/>
                <w:color w:val="000000"/>
                <w:sz w:val="20"/>
                <w:szCs w:val="20"/>
              </w:rPr>
            </w:pPr>
            <w:r>
              <w:rPr>
                <w:rFonts w:ascii="Calibri" w:hAnsi="Calibri" w:cs="Calibri"/>
                <w:color w:val="000000"/>
                <w:sz w:val="20"/>
                <w:szCs w:val="20"/>
              </w:rPr>
              <w:t>5,7%</w:t>
            </w:r>
          </w:p>
        </w:tc>
        <w:tc>
          <w:tcPr>
            <w:tcW w:w="1289" w:type="dxa"/>
            <w:gridSpan w:val="4"/>
            <w:tcBorders>
              <w:top w:val="nil"/>
              <w:left w:val="nil"/>
              <w:bottom w:val="nil"/>
              <w:right w:val="nil"/>
            </w:tcBorders>
            <w:noWrap/>
            <w:vAlign w:val="center"/>
            <w:hideMark/>
          </w:tcPr>
          <w:p w14:paraId="07891EBC" w14:textId="77777777" w:rsidR="0022419F" w:rsidRDefault="0022419F" w:rsidP="00A35AEF">
            <w:pPr>
              <w:jc w:val="center"/>
              <w:rPr>
                <w:rFonts w:ascii="Calibri" w:hAnsi="Calibri" w:cs="Calibri"/>
                <w:i/>
                <w:iCs/>
                <w:color w:val="000000"/>
                <w:sz w:val="20"/>
                <w:szCs w:val="20"/>
              </w:rPr>
            </w:pPr>
            <w:r>
              <w:rPr>
                <w:rFonts w:ascii="Calibri" w:hAnsi="Calibri" w:cs="Calibri"/>
                <w:i/>
                <w:iCs/>
                <w:color w:val="000000"/>
                <w:sz w:val="20"/>
                <w:szCs w:val="20"/>
              </w:rPr>
              <w:t>0,1%</w:t>
            </w:r>
          </w:p>
        </w:tc>
        <w:tc>
          <w:tcPr>
            <w:tcW w:w="164" w:type="dxa"/>
            <w:gridSpan w:val="2"/>
            <w:tcBorders>
              <w:top w:val="nil"/>
              <w:left w:val="nil"/>
              <w:bottom w:val="nil"/>
              <w:right w:val="nil"/>
            </w:tcBorders>
            <w:noWrap/>
            <w:vAlign w:val="center"/>
            <w:hideMark/>
          </w:tcPr>
          <w:p w14:paraId="326CBF7B" w14:textId="77777777" w:rsidR="0022419F" w:rsidRDefault="0022419F" w:rsidP="00A35AEF">
            <w:pPr>
              <w:jc w:val="center"/>
              <w:rPr>
                <w:rFonts w:ascii="Calibri" w:hAnsi="Calibri" w:cs="Calibri"/>
                <w:i/>
                <w:iCs/>
                <w:color w:val="000000"/>
                <w:sz w:val="20"/>
                <w:szCs w:val="20"/>
              </w:rPr>
            </w:pPr>
          </w:p>
        </w:tc>
      </w:tr>
      <w:tr w:rsidR="0022419F" w14:paraId="3A7C6CB3" w14:textId="77777777" w:rsidTr="004C235D">
        <w:trPr>
          <w:trHeight w:val="272"/>
        </w:trPr>
        <w:tc>
          <w:tcPr>
            <w:tcW w:w="1773" w:type="dxa"/>
            <w:tcBorders>
              <w:top w:val="nil"/>
              <w:left w:val="nil"/>
              <w:bottom w:val="nil"/>
              <w:right w:val="nil"/>
            </w:tcBorders>
            <w:noWrap/>
            <w:vAlign w:val="center"/>
            <w:hideMark/>
          </w:tcPr>
          <w:p w14:paraId="7C5060D7"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Turchia</w:t>
            </w:r>
          </w:p>
        </w:tc>
        <w:tc>
          <w:tcPr>
            <w:tcW w:w="1513" w:type="dxa"/>
            <w:tcBorders>
              <w:top w:val="nil"/>
              <w:left w:val="nil"/>
              <w:bottom w:val="nil"/>
              <w:right w:val="nil"/>
            </w:tcBorders>
            <w:noWrap/>
            <w:vAlign w:val="center"/>
            <w:hideMark/>
          </w:tcPr>
          <w:p w14:paraId="32A0029E"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51.908.144</w:t>
            </w:r>
          </w:p>
        </w:tc>
        <w:tc>
          <w:tcPr>
            <w:tcW w:w="1605" w:type="dxa"/>
            <w:tcBorders>
              <w:top w:val="nil"/>
              <w:left w:val="nil"/>
              <w:bottom w:val="nil"/>
              <w:right w:val="nil"/>
            </w:tcBorders>
            <w:noWrap/>
            <w:vAlign w:val="center"/>
            <w:hideMark/>
          </w:tcPr>
          <w:p w14:paraId="3F9135D9"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33.763.601</w:t>
            </w:r>
          </w:p>
        </w:tc>
        <w:tc>
          <w:tcPr>
            <w:tcW w:w="1134" w:type="dxa"/>
            <w:tcBorders>
              <w:top w:val="nil"/>
              <w:left w:val="nil"/>
              <w:bottom w:val="nil"/>
              <w:right w:val="nil"/>
            </w:tcBorders>
            <w:noWrap/>
            <w:vAlign w:val="center"/>
            <w:hideMark/>
          </w:tcPr>
          <w:p w14:paraId="40CBA67D" w14:textId="77777777" w:rsidR="0022419F" w:rsidRDefault="0022419F" w:rsidP="00A35AEF">
            <w:pPr>
              <w:jc w:val="center"/>
              <w:rPr>
                <w:rFonts w:ascii="Calibri" w:hAnsi="Calibri" w:cs="Calibri"/>
                <w:color w:val="000000"/>
                <w:sz w:val="20"/>
                <w:szCs w:val="20"/>
              </w:rPr>
            </w:pPr>
            <w:r>
              <w:rPr>
                <w:rFonts w:ascii="Calibri" w:hAnsi="Calibri" w:cs="Calibri"/>
                <w:color w:val="000000"/>
                <w:sz w:val="20"/>
                <w:szCs w:val="20"/>
              </w:rPr>
              <w:t>1,9%</w:t>
            </w:r>
          </w:p>
        </w:tc>
        <w:tc>
          <w:tcPr>
            <w:tcW w:w="741" w:type="dxa"/>
            <w:tcBorders>
              <w:top w:val="nil"/>
              <w:left w:val="nil"/>
              <w:bottom w:val="nil"/>
              <w:right w:val="nil"/>
            </w:tcBorders>
            <w:noWrap/>
            <w:vAlign w:val="center"/>
            <w:hideMark/>
          </w:tcPr>
          <w:p w14:paraId="5FBEEF63" w14:textId="77777777" w:rsidR="0022419F" w:rsidRDefault="0022419F" w:rsidP="00A35AEF">
            <w:pPr>
              <w:jc w:val="center"/>
              <w:rPr>
                <w:rFonts w:ascii="Calibri" w:hAnsi="Calibri" w:cs="Calibri"/>
                <w:color w:val="000000"/>
                <w:sz w:val="20"/>
                <w:szCs w:val="20"/>
              </w:rPr>
            </w:pPr>
            <w:r>
              <w:rPr>
                <w:rFonts w:ascii="Calibri" w:hAnsi="Calibri" w:cs="Calibri"/>
                <w:color w:val="000000"/>
                <w:sz w:val="20"/>
                <w:szCs w:val="20"/>
              </w:rPr>
              <w:t>-35,0%</w:t>
            </w:r>
          </w:p>
        </w:tc>
        <w:tc>
          <w:tcPr>
            <w:tcW w:w="1289" w:type="dxa"/>
            <w:gridSpan w:val="4"/>
            <w:tcBorders>
              <w:top w:val="nil"/>
              <w:left w:val="nil"/>
              <w:bottom w:val="nil"/>
              <w:right w:val="nil"/>
            </w:tcBorders>
            <w:noWrap/>
            <w:vAlign w:val="center"/>
            <w:hideMark/>
          </w:tcPr>
          <w:p w14:paraId="3AF28AF9" w14:textId="77777777" w:rsidR="0022419F" w:rsidRDefault="0022419F" w:rsidP="00A35AEF">
            <w:pPr>
              <w:jc w:val="center"/>
              <w:rPr>
                <w:rFonts w:ascii="Calibri" w:hAnsi="Calibri" w:cs="Calibri"/>
                <w:i/>
                <w:iCs/>
                <w:color w:val="000000"/>
                <w:sz w:val="20"/>
                <w:szCs w:val="20"/>
              </w:rPr>
            </w:pPr>
            <w:r>
              <w:rPr>
                <w:rFonts w:ascii="Calibri" w:hAnsi="Calibri" w:cs="Calibri"/>
                <w:i/>
                <w:iCs/>
                <w:color w:val="000000"/>
                <w:sz w:val="20"/>
                <w:szCs w:val="20"/>
              </w:rPr>
              <w:t>-1,0%</w:t>
            </w:r>
          </w:p>
        </w:tc>
        <w:tc>
          <w:tcPr>
            <w:tcW w:w="164" w:type="dxa"/>
            <w:gridSpan w:val="2"/>
            <w:tcBorders>
              <w:top w:val="nil"/>
              <w:left w:val="nil"/>
              <w:bottom w:val="nil"/>
              <w:right w:val="nil"/>
            </w:tcBorders>
            <w:noWrap/>
            <w:vAlign w:val="center"/>
            <w:hideMark/>
          </w:tcPr>
          <w:p w14:paraId="05CA3C6A" w14:textId="77777777" w:rsidR="0022419F" w:rsidRDefault="0022419F" w:rsidP="00A35AEF">
            <w:pPr>
              <w:jc w:val="center"/>
              <w:rPr>
                <w:rFonts w:ascii="Calibri" w:hAnsi="Calibri" w:cs="Calibri"/>
                <w:i/>
                <w:iCs/>
                <w:color w:val="000000"/>
                <w:sz w:val="20"/>
                <w:szCs w:val="20"/>
              </w:rPr>
            </w:pPr>
          </w:p>
        </w:tc>
      </w:tr>
      <w:tr w:rsidR="0022419F" w14:paraId="47B7CAE4" w14:textId="77777777" w:rsidTr="004C235D">
        <w:trPr>
          <w:trHeight w:val="272"/>
        </w:trPr>
        <w:tc>
          <w:tcPr>
            <w:tcW w:w="1773" w:type="dxa"/>
            <w:tcBorders>
              <w:top w:val="nil"/>
              <w:left w:val="nil"/>
              <w:bottom w:val="nil"/>
              <w:right w:val="nil"/>
            </w:tcBorders>
            <w:noWrap/>
            <w:vAlign w:val="center"/>
            <w:hideMark/>
          </w:tcPr>
          <w:p w14:paraId="5262DFB9"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Vietnam</w:t>
            </w:r>
          </w:p>
        </w:tc>
        <w:tc>
          <w:tcPr>
            <w:tcW w:w="1513" w:type="dxa"/>
            <w:tcBorders>
              <w:top w:val="nil"/>
              <w:left w:val="nil"/>
              <w:bottom w:val="nil"/>
              <w:right w:val="nil"/>
            </w:tcBorders>
            <w:noWrap/>
            <w:vAlign w:val="center"/>
            <w:hideMark/>
          </w:tcPr>
          <w:p w14:paraId="362DAE19"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38.946.399</w:t>
            </w:r>
          </w:p>
        </w:tc>
        <w:tc>
          <w:tcPr>
            <w:tcW w:w="1605" w:type="dxa"/>
            <w:tcBorders>
              <w:top w:val="nil"/>
              <w:left w:val="nil"/>
              <w:bottom w:val="nil"/>
              <w:right w:val="nil"/>
            </w:tcBorders>
            <w:noWrap/>
            <w:vAlign w:val="center"/>
            <w:hideMark/>
          </w:tcPr>
          <w:p w14:paraId="117CD285"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33.536.794</w:t>
            </w:r>
          </w:p>
        </w:tc>
        <w:tc>
          <w:tcPr>
            <w:tcW w:w="1134" w:type="dxa"/>
            <w:tcBorders>
              <w:top w:val="nil"/>
              <w:left w:val="nil"/>
              <w:bottom w:val="nil"/>
              <w:right w:val="nil"/>
            </w:tcBorders>
            <w:noWrap/>
            <w:vAlign w:val="center"/>
            <w:hideMark/>
          </w:tcPr>
          <w:p w14:paraId="7CA4FF32" w14:textId="77777777" w:rsidR="0022419F" w:rsidRDefault="0022419F" w:rsidP="00A35AEF">
            <w:pPr>
              <w:jc w:val="center"/>
              <w:rPr>
                <w:rFonts w:ascii="Calibri" w:hAnsi="Calibri" w:cs="Calibri"/>
                <w:color w:val="000000"/>
                <w:sz w:val="20"/>
                <w:szCs w:val="20"/>
              </w:rPr>
            </w:pPr>
            <w:r>
              <w:rPr>
                <w:rFonts w:ascii="Calibri" w:hAnsi="Calibri" w:cs="Calibri"/>
                <w:color w:val="000000"/>
                <w:sz w:val="20"/>
                <w:szCs w:val="20"/>
              </w:rPr>
              <w:t>1,9%</w:t>
            </w:r>
          </w:p>
        </w:tc>
        <w:tc>
          <w:tcPr>
            <w:tcW w:w="741" w:type="dxa"/>
            <w:tcBorders>
              <w:top w:val="nil"/>
              <w:left w:val="nil"/>
              <w:bottom w:val="nil"/>
              <w:right w:val="nil"/>
            </w:tcBorders>
            <w:noWrap/>
            <w:vAlign w:val="center"/>
            <w:hideMark/>
          </w:tcPr>
          <w:p w14:paraId="60DF1AEC" w14:textId="77777777" w:rsidR="0022419F" w:rsidRDefault="0022419F" w:rsidP="00A35AEF">
            <w:pPr>
              <w:jc w:val="center"/>
              <w:rPr>
                <w:rFonts w:ascii="Calibri" w:hAnsi="Calibri" w:cs="Calibri"/>
                <w:color w:val="000000"/>
                <w:sz w:val="20"/>
                <w:szCs w:val="20"/>
              </w:rPr>
            </w:pPr>
            <w:r>
              <w:rPr>
                <w:rFonts w:ascii="Calibri" w:hAnsi="Calibri" w:cs="Calibri"/>
                <w:color w:val="000000"/>
                <w:sz w:val="20"/>
                <w:szCs w:val="20"/>
              </w:rPr>
              <w:t>-13,9%</w:t>
            </w:r>
          </w:p>
        </w:tc>
        <w:tc>
          <w:tcPr>
            <w:tcW w:w="1289" w:type="dxa"/>
            <w:gridSpan w:val="4"/>
            <w:tcBorders>
              <w:top w:val="nil"/>
              <w:left w:val="nil"/>
              <w:bottom w:val="nil"/>
              <w:right w:val="nil"/>
            </w:tcBorders>
            <w:noWrap/>
            <w:vAlign w:val="center"/>
            <w:hideMark/>
          </w:tcPr>
          <w:p w14:paraId="6A18B004" w14:textId="77777777" w:rsidR="0022419F" w:rsidRDefault="0022419F" w:rsidP="00A35AEF">
            <w:pPr>
              <w:jc w:val="center"/>
              <w:rPr>
                <w:rFonts w:ascii="Calibri" w:hAnsi="Calibri" w:cs="Calibri"/>
                <w:i/>
                <w:iCs/>
                <w:color w:val="000000"/>
                <w:sz w:val="20"/>
                <w:szCs w:val="20"/>
              </w:rPr>
            </w:pPr>
            <w:r>
              <w:rPr>
                <w:rFonts w:ascii="Calibri" w:hAnsi="Calibri" w:cs="Calibri"/>
                <w:i/>
                <w:iCs/>
                <w:color w:val="000000"/>
                <w:sz w:val="20"/>
                <w:szCs w:val="20"/>
              </w:rPr>
              <w:t>-0,3%</w:t>
            </w:r>
          </w:p>
        </w:tc>
        <w:tc>
          <w:tcPr>
            <w:tcW w:w="164" w:type="dxa"/>
            <w:gridSpan w:val="2"/>
            <w:tcBorders>
              <w:top w:val="nil"/>
              <w:left w:val="nil"/>
              <w:bottom w:val="nil"/>
              <w:right w:val="nil"/>
            </w:tcBorders>
            <w:noWrap/>
            <w:vAlign w:val="center"/>
            <w:hideMark/>
          </w:tcPr>
          <w:p w14:paraId="502572F4" w14:textId="77777777" w:rsidR="0022419F" w:rsidRDefault="0022419F" w:rsidP="00A35AEF">
            <w:pPr>
              <w:jc w:val="center"/>
              <w:rPr>
                <w:rFonts w:ascii="Calibri" w:hAnsi="Calibri" w:cs="Calibri"/>
                <w:i/>
                <w:iCs/>
                <w:color w:val="000000"/>
                <w:sz w:val="20"/>
                <w:szCs w:val="20"/>
              </w:rPr>
            </w:pPr>
          </w:p>
        </w:tc>
      </w:tr>
      <w:tr w:rsidR="0022419F" w14:paraId="01A58A91" w14:textId="77777777" w:rsidTr="004C235D">
        <w:trPr>
          <w:trHeight w:val="272"/>
        </w:trPr>
        <w:tc>
          <w:tcPr>
            <w:tcW w:w="1773" w:type="dxa"/>
            <w:tcBorders>
              <w:top w:val="nil"/>
              <w:left w:val="nil"/>
              <w:bottom w:val="nil"/>
              <w:right w:val="nil"/>
            </w:tcBorders>
            <w:noWrap/>
            <w:vAlign w:val="center"/>
            <w:hideMark/>
          </w:tcPr>
          <w:p w14:paraId="70EF54E8"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Belgio</w:t>
            </w:r>
          </w:p>
        </w:tc>
        <w:tc>
          <w:tcPr>
            <w:tcW w:w="1513" w:type="dxa"/>
            <w:tcBorders>
              <w:top w:val="nil"/>
              <w:left w:val="nil"/>
              <w:bottom w:val="nil"/>
              <w:right w:val="nil"/>
            </w:tcBorders>
            <w:noWrap/>
            <w:vAlign w:val="center"/>
            <w:hideMark/>
          </w:tcPr>
          <w:p w14:paraId="28993E72"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36.381.167</w:t>
            </w:r>
          </w:p>
        </w:tc>
        <w:tc>
          <w:tcPr>
            <w:tcW w:w="1605" w:type="dxa"/>
            <w:tcBorders>
              <w:top w:val="nil"/>
              <w:left w:val="nil"/>
              <w:bottom w:val="nil"/>
              <w:right w:val="nil"/>
            </w:tcBorders>
            <w:noWrap/>
            <w:vAlign w:val="center"/>
            <w:hideMark/>
          </w:tcPr>
          <w:p w14:paraId="19FD6020"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32.338.356</w:t>
            </w:r>
          </w:p>
        </w:tc>
        <w:tc>
          <w:tcPr>
            <w:tcW w:w="1134" w:type="dxa"/>
            <w:tcBorders>
              <w:top w:val="nil"/>
              <w:left w:val="nil"/>
              <w:bottom w:val="nil"/>
              <w:right w:val="nil"/>
            </w:tcBorders>
            <w:noWrap/>
            <w:vAlign w:val="center"/>
            <w:hideMark/>
          </w:tcPr>
          <w:p w14:paraId="285D74C2" w14:textId="77777777" w:rsidR="0022419F" w:rsidRDefault="0022419F" w:rsidP="00A35AEF">
            <w:pPr>
              <w:jc w:val="center"/>
              <w:rPr>
                <w:rFonts w:ascii="Calibri" w:hAnsi="Calibri" w:cs="Calibri"/>
                <w:color w:val="000000"/>
                <w:sz w:val="20"/>
                <w:szCs w:val="20"/>
              </w:rPr>
            </w:pPr>
            <w:r>
              <w:rPr>
                <w:rFonts w:ascii="Calibri" w:hAnsi="Calibri" w:cs="Calibri"/>
                <w:color w:val="000000"/>
                <w:sz w:val="20"/>
                <w:szCs w:val="20"/>
              </w:rPr>
              <w:t>1,9%</w:t>
            </w:r>
          </w:p>
        </w:tc>
        <w:tc>
          <w:tcPr>
            <w:tcW w:w="741" w:type="dxa"/>
            <w:tcBorders>
              <w:top w:val="nil"/>
              <w:left w:val="nil"/>
              <w:bottom w:val="nil"/>
              <w:right w:val="nil"/>
            </w:tcBorders>
            <w:noWrap/>
            <w:vAlign w:val="center"/>
            <w:hideMark/>
          </w:tcPr>
          <w:p w14:paraId="2454F4BE" w14:textId="77777777" w:rsidR="0022419F" w:rsidRDefault="0022419F" w:rsidP="00A35AEF">
            <w:pPr>
              <w:jc w:val="center"/>
              <w:rPr>
                <w:rFonts w:ascii="Calibri" w:hAnsi="Calibri" w:cs="Calibri"/>
                <w:color w:val="000000"/>
                <w:sz w:val="20"/>
                <w:szCs w:val="20"/>
              </w:rPr>
            </w:pPr>
            <w:r>
              <w:rPr>
                <w:rFonts w:ascii="Calibri" w:hAnsi="Calibri" w:cs="Calibri"/>
                <w:color w:val="000000"/>
                <w:sz w:val="20"/>
                <w:szCs w:val="20"/>
              </w:rPr>
              <w:t>-11,1%</w:t>
            </w:r>
          </w:p>
        </w:tc>
        <w:tc>
          <w:tcPr>
            <w:tcW w:w="1289" w:type="dxa"/>
            <w:gridSpan w:val="4"/>
            <w:tcBorders>
              <w:top w:val="nil"/>
              <w:left w:val="nil"/>
              <w:bottom w:val="nil"/>
              <w:right w:val="nil"/>
            </w:tcBorders>
            <w:noWrap/>
            <w:vAlign w:val="center"/>
            <w:hideMark/>
          </w:tcPr>
          <w:p w14:paraId="6A3DF4B0" w14:textId="77777777" w:rsidR="0022419F" w:rsidRDefault="0022419F" w:rsidP="00A35AEF">
            <w:pPr>
              <w:jc w:val="center"/>
              <w:rPr>
                <w:rFonts w:ascii="Calibri" w:hAnsi="Calibri" w:cs="Calibri"/>
                <w:i/>
                <w:iCs/>
                <w:color w:val="000000"/>
                <w:sz w:val="20"/>
                <w:szCs w:val="20"/>
              </w:rPr>
            </w:pPr>
            <w:r>
              <w:rPr>
                <w:rFonts w:ascii="Calibri" w:hAnsi="Calibri" w:cs="Calibri"/>
                <w:i/>
                <w:iCs/>
                <w:color w:val="000000"/>
                <w:sz w:val="20"/>
                <w:szCs w:val="20"/>
              </w:rPr>
              <w:t>-0,2%</w:t>
            </w:r>
          </w:p>
        </w:tc>
        <w:tc>
          <w:tcPr>
            <w:tcW w:w="164" w:type="dxa"/>
            <w:gridSpan w:val="2"/>
            <w:tcBorders>
              <w:top w:val="nil"/>
              <w:left w:val="nil"/>
              <w:bottom w:val="nil"/>
              <w:right w:val="nil"/>
            </w:tcBorders>
            <w:noWrap/>
            <w:vAlign w:val="center"/>
            <w:hideMark/>
          </w:tcPr>
          <w:p w14:paraId="65E0F1B5" w14:textId="77777777" w:rsidR="0022419F" w:rsidRDefault="0022419F" w:rsidP="00A35AEF">
            <w:pPr>
              <w:jc w:val="center"/>
              <w:rPr>
                <w:rFonts w:ascii="Calibri" w:hAnsi="Calibri" w:cs="Calibri"/>
                <w:i/>
                <w:iCs/>
                <w:color w:val="000000"/>
                <w:sz w:val="20"/>
                <w:szCs w:val="20"/>
              </w:rPr>
            </w:pPr>
          </w:p>
        </w:tc>
      </w:tr>
      <w:tr w:rsidR="0022419F" w14:paraId="27328A31" w14:textId="77777777" w:rsidTr="004C235D">
        <w:trPr>
          <w:trHeight w:val="272"/>
        </w:trPr>
        <w:tc>
          <w:tcPr>
            <w:tcW w:w="1773" w:type="dxa"/>
            <w:tcBorders>
              <w:top w:val="nil"/>
              <w:left w:val="nil"/>
              <w:bottom w:val="nil"/>
              <w:right w:val="nil"/>
            </w:tcBorders>
            <w:noWrap/>
            <w:vAlign w:val="center"/>
            <w:hideMark/>
          </w:tcPr>
          <w:p w14:paraId="46C1A009"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Portogallo</w:t>
            </w:r>
          </w:p>
        </w:tc>
        <w:tc>
          <w:tcPr>
            <w:tcW w:w="1513" w:type="dxa"/>
            <w:tcBorders>
              <w:top w:val="nil"/>
              <w:left w:val="nil"/>
              <w:bottom w:val="nil"/>
              <w:right w:val="nil"/>
            </w:tcBorders>
            <w:noWrap/>
            <w:vAlign w:val="center"/>
            <w:hideMark/>
          </w:tcPr>
          <w:p w14:paraId="0D255E6D"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29.720.784</w:t>
            </w:r>
          </w:p>
        </w:tc>
        <w:tc>
          <w:tcPr>
            <w:tcW w:w="1605" w:type="dxa"/>
            <w:tcBorders>
              <w:top w:val="nil"/>
              <w:left w:val="nil"/>
              <w:bottom w:val="nil"/>
              <w:right w:val="nil"/>
            </w:tcBorders>
            <w:noWrap/>
            <w:vAlign w:val="center"/>
            <w:hideMark/>
          </w:tcPr>
          <w:p w14:paraId="6DA442C7"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32.303.746</w:t>
            </w:r>
          </w:p>
        </w:tc>
        <w:tc>
          <w:tcPr>
            <w:tcW w:w="1134" w:type="dxa"/>
            <w:tcBorders>
              <w:top w:val="nil"/>
              <w:left w:val="nil"/>
              <w:bottom w:val="nil"/>
              <w:right w:val="nil"/>
            </w:tcBorders>
            <w:noWrap/>
            <w:vAlign w:val="center"/>
            <w:hideMark/>
          </w:tcPr>
          <w:p w14:paraId="51A2BB90" w14:textId="77777777" w:rsidR="0022419F" w:rsidRDefault="0022419F" w:rsidP="00A35AEF">
            <w:pPr>
              <w:jc w:val="center"/>
              <w:rPr>
                <w:rFonts w:ascii="Calibri" w:hAnsi="Calibri" w:cs="Calibri"/>
                <w:color w:val="000000"/>
                <w:sz w:val="20"/>
                <w:szCs w:val="20"/>
              </w:rPr>
            </w:pPr>
            <w:r>
              <w:rPr>
                <w:rFonts w:ascii="Calibri" w:hAnsi="Calibri" w:cs="Calibri"/>
                <w:color w:val="000000"/>
                <w:sz w:val="20"/>
                <w:szCs w:val="20"/>
              </w:rPr>
              <w:t>1,9%</w:t>
            </w:r>
          </w:p>
        </w:tc>
        <w:tc>
          <w:tcPr>
            <w:tcW w:w="741" w:type="dxa"/>
            <w:tcBorders>
              <w:top w:val="nil"/>
              <w:left w:val="nil"/>
              <w:bottom w:val="nil"/>
              <w:right w:val="nil"/>
            </w:tcBorders>
            <w:noWrap/>
            <w:vAlign w:val="center"/>
            <w:hideMark/>
          </w:tcPr>
          <w:p w14:paraId="6B02531C" w14:textId="77777777" w:rsidR="0022419F" w:rsidRDefault="0022419F" w:rsidP="00A35AEF">
            <w:pPr>
              <w:jc w:val="center"/>
              <w:rPr>
                <w:rFonts w:ascii="Calibri" w:hAnsi="Calibri" w:cs="Calibri"/>
                <w:color w:val="000000"/>
                <w:sz w:val="20"/>
                <w:szCs w:val="20"/>
              </w:rPr>
            </w:pPr>
            <w:r>
              <w:rPr>
                <w:rFonts w:ascii="Calibri" w:hAnsi="Calibri" w:cs="Calibri"/>
                <w:color w:val="000000"/>
                <w:sz w:val="20"/>
                <w:szCs w:val="20"/>
              </w:rPr>
              <w:t>8,7%</w:t>
            </w:r>
          </w:p>
        </w:tc>
        <w:tc>
          <w:tcPr>
            <w:tcW w:w="1289" w:type="dxa"/>
            <w:gridSpan w:val="4"/>
            <w:tcBorders>
              <w:top w:val="nil"/>
              <w:left w:val="nil"/>
              <w:bottom w:val="nil"/>
              <w:right w:val="nil"/>
            </w:tcBorders>
            <w:noWrap/>
            <w:vAlign w:val="center"/>
            <w:hideMark/>
          </w:tcPr>
          <w:p w14:paraId="533B442B" w14:textId="77777777" w:rsidR="0022419F" w:rsidRDefault="0022419F" w:rsidP="00A35AEF">
            <w:pPr>
              <w:jc w:val="center"/>
              <w:rPr>
                <w:rFonts w:ascii="Calibri" w:hAnsi="Calibri" w:cs="Calibri"/>
                <w:i/>
                <w:iCs/>
                <w:color w:val="000000"/>
                <w:sz w:val="20"/>
                <w:szCs w:val="20"/>
              </w:rPr>
            </w:pPr>
            <w:r>
              <w:rPr>
                <w:rFonts w:ascii="Calibri" w:hAnsi="Calibri" w:cs="Calibri"/>
                <w:i/>
                <w:iCs/>
                <w:color w:val="000000"/>
                <w:sz w:val="20"/>
                <w:szCs w:val="20"/>
              </w:rPr>
              <w:t>0,1%</w:t>
            </w:r>
          </w:p>
        </w:tc>
        <w:tc>
          <w:tcPr>
            <w:tcW w:w="164" w:type="dxa"/>
            <w:gridSpan w:val="2"/>
            <w:tcBorders>
              <w:top w:val="nil"/>
              <w:left w:val="nil"/>
              <w:bottom w:val="nil"/>
              <w:right w:val="nil"/>
            </w:tcBorders>
            <w:noWrap/>
            <w:vAlign w:val="center"/>
            <w:hideMark/>
          </w:tcPr>
          <w:p w14:paraId="23B30E26" w14:textId="77777777" w:rsidR="0022419F" w:rsidRDefault="0022419F" w:rsidP="00A35AEF">
            <w:pPr>
              <w:jc w:val="center"/>
              <w:rPr>
                <w:rFonts w:ascii="Calibri" w:hAnsi="Calibri" w:cs="Calibri"/>
                <w:i/>
                <w:iCs/>
                <w:color w:val="000000"/>
                <w:sz w:val="20"/>
                <w:szCs w:val="20"/>
              </w:rPr>
            </w:pPr>
          </w:p>
        </w:tc>
      </w:tr>
      <w:tr w:rsidR="0022419F" w14:paraId="37AE85D8" w14:textId="77777777" w:rsidTr="004C235D">
        <w:trPr>
          <w:trHeight w:val="272"/>
        </w:trPr>
        <w:tc>
          <w:tcPr>
            <w:tcW w:w="1773" w:type="dxa"/>
            <w:tcBorders>
              <w:top w:val="nil"/>
              <w:left w:val="nil"/>
              <w:bottom w:val="nil"/>
              <w:right w:val="nil"/>
            </w:tcBorders>
            <w:noWrap/>
            <w:vAlign w:val="center"/>
            <w:hideMark/>
          </w:tcPr>
          <w:p w14:paraId="58EC5117" w14:textId="77777777" w:rsidR="0022419F" w:rsidRDefault="0022419F" w:rsidP="00A35AEF">
            <w:pPr>
              <w:rPr>
                <w:rFonts w:ascii="Calibri" w:hAnsi="Calibri" w:cs="Calibri"/>
                <w:color w:val="000000"/>
                <w:sz w:val="20"/>
                <w:szCs w:val="20"/>
              </w:rPr>
            </w:pPr>
            <w:r>
              <w:rPr>
                <w:rFonts w:ascii="Calibri" w:hAnsi="Calibri" w:cs="Calibri"/>
                <w:color w:val="000000"/>
                <w:sz w:val="20"/>
                <w:szCs w:val="20"/>
              </w:rPr>
              <w:t>Polonia</w:t>
            </w:r>
          </w:p>
        </w:tc>
        <w:tc>
          <w:tcPr>
            <w:tcW w:w="1513" w:type="dxa"/>
            <w:tcBorders>
              <w:top w:val="nil"/>
              <w:left w:val="nil"/>
              <w:bottom w:val="nil"/>
              <w:right w:val="nil"/>
            </w:tcBorders>
            <w:noWrap/>
            <w:vAlign w:val="center"/>
            <w:hideMark/>
          </w:tcPr>
          <w:p w14:paraId="7CEFD0A5"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33.954.144</w:t>
            </w:r>
          </w:p>
        </w:tc>
        <w:tc>
          <w:tcPr>
            <w:tcW w:w="1605" w:type="dxa"/>
            <w:tcBorders>
              <w:top w:val="nil"/>
              <w:left w:val="nil"/>
              <w:bottom w:val="nil"/>
              <w:right w:val="nil"/>
            </w:tcBorders>
            <w:noWrap/>
            <w:vAlign w:val="center"/>
            <w:hideMark/>
          </w:tcPr>
          <w:p w14:paraId="17243C5C" w14:textId="77777777" w:rsidR="0022419F" w:rsidRDefault="0022419F" w:rsidP="00234F3A">
            <w:pPr>
              <w:jc w:val="center"/>
              <w:rPr>
                <w:rFonts w:ascii="Calibri" w:hAnsi="Calibri" w:cs="Calibri"/>
                <w:color w:val="000000"/>
                <w:sz w:val="20"/>
                <w:szCs w:val="20"/>
              </w:rPr>
            </w:pPr>
            <w:r>
              <w:rPr>
                <w:rFonts w:ascii="Calibri" w:hAnsi="Calibri" w:cs="Calibri"/>
                <w:color w:val="000000"/>
                <w:sz w:val="20"/>
                <w:szCs w:val="20"/>
              </w:rPr>
              <w:t>31.418.496</w:t>
            </w:r>
          </w:p>
        </w:tc>
        <w:tc>
          <w:tcPr>
            <w:tcW w:w="1134" w:type="dxa"/>
            <w:tcBorders>
              <w:top w:val="nil"/>
              <w:left w:val="nil"/>
              <w:bottom w:val="nil"/>
              <w:right w:val="nil"/>
            </w:tcBorders>
            <w:noWrap/>
            <w:vAlign w:val="center"/>
            <w:hideMark/>
          </w:tcPr>
          <w:p w14:paraId="642C56FB" w14:textId="77777777" w:rsidR="0022419F" w:rsidRDefault="0022419F" w:rsidP="00A35AEF">
            <w:pPr>
              <w:jc w:val="center"/>
              <w:rPr>
                <w:rFonts w:ascii="Calibri" w:hAnsi="Calibri" w:cs="Calibri"/>
                <w:color w:val="000000"/>
                <w:sz w:val="20"/>
                <w:szCs w:val="20"/>
              </w:rPr>
            </w:pPr>
            <w:r>
              <w:rPr>
                <w:rFonts w:ascii="Calibri" w:hAnsi="Calibri" w:cs="Calibri"/>
                <w:color w:val="000000"/>
                <w:sz w:val="20"/>
                <w:szCs w:val="20"/>
              </w:rPr>
              <w:t>1,8%</w:t>
            </w:r>
          </w:p>
        </w:tc>
        <w:tc>
          <w:tcPr>
            <w:tcW w:w="741" w:type="dxa"/>
            <w:tcBorders>
              <w:top w:val="nil"/>
              <w:left w:val="nil"/>
              <w:bottom w:val="nil"/>
              <w:right w:val="nil"/>
            </w:tcBorders>
            <w:noWrap/>
            <w:vAlign w:val="center"/>
            <w:hideMark/>
          </w:tcPr>
          <w:p w14:paraId="1411D8EB" w14:textId="77777777" w:rsidR="0022419F" w:rsidRDefault="0022419F" w:rsidP="00A35AEF">
            <w:pPr>
              <w:jc w:val="center"/>
              <w:rPr>
                <w:rFonts w:ascii="Calibri" w:hAnsi="Calibri" w:cs="Calibri"/>
                <w:color w:val="000000"/>
                <w:sz w:val="20"/>
                <w:szCs w:val="20"/>
              </w:rPr>
            </w:pPr>
            <w:r>
              <w:rPr>
                <w:rFonts w:ascii="Calibri" w:hAnsi="Calibri" w:cs="Calibri"/>
                <w:color w:val="000000"/>
                <w:sz w:val="20"/>
                <w:szCs w:val="20"/>
              </w:rPr>
              <w:t>-7,5%</w:t>
            </w:r>
          </w:p>
        </w:tc>
        <w:tc>
          <w:tcPr>
            <w:tcW w:w="1289" w:type="dxa"/>
            <w:gridSpan w:val="4"/>
            <w:tcBorders>
              <w:top w:val="nil"/>
              <w:left w:val="nil"/>
              <w:bottom w:val="nil"/>
              <w:right w:val="nil"/>
            </w:tcBorders>
            <w:noWrap/>
            <w:vAlign w:val="center"/>
            <w:hideMark/>
          </w:tcPr>
          <w:p w14:paraId="0BBB5AE8" w14:textId="77777777" w:rsidR="0022419F" w:rsidRDefault="0022419F" w:rsidP="00A35AEF">
            <w:pPr>
              <w:jc w:val="center"/>
              <w:rPr>
                <w:rFonts w:ascii="Calibri" w:hAnsi="Calibri" w:cs="Calibri"/>
                <w:i/>
                <w:iCs/>
                <w:color w:val="000000"/>
                <w:sz w:val="20"/>
                <w:szCs w:val="20"/>
              </w:rPr>
            </w:pPr>
            <w:r>
              <w:rPr>
                <w:rFonts w:ascii="Calibri" w:hAnsi="Calibri" w:cs="Calibri"/>
                <w:i/>
                <w:iCs/>
                <w:color w:val="000000"/>
                <w:sz w:val="20"/>
                <w:szCs w:val="20"/>
              </w:rPr>
              <w:t>-0,1%</w:t>
            </w:r>
          </w:p>
        </w:tc>
        <w:tc>
          <w:tcPr>
            <w:tcW w:w="164" w:type="dxa"/>
            <w:gridSpan w:val="2"/>
            <w:tcBorders>
              <w:top w:val="nil"/>
              <w:left w:val="nil"/>
              <w:bottom w:val="nil"/>
              <w:right w:val="nil"/>
            </w:tcBorders>
            <w:noWrap/>
            <w:vAlign w:val="center"/>
            <w:hideMark/>
          </w:tcPr>
          <w:p w14:paraId="2D9B3E37" w14:textId="77777777" w:rsidR="0022419F" w:rsidRDefault="0022419F" w:rsidP="00A35AEF">
            <w:pPr>
              <w:jc w:val="center"/>
              <w:rPr>
                <w:rFonts w:ascii="Calibri" w:hAnsi="Calibri" w:cs="Calibri"/>
                <w:i/>
                <w:iCs/>
                <w:color w:val="000000"/>
                <w:sz w:val="20"/>
                <w:szCs w:val="20"/>
              </w:rPr>
            </w:pPr>
          </w:p>
        </w:tc>
      </w:tr>
      <w:tr w:rsidR="0022419F" w14:paraId="1FE7F631" w14:textId="77777777" w:rsidTr="004C235D">
        <w:trPr>
          <w:trHeight w:val="272"/>
        </w:trPr>
        <w:tc>
          <w:tcPr>
            <w:tcW w:w="1773" w:type="dxa"/>
            <w:tcBorders>
              <w:top w:val="nil"/>
              <w:left w:val="nil"/>
              <w:bottom w:val="nil"/>
              <w:right w:val="nil"/>
            </w:tcBorders>
            <w:noWrap/>
            <w:vAlign w:val="center"/>
            <w:hideMark/>
          </w:tcPr>
          <w:p w14:paraId="3D517C58" w14:textId="77777777" w:rsidR="0022419F" w:rsidRDefault="0022419F" w:rsidP="00A35AEF">
            <w:pPr>
              <w:rPr>
                <w:rFonts w:ascii="Calibri" w:hAnsi="Calibri" w:cs="Calibri"/>
                <w:sz w:val="20"/>
                <w:szCs w:val="20"/>
              </w:rPr>
            </w:pPr>
            <w:r>
              <w:rPr>
                <w:rFonts w:ascii="Calibri" w:hAnsi="Calibri" w:cs="Calibri"/>
                <w:sz w:val="20"/>
                <w:szCs w:val="20"/>
              </w:rPr>
              <w:t>Altro</w:t>
            </w:r>
          </w:p>
        </w:tc>
        <w:tc>
          <w:tcPr>
            <w:tcW w:w="1513" w:type="dxa"/>
            <w:tcBorders>
              <w:top w:val="nil"/>
              <w:left w:val="nil"/>
              <w:bottom w:val="nil"/>
              <w:right w:val="nil"/>
            </w:tcBorders>
            <w:noWrap/>
            <w:vAlign w:val="center"/>
            <w:hideMark/>
          </w:tcPr>
          <w:p w14:paraId="7A1C23BE" w14:textId="77777777" w:rsidR="0022419F" w:rsidRDefault="0022419F" w:rsidP="00234F3A">
            <w:pPr>
              <w:jc w:val="center"/>
              <w:rPr>
                <w:rFonts w:ascii="Calibri" w:hAnsi="Calibri" w:cs="Calibri"/>
                <w:sz w:val="20"/>
                <w:szCs w:val="20"/>
              </w:rPr>
            </w:pPr>
            <w:r>
              <w:rPr>
                <w:rFonts w:ascii="Calibri" w:hAnsi="Calibri" w:cs="Calibri"/>
                <w:sz w:val="20"/>
                <w:szCs w:val="20"/>
              </w:rPr>
              <w:t>410.229.183</w:t>
            </w:r>
          </w:p>
        </w:tc>
        <w:tc>
          <w:tcPr>
            <w:tcW w:w="1605" w:type="dxa"/>
            <w:tcBorders>
              <w:top w:val="nil"/>
              <w:left w:val="nil"/>
              <w:bottom w:val="nil"/>
              <w:right w:val="nil"/>
            </w:tcBorders>
            <w:noWrap/>
            <w:vAlign w:val="center"/>
            <w:hideMark/>
          </w:tcPr>
          <w:p w14:paraId="24941FD2" w14:textId="77777777" w:rsidR="0022419F" w:rsidRDefault="0022419F" w:rsidP="00234F3A">
            <w:pPr>
              <w:jc w:val="center"/>
              <w:rPr>
                <w:rFonts w:ascii="Calibri" w:hAnsi="Calibri" w:cs="Calibri"/>
                <w:sz w:val="20"/>
                <w:szCs w:val="20"/>
              </w:rPr>
            </w:pPr>
            <w:r>
              <w:rPr>
                <w:rFonts w:ascii="Calibri" w:hAnsi="Calibri" w:cs="Calibri"/>
                <w:sz w:val="20"/>
                <w:szCs w:val="20"/>
              </w:rPr>
              <w:t>431.617.609</w:t>
            </w:r>
          </w:p>
        </w:tc>
        <w:tc>
          <w:tcPr>
            <w:tcW w:w="1134" w:type="dxa"/>
            <w:tcBorders>
              <w:top w:val="nil"/>
              <w:left w:val="nil"/>
              <w:bottom w:val="nil"/>
              <w:right w:val="nil"/>
            </w:tcBorders>
            <w:noWrap/>
            <w:vAlign w:val="center"/>
            <w:hideMark/>
          </w:tcPr>
          <w:p w14:paraId="61956F10" w14:textId="77777777" w:rsidR="0022419F" w:rsidRDefault="0022419F" w:rsidP="00A35AEF">
            <w:pPr>
              <w:jc w:val="center"/>
              <w:rPr>
                <w:rFonts w:ascii="Calibri" w:hAnsi="Calibri" w:cs="Calibri"/>
                <w:sz w:val="20"/>
                <w:szCs w:val="20"/>
              </w:rPr>
            </w:pPr>
            <w:r>
              <w:rPr>
                <w:rFonts w:ascii="Calibri" w:hAnsi="Calibri" w:cs="Calibri"/>
                <w:sz w:val="20"/>
                <w:szCs w:val="20"/>
              </w:rPr>
              <w:t>24,8%</w:t>
            </w:r>
          </w:p>
        </w:tc>
        <w:tc>
          <w:tcPr>
            <w:tcW w:w="741" w:type="dxa"/>
            <w:tcBorders>
              <w:top w:val="nil"/>
              <w:left w:val="nil"/>
              <w:bottom w:val="nil"/>
              <w:right w:val="nil"/>
            </w:tcBorders>
            <w:noWrap/>
            <w:vAlign w:val="center"/>
            <w:hideMark/>
          </w:tcPr>
          <w:p w14:paraId="3CD2A65C" w14:textId="77777777" w:rsidR="0022419F" w:rsidRDefault="0022419F" w:rsidP="00A35AEF">
            <w:pPr>
              <w:jc w:val="center"/>
              <w:rPr>
                <w:rFonts w:ascii="Calibri" w:hAnsi="Calibri" w:cs="Calibri"/>
                <w:sz w:val="20"/>
                <w:szCs w:val="20"/>
              </w:rPr>
            </w:pPr>
            <w:r>
              <w:rPr>
                <w:rFonts w:ascii="Calibri" w:hAnsi="Calibri" w:cs="Calibri"/>
                <w:sz w:val="20"/>
                <w:szCs w:val="20"/>
              </w:rPr>
              <w:t>5,2%</w:t>
            </w:r>
          </w:p>
        </w:tc>
        <w:tc>
          <w:tcPr>
            <w:tcW w:w="1289" w:type="dxa"/>
            <w:gridSpan w:val="4"/>
            <w:tcBorders>
              <w:top w:val="nil"/>
              <w:left w:val="nil"/>
              <w:bottom w:val="nil"/>
              <w:right w:val="nil"/>
            </w:tcBorders>
            <w:noWrap/>
            <w:vAlign w:val="center"/>
            <w:hideMark/>
          </w:tcPr>
          <w:p w14:paraId="7844E053" w14:textId="77777777" w:rsidR="0022419F" w:rsidRDefault="0022419F" w:rsidP="00A35AEF">
            <w:pPr>
              <w:jc w:val="center"/>
              <w:rPr>
                <w:rFonts w:ascii="Calibri" w:hAnsi="Calibri" w:cs="Calibri"/>
                <w:i/>
                <w:iCs/>
                <w:sz w:val="20"/>
                <w:szCs w:val="20"/>
              </w:rPr>
            </w:pPr>
            <w:r>
              <w:rPr>
                <w:rFonts w:ascii="Calibri" w:hAnsi="Calibri" w:cs="Calibri"/>
                <w:i/>
                <w:iCs/>
                <w:sz w:val="20"/>
                <w:szCs w:val="20"/>
              </w:rPr>
              <w:t>1,2%</w:t>
            </w:r>
          </w:p>
        </w:tc>
        <w:tc>
          <w:tcPr>
            <w:tcW w:w="164" w:type="dxa"/>
            <w:gridSpan w:val="2"/>
            <w:tcBorders>
              <w:top w:val="nil"/>
              <w:left w:val="nil"/>
              <w:bottom w:val="nil"/>
              <w:right w:val="nil"/>
            </w:tcBorders>
            <w:noWrap/>
            <w:vAlign w:val="center"/>
            <w:hideMark/>
          </w:tcPr>
          <w:p w14:paraId="055EC63E" w14:textId="77777777" w:rsidR="0022419F" w:rsidRDefault="0022419F" w:rsidP="00A35AEF">
            <w:pPr>
              <w:jc w:val="center"/>
              <w:rPr>
                <w:rFonts w:ascii="Calibri" w:hAnsi="Calibri" w:cs="Calibri"/>
                <w:i/>
                <w:iCs/>
                <w:sz w:val="20"/>
                <w:szCs w:val="20"/>
              </w:rPr>
            </w:pPr>
          </w:p>
        </w:tc>
      </w:tr>
      <w:tr w:rsidR="0022419F" w14:paraId="2ED2BD3A" w14:textId="77777777" w:rsidTr="004C235D">
        <w:trPr>
          <w:trHeight w:val="272"/>
        </w:trPr>
        <w:tc>
          <w:tcPr>
            <w:tcW w:w="1773" w:type="dxa"/>
            <w:tcBorders>
              <w:top w:val="single" w:sz="4" w:space="0" w:color="auto"/>
              <w:left w:val="nil"/>
              <w:bottom w:val="single" w:sz="4" w:space="0" w:color="auto"/>
              <w:right w:val="nil"/>
            </w:tcBorders>
            <w:noWrap/>
            <w:vAlign w:val="center"/>
            <w:hideMark/>
          </w:tcPr>
          <w:p w14:paraId="20DC7C16" w14:textId="77777777" w:rsidR="0022419F" w:rsidRDefault="0022419F" w:rsidP="00A35AEF">
            <w:pPr>
              <w:rPr>
                <w:rFonts w:ascii="Calibri" w:hAnsi="Calibri" w:cs="Calibri"/>
                <w:b/>
                <w:bCs/>
                <w:sz w:val="20"/>
                <w:szCs w:val="20"/>
              </w:rPr>
            </w:pPr>
            <w:r>
              <w:rPr>
                <w:rFonts w:ascii="Calibri" w:hAnsi="Calibri" w:cs="Calibri"/>
                <w:b/>
                <w:bCs/>
                <w:sz w:val="20"/>
                <w:szCs w:val="20"/>
              </w:rPr>
              <w:t>Totale</w:t>
            </w:r>
          </w:p>
        </w:tc>
        <w:tc>
          <w:tcPr>
            <w:tcW w:w="1513" w:type="dxa"/>
            <w:tcBorders>
              <w:top w:val="single" w:sz="4" w:space="0" w:color="auto"/>
              <w:left w:val="nil"/>
              <w:bottom w:val="single" w:sz="4" w:space="0" w:color="auto"/>
              <w:right w:val="nil"/>
            </w:tcBorders>
            <w:noWrap/>
            <w:vAlign w:val="center"/>
            <w:hideMark/>
          </w:tcPr>
          <w:p w14:paraId="45911A01" w14:textId="77777777" w:rsidR="0022419F" w:rsidRDefault="0022419F" w:rsidP="00234F3A">
            <w:pPr>
              <w:jc w:val="center"/>
              <w:rPr>
                <w:rFonts w:ascii="Calibri" w:hAnsi="Calibri" w:cs="Calibri"/>
                <w:b/>
                <w:bCs/>
                <w:sz w:val="20"/>
                <w:szCs w:val="20"/>
              </w:rPr>
            </w:pPr>
            <w:r>
              <w:rPr>
                <w:rFonts w:ascii="Calibri" w:hAnsi="Calibri" w:cs="Calibri"/>
                <w:b/>
                <w:bCs/>
                <w:sz w:val="20"/>
                <w:szCs w:val="20"/>
              </w:rPr>
              <w:t>1.812.532.778</w:t>
            </w:r>
          </w:p>
        </w:tc>
        <w:tc>
          <w:tcPr>
            <w:tcW w:w="1605" w:type="dxa"/>
            <w:tcBorders>
              <w:top w:val="single" w:sz="4" w:space="0" w:color="auto"/>
              <w:left w:val="nil"/>
              <w:bottom w:val="single" w:sz="4" w:space="0" w:color="auto"/>
              <w:right w:val="nil"/>
            </w:tcBorders>
            <w:noWrap/>
            <w:vAlign w:val="center"/>
            <w:hideMark/>
          </w:tcPr>
          <w:p w14:paraId="6A9F732D" w14:textId="77777777" w:rsidR="0022419F" w:rsidRDefault="0022419F" w:rsidP="00234F3A">
            <w:pPr>
              <w:jc w:val="center"/>
              <w:rPr>
                <w:rFonts w:ascii="Calibri" w:hAnsi="Calibri" w:cs="Calibri"/>
                <w:b/>
                <w:bCs/>
                <w:sz w:val="20"/>
                <w:szCs w:val="20"/>
              </w:rPr>
            </w:pPr>
            <w:r>
              <w:rPr>
                <w:rFonts w:ascii="Calibri" w:hAnsi="Calibri" w:cs="Calibri"/>
                <w:b/>
                <w:bCs/>
                <w:sz w:val="20"/>
                <w:szCs w:val="20"/>
              </w:rPr>
              <w:t>1.739.921.771</w:t>
            </w:r>
          </w:p>
        </w:tc>
        <w:tc>
          <w:tcPr>
            <w:tcW w:w="1134" w:type="dxa"/>
            <w:tcBorders>
              <w:top w:val="single" w:sz="4" w:space="0" w:color="auto"/>
              <w:left w:val="nil"/>
              <w:bottom w:val="single" w:sz="4" w:space="0" w:color="auto"/>
              <w:right w:val="nil"/>
            </w:tcBorders>
            <w:noWrap/>
            <w:vAlign w:val="center"/>
            <w:hideMark/>
          </w:tcPr>
          <w:p w14:paraId="021264E3" w14:textId="77777777" w:rsidR="0022419F" w:rsidRDefault="0022419F" w:rsidP="00A35AEF">
            <w:pPr>
              <w:jc w:val="center"/>
              <w:rPr>
                <w:rFonts w:ascii="Calibri" w:hAnsi="Calibri" w:cs="Calibri"/>
                <w:b/>
                <w:bCs/>
                <w:sz w:val="20"/>
                <w:szCs w:val="20"/>
              </w:rPr>
            </w:pPr>
            <w:r>
              <w:rPr>
                <w:rFonts w:ascii="Calibri" w:hAnsi="Calibri" w:cs="Calibri"/>
                <w:b/>
                <w:bCs/>
                <w:sz w:val="20"/>
                <w:szCs w:val="20"/>
              </w:rPr>
              <w:t>100,0%</w:t>
            </w:r>
          </w:p>
        </w:tc>
        <w:tc>
          <w:tcPr>
            <w:tcW w:w="741" w:type="dxa"/>
            <w:tcBorders>
              <w:top w:val="single" w:sz="4" w:space="0" w:color="auto"/>
              <w:left w:val="nil"/>
              <w:bottom w:val="single" w:sz="4" w:space="0" w:color="auto"/>
              <w:right w:val="nil"/>
            </w:tcBorders>
            <w:noWrap/>
            <w:vAlign w:val="center"/>
            <w:hideMark/>
          </w:tcPr>
          <w:p w14:paraId="16B4FC49" w14:textId="77777777" w:rsidR="0022419F" w:rsidRDefault="0022419F" w:rsidP="00A35AEF">
            <w:pPr>
              <w:jc w:val="center"/>
              <w:rPr>
                <w:rFonts w:ascii="Calibri" w:hAnsi="Calibri" w:cs="Calibri"/>
                <w:b/>
                <w:bCs/>
                <w:sz w:val="20"/>
                <w:szCs w:val="20"/>
              </w:rPr>
            </w:pPr>
            <w:r>
              <w:rPr>
                <w:rFonts w:ascii="Calibri" w:hAnsi="Calibri" w:cs="Calibri"/>
                <w:b/>
                <w:bCs/>
                <w:sz w:val="20"/>
                <w:szCs w:val="20"/>
              </w:rPr>
              <w:t>-4,0%</w:t>
            </w:r>
          </w:p>
        </w:tc>
        <w:tc>
          <w:tcPr>
            <w:tcW w:w="1289" w:type="dxa"/>
            <w:gridSpan w:val="4"/>
            <w:tcBorders>
              <w:top w:val="single" w:sz="4" w:space="0" w:color="auto"/>
              <w:left w:val="nil"/>
              <w:bottom w:val="single" w:sz="4" w:space="0" w:color="auto"/>
              <w:right w:val="nil"/>
            </w:tcBorders>
            <w:noWrap/>
            <w:vAlign w:val="center"/>
            <w:hideMark/>
          </w:tcPr>
          <w:p w14:paraId="383F2941" w14:textId="77777777" w:rsidR="0022419F" w:rsidRDefault="0022419F" w:rsidP="00A35AEF">
            <w:pPr>
              <w:jc w:val="center"/>
              <w:rPr>
                <w:rFonts w:ascii="Calibri" w:hAnsi="Calibri" w:cs="Calibri"/>
                <w:b/>
                <w:bCs/>
                <w:i/>
                <w:iCs/>
                <w:sz w:val="20"/>
                <w:szCs w:val="20"/>
              </w:rPr>
            </w:pPr>
            <w:r>
              <w:rPr>
                <w:rFonts w:ascii="Calibri" w:hAnsi="Calibri" w:cs="Calibri"/>
                <w:b/>
                <w:bCs/>
                <w:i/>
                <w:iCs/>
                <w:sz w:val="20"/>
                <w:szCs w:val="20"/>
              </w:rPr>
              <w:t>-4,0%</w:t>
            </w:r>
          </w:p>
        </w:tc>
        <w:tc>
          <w:tcPr>
            <w:tcW w:w="164" w:type="dxa"/>
            <w:gridSpan w:val="2"/>
            <w:tcBorders>
              <w:top w:val="nil"/>
              <w:left w:val="nil"/>
              <w:bottom w:val="nil"/>
              <w:right w:val="nil"/>
            </w:tcBorders>
            <w:noWrap/>
            <w:vAlign w:val="center"/>
            <w:hideMark/>
          </w:tcPr>
          <w:p w14:paraId="6A1E7DF3" w14:textId="77777777" w:rsidR="0022419F" w:rsidRDefault="0022419F" w:rsidP="00A35AEF">
            <w:pPr>
              <w:jc w:val="center"/>
              <w:rPr>
                <w:rFonts w:ascii="Calibri" w:hAnsi="Calibri" w:cs="Calibri"/>
                <w:b/>
                <w:bCs/>
                <w:i/>
                <w:iCs/>
                <w:sz w:val="20"/>
                <w:szCs w:val="20"/>
              </w:rPr>
            </w:pPr>
          </w:p>
        </w:tc>
      </w:tr>
      <w:tr w:rsidR="0022419F" w14:paraId="7F928DEB" w14:textId="77777777" w:rsidTr="004C235D">
        <w:trPr>
          <w:gridAfter w:val="1"/>
          <w:wAfter w:w="15" w:type="dxa"/>
          <w:trHeight w:val="283"/>
        </w:trPr>
        <w:tc>
          <w:tcPr>
            <w:tcW w:w="8204" w:type="dxa"/>
            <w:gridSpan w:val="10"/>
            <w:tcBorders>
              <w:top w:val="nil"/>
              <w:left w:val="nil"/>
              <w:bottom w:val="nil"/>
              <w:right w:val="nil"/>
            </w:tcBorders>
            <w:noWrap/>
            <w:vAlign w:val="center"/>
            <w:hideMark/>
          </w:tcPr>
          <w:p w14:paraId="65B22DC3" w14:textId="77777777" w:rsidR="0022419F" w:rsidRDefault="0022419F" w:rsidP="00A35AEF">
            <w:pPr>
              <w:rPr>
                <w:rFonts w:ascii="Calibri" w:hAnsi="Calibri" w:cs="Calibri"/>
                <w:i/>
                <w:iCs/>
                <w:color w:val="000000"/>
                <w:sz w:val="20"/>
                <w:szCs w:val="20"/>
              </w:rPr>
            </w:pPr>
            <w:r>
              <w:rPr>
                <w:rFonts w:ascii="Calibri" w:hAnsi="Calibri" w:cs="Calibri"/>
                <w:i/>
                <w:iCs/>
                <w:color w:val="000000"/>
                <w:sz w:val="20"/>
                <w:szCs w:val="20"/>
              </w:rPr>
              <w:t>Fonte: Elaborazioni Camera di Commercio Toscana Nord-Ovest -ISR su dati Istat (dati provvisori)</w:t>
            </w:r>
          </w:p>
        </w:tc>
      </w:tr>
    </w:tbl>
    <w:p w14:paraId="345B68C8" w14:textId="77777777" w:rsidR="00DF30BC" w:rsidRDefault="00DF30BC" w:rsidP="0022419F">
      <w:pPr>
        <w:rPr>
          <w:rFonts w:ascii="Calibri" w:hAnsi="Calibri"/>
          <w:b/>
        </w:rPr>
      </w:pPr>
    </w:p>
    <w:p w14:paraId="31CF969A" w14:textId="77777777" w:rsidR="0075577E" w:rsidRPr="00F65996" w:rsidRDefault="0022419F" w:rsidP="0075577E">
      <w:pPr>
        <w:rPr>
          <w:rFonts w:ascii="Calibri" w:hAnsi="Calibri" w:cs="Calibri"/>
          <w:b/>
          <w:bCs/>
          <w:i/>
          <w:iCs/>
          <w:color w:val="00000A"/>
          <w:sz w:val="22"/>
          <w:szCs w:val="22"/>
        </w:rPr>
      </w:pPr>
      <w:r>
        <w:rPr>
          <w:rFonts w:ascii="Calibri" w:hAnsi="Calibri" w:cs="Calibri"/>
          <w:b/>
          <w:bCs/>
          <w:i/>
          <w:iCs/>
          <w:color w:val="00000A"/>
          <w:sz w:val="22"/>
          <w:szCs w:val="22"/>
        </w:rPr>
        <w:br w:type="page"/>
      </w:r>
      <w:r w:rsidR="0075577E" w:rsidRPr="00F65996">
        <w:rPr>
          <w:rFonts w:ascii="Calibri" w:hAnsi="Calibri" w:cs="Calibri"/>
          <w:b/>
          <w:bCs/>
          <w:i/>
          <w:iCs/>
          <w:color w:val="00000A"/>
          <w:sz w:val="22"/>
          <w:szCs w:val="22"/>
        </w:rPr>
        <w:lastRenderedPageBreak/>
        <w:t>GRUPPO DI LAVORO</w:t>
      </w:r>
    </w:p>
    <w:p w14:paraId="03D1528A" w14:textId="77777777" w:rsidR="0075577E" w:rsidRPr="00F65996" w:rsidRDefault="0075577E" w:rsidP="0075577E">
      <w:pPr>
        <w:rPr>
          <w:rFonts w:ascii="Calibri" w:hAnsi="Calibri" w:cs="Calibri"/>
          <w:b/>
          <w:bCs/>
          <w:i/>
          <w:iCs/>
          <w:color w:val="00000A"/>
          <w:sz w:val="22"/>
          <w:szCs w:val="22"/>
        </w:rPr>
      </w:pPr>
    </w:p>
    <w:p w14:paraId="10581B47" w14:textId="77777777" w:rsidR="0075577E" w:rsidRPr="00F65996" w:rsidRDefault="0075577E" w:rsidP="0075577E">
      <w:pPr>
        <w:rPr>
          <w:rFonts w:ascii="Calibri" w:hAnsi="Calibri" w:cs="Calibri"/>
          <w:b/>
          <w:bCs/>
          <w:i/>
          <w:iCs/>
          <w:color w:val="00000A"/>
          <w:sz w:val="22"/>
          <w:szCs w:val="22"/>
        </w:rPr>
      </w:pPr>
      <w:r w:rsidRPr="00F65996">
        <w:rPr>
          <w:rFonts w:ascii="Calibri" w:hAnsi="Calibri" w:cs="Calibri"/>
          <w:b/>
          <w:bCs/>
          <w:i/>
          <w:iCs/>
          <w:color w:val="00000A"/>
          <w:sz w:val="22"/>
          <w:szCs w:val="22"/>
        </w:rPr>
        <w:t>Coordinamento</w:t>
      </w:r>
    </w:p>
    <w:p w14:paraId="1F1B2D8A" w14:textId="77777777" w:rsidR="0075577E" w:rsidRPr="00F65996" w:rsidRDefault="0075577E" w:rsidP="0075577E">
      <w:pPr>
        <w:rPr>
          <w:rFonts w:ascii="Calibri" w:hAnsi="Calibri" w:cs="Calibri"/>
          <w:i/>
          <w:iCs/>
          <w:color w:val="00000A"/>
          <w:sz w:val="22"/>
          <w:szCs w:val="22"/>
        </w:rPr>
      </w:pPr>
      <w:r w:rsidRPr="00F65996">
        <w:rPr>
          <w:rFonts w:ascii="Calibri" w:hAnsi="Calibri" w:cs="Calibri"/>
          <w:i/>
          <w:iCs/>
          <w:color w:val="00000A"/>
          <w:sz w:val="22"/>
          <w:szCs w:val="22"/>
        </w:rPr>
        <w:t>Alberto Susini</w:t>
      </w:r>
    </w:p>
    <w:p w14:paraId="70AECA31" w14:textId="77777777" w:rsidR="0075577E" w:rsidRPr="00F65996" w:rsidRDefault="0075577E" w:rsidP="0075577E">
      <w:pPr>
        <w:rPr>
          <w:rFonts w:ascii="Calibri" w:hAnsi="Calibri" w:cs="Calibri"/>
          <w:i/>
          <w:iCs/>
          <w:color w:val="00000A"/>
          <w:sz w:val="22"/>
          <w:szCs w:val="22"/>
        </w:rPr>
      </w:pPr>
    </w:p>
    <w:p w14:paraId="7C8FA971" w14:textId="77777777" w:rsidR="0075577E" w:rsidRPr="00F65996" w:rsidRDefault="0075577E" w:rsidP="0075577E">
      <w:pPr>
        <w:rPr>
          <w:rFonts w:ascii="Calibri" w:hAnsi="Calibri" w:cs="Calibri"/>
          <w:b/>
          <w:bCs/>
          <w:i/>
          <w:iCs/>
          <w:color w:val="00000A"/>
          <w:sz w:val="22"/>
          <w:szCs w:val="22"/>
        </w:rPr>
      </w:pPr>
      <w:r w:rsidRPr="00F65996">
        <w:rPr>
          <w:rFonts w:ascii="Calibri" w:hAnsi="Calibri" w:cs="Calibri"/>
          <w:b/>
          <w:bCs/>
          <w:i/>
          <w:iCs/>
          <w:color w:val="00000A"/>
          <w:sz w:val="22"/>
          <w:szCs w:val="22"/>
        </w:rPr>
        <w:t xml:space="preserve">Redazione </w:t>
      </w:r>
    </w:p>
    <w:p w14:paraId="2E6446C4" w14:textId="77777777" w:rsidR="0075577E" w:rsidRPr="00F65996" w:rsidRDefault="0075577E" w:rsidP="0075577E">
      <w:pPr>
        <w:rPr>
          <w:rFonts w:ascii="Calibri" w:hAnsi="Calibri" w:cs="Calibri"/>
          <w:i/>
          <w:iCs/>
          <w:color w:val="00000A"/>
          <w:sz w:val="22"/>
          <w:szCs w:val="22"/>
        </w:rPr>
      </w:pPr>
      <w:r>
        <w:rPr>
          <w:rFonts w:ascii="Calibri" w:hAnsi="Calibri" w:cs="Calibri"/>
          <w:i/>
          <w:iCs/>
          <w:color w:val="00000A"/>
          <w:sz w:val="22"/>
          <w:szCs w:val="22"/>
        </w:rPr>
        <w:t xml:space="preserve">Silvano </w:t>
      </w:r>
      <w:proofErr w:type="spellStart"/>
      <w:r>
        <w:rPr>
          <w:rFonts w:ascii="Calibri" w:hAnsi="Calibri" w:cs="Calibri"/>
          <w:i/>
          <w:iCs/>
          <w:color w:val="00000A"/>
          <w:sz w:val="22"/>
          <w:szCs w:val="22"/>
        </w:rPr>
        <w:t>Crecchi</w:t>
      </w:r>
      <w:proofErr w:type="spellEnd"/>
    </w:p>
    <w:p w14:paraId="57FBAAA3" w14:textId="77777777" w:rsidR="0075577E" w:rsidRPr="00F65996" w:rsidRDefault="0075577E" w:rsidP="0075577E">
      <w:pPr>
        <w:rPr>
          <w:rFonts w:ascii="Calibri" w:hAnsi="Calibri" w:cs="Calibri"/>
          <w:i/>
          <w:iCs/>
          <w:color w:val="00000A"/>
          <w:sz w:val="22"/>
          <w:szCs w:val="22"/>
        </w:rPr>
      </w:pPr>
    </w:p>
    <w:p w14:paraId="6CCE1C75" w14:textId="77777777" w:rsidR="0075577E" w:rsidRPr="00F65996" w:rsidRDefault="0075577E" w:rsidP="0075577E">
      <w:pPr>
        <w:rPr>
          <w:rFonts w:ascii="Calibri" w:hAnsi="Calibri" w:cs="Calibri"/>
          <w:b/>
          <w:bCs/>
          <w:i/>
          <w:iCs/>
          <w:color w:val="00000A"/>
          <w:sz w:val="22"/>
          <w:szCs w:val="22"/>
        </w:rPr>
      </w:pPr>
      <w:r w:rsidRPr="00F65996">
        <w:rPr>
          <w:rFonts w:ascii="Calibri" w:hAnsi="Calibri" w:cs="Calibri"/>
          <w:b/>
          <w:bCs/>
          <w:i/>
          <w:iCs/>
          <w:color w:val="00000A"/>
          <w:sz w:val="22"/>
          <w:szCs w:val="22"/>
        </w:rPr>
        <w:t>Elaborazioni</w:t>
      </w:r>
    </w:p>
    <w:p w14:paraId="3A26AE43" w14:textId="77777777" w:rsidR="0075577E" w:rsidRDefault="0075577E" w:rsidP="0075577E">
      <w:pPr>
        <w:rPr>
          <w:rFonts w:ascii="Calibri" w:hAnsi="Calibri" w:cs="Calibri"/>
          <w:i/>
          <w:iCs/>
          <w:color w:val="00000A"/>
          <w:sz w:val="22"/>
          <w:szCs w:val="22"/>
        </w:rPr>
      </w:pPr>
      <w:r>
        <w:rPr>
          <w:rFonts w:ascii="Calibri" w:hAnsi="Calibri" w:cs="Calibri"/>
          <w:i/>
          <w:iCs/>
          <w:color w:val="00000A"/>
          <w:sz w:val="22"/>
          <w:szCs w:val="22"/>
        </w:rPr>
        <w:t>Massimo Pazzarelli</w:t>
      </w:r>
    </w:p>
    <w:p w14:paraId="78F8209F" w14:textId="77777777" w:rsidR="0075577E" w:rsidRPr="00F65996" w:rsidRDefault="0075577E" w:rsidP="0075577E">
      <w:pPr>
        <w:rPr>
          <w:rFonts w:ascii="Calibri" w:hAnsi="Calibri" w:cs="Calibri"/>
          <w:i/>
          <w:iCs/>
          <w:color w:val="00000A"/>
          <w:sz w:val="22"/>
          <w:szCs w:val="22"/>
        </w:rPr>
      </w:pPr>
    </w:p>
    <w:p w14:paraId="62085D42" w14:textId="77777777" w:rsidR="0075577E" w:rsidRPr="00F65996" w:rsidRDefault="0075577E" w:rsidP="0075577E">
      <w:pPr>
        <w:rPr>
          <w:rFonts w:ascii="Calibri" w:hAnsi="Calibri" w:cs="Calibri"/>
          <w:b/>
          <w:bCs/>
          <w:i/>
          <w:iCs/>
          <w:color w:val="00000A"/>
          <w:sz w:val="22"/>
          <w:szCs w:val="22"/>
        </w:rPr>
      </w:pPr>
      <w:r w:rsidRPr="00F65996">
        <w:rPr>
          <w:rFonts w:ascii="Calibri" w:hAnsi="Calibri" w:cs="Calibri"/>
          <w:b/>
          <w:bCs/>
          <w:i/>
          <w:iCs/>
          <w:color w:val="00000A"/>
          <w:sz w:val="22"/>
          <w:szCs w:val="22"/>
        </w:rPr>
        <w:t>INFO</w:t>
      </w:r>
    </w:p>
    <w:p w14:paraId="75EEA396" w14:textId="77777777" w:rsidR="0075577E" w:rsidRPr="00F65996" w:rsidRDefault="0075577E" w:rsidP="0075577E">
      <w:pPr>
        <w:rPr>
          <w:rFonts w:ascii="Calibri" w:hAnsi="Calibri" w:cs="Calibri"/>
          <w:i/>
          <w:iCs/>
          <w:color w:val="00000A"/>
          <w:sz w:val="22"/>
          <w:szCs w:val="22"/>
        </w:rPr>
      </w:pPr>
      <w:hyperlink r:id="rId10" w:history="1">
        <w:r w:rsidRPr="00F65996">
          <w:rPr>
            <w:rStyle w:val="Collegamentoipertestuale"/>
            <w:rFonts w:ascii="Calibri" w:hAnsi="Calibri" w:cs="Calibri"/>
            <w:i/>
            <w:iCs/>
            <w:sz w:val="22"/>
            <w:szCs w:val="22"/>
          </w:rPr>
          <w:t>studi@tno.camcom.it</w:t>
        </w:r>
      </w:hyperlink>
    </w:p>
    <w:p w14:paraId="5F069FEF" w14:textId="77777777" w:rsidR="0075577E" w:rsidRDefault="0075577E" w:rsidP="0075577E">
      <w:pPr>
        <w:rPr>
          <w:rFonts w:ascii="Calibri" w:hAnsi="Calibri" w:cs="Calibri"/>
          <w:i/>
          <w:iCs/>
          <w:color w:val="00000A"/>
          <w:sz w:val="22"/>
          <w:szCs w:val="22"/>
        </w:rPr>
      </w:pPr>
      <w:hyperlink r:id="rId11" w:history="1">
        <w:r w:rsidRPr="00F65996">
          <w:rPr>
            <w:rStyle w:val="Collegamentoipertestuale"/>
            <w:rFonts w:ascii="Calibri" w:hAnsi="Calibri" w:cs="Calibri"/>
            <w:i/>
            <w:iCs/>
            <w:sz w:val="22"/>
            <w:szCs w:val="22"/>
          </w:rPr>
          <w:t>https://www.isr-ms.it</w:t>
        </w:r>
      </w:hyperlink>
      <w:r w:rsidRPr="00F65996">
        <w:rPr>
          <w:rFonts w:ascii="Calibri" w:hAnsi="Calibri" w:cs="Calibri"/>
          <w:i/>
          <w:iCs/>
          <w:color w:val="00000A"/>
          <w:sz w:val="22"/>
          <w:szCs w:val="22"/>
        </w:rPr>
        <w:t xml:space="preserve"> </w:t>
      </w:r>
    </w:p>
    <w:p w14:paraId="1C328A23" w14:textId="77777777" w:rsidR="0075577E" w:rsidRDefault="0075577E" w:rsidP="0075577E">
      <w:pPr>
        <w:rPr>
          <w:rFonts w:ascii="Calibri" w:hAnsi="Calibri" w:cs="Calibri"/>
          <w:i/>
          <w:iCs/>
          <w:color w:val="00000A"/>
          <w:sz w:val="22"/>
          <w:szCs w:val="22"/>
        </w:rPr>
      </w:pPr>
    </w:p>
    <w:p w14:paraId="59EA3349" w14:textId="77777777" w:rsidR="0075577E" w:rsidRDefault="0075577E" w:rsidP="0075577E">
      <w:pPr>
        <w:rPr>
          <w:rFonts w:ascii="Calibri" w:hAnsi="Calibri" w:cs="Calibri"/>
          <w:i/>
          <w:iCs/>
          <w:color w:val="00000A"/>
          <w:sz w:val="22"/>
          <w:szCs w:val="22"/>
        </w:rPr>
      </w:pPr>
    </w:p>
    <w:p w14:paraId="08BE57CE" w14:textId="6A714B9B" w:rsidR="0075577E" w:rsidRPr="00DB06BA" w:rsidRDefault="0075577E" w:rsidP="0075577E">
      <w:pPr>
        <w:rPr>
          <w:rFonts w:ascii="Calibri" w:hAnsi="Calibri" w:cs="Calibri"/>
        </w:rPr>
      </w:pPr>
      <w:r w:rsidRPr="00635EA4">
        <w:rPr>
          <w:rFonts w:ascii="Calibri" w:hAnsi="Calibri" w:cs="Calibri"/>
        </w:rPr>
        <w:t xml:space="preserve">Diffusa il </w:t>
      </w:r>
      <w:r w:rsidR="00635EA4" w:rsidRPr="00635EA4">
        <w:rPr>
          <w:rFonts w:ascii="Calibri" w:hAnsi="Calibri" w:cs="Calibri"/>
        </w:rPr>
        <w:t>23</w:t>
      </w:r>
      <w:r w:rsidRPr="00635EA4">
        <w:rPr>
          <w:rFonts w:ascii="Calibri" w:hAnsi="Calibri" w:cs="Calibri"/>
        </w:rPr>
        <w:t xml:space="preserve"> settembre 202</w:t>
      </w:r>
      <w:r w:rsidR="0022419F" w:rsidRPr="00635EA4">
        <w:rPr>
          <w:rFonts w:ascii="Calibri" w:hAnsi="Calibri" w:cs="Calibri"/>
        </w:rPr>
        <w:t>5</w:t>
      </w:r>
    </w:p>
    <w:p w14:paraId="093B3CFA" w14:textId="77777777" w:rsidR="0075577E" w:rsidRPr="00F65996" w:rsidRDefault="0075577E" w:rsidP="0075577E">
      <w:pPr>
        <w:rPr>
          <w:rFonts w:ascii="Calibri" w:hAnsi="Calibri" w:cs="Calibri"/>
          <w:i/>
          <w:iCs/>
          <w:color w:val="00000A"/>
          <w:sz w:val="22"/>
          <w:szCs w:val="22"/>
        </w:rPr>
      </w:pPr>
    </w:p>
    <w:p w14:paraId="409EECB5" w14:textId="77777777" w:rsidR="0075577E" w:rsidRDefault="0075577E" w:rsidP="0075577E">
      <w:pPr>
        <w:spacing w:before="240"/>
        <w:jc w:val="both"/>
        <w:rPr>
          <w:rFonts w:ascii="Calibri" w:eastAsia="Calibri" w:hAnsi="Calibri" w:cs="Calibri"/>
          <w:b/>
          <w:i/>
          <w:iCs/>
          <w:sz w:val="22"/>
          <w:szCs w:val="22"/>
        </w:rPr>
      </w:pPr>
      <w:r w:rsidRPr="00F65996">
        <w:rPr>
          <w:rFonts w:ascii="Calibri" w:eastAsia="Calibri" w:hAnsi="Calibri" w:cs="Calibri"/>
          <w:b/>
          <w:i/>
          <w:iCs/>
          <w:sz w:val="22"/>
          <w:szCs w:val="22"/>
        </w:rPr>
        <w:br w:type="page"/>
      </w:r>
      <w:r w:rsidRPr="00BD235D">
        <w:rPr>
          <w:rFonts w:ascii="Calibri" w:eastAsia="Calibri" w:hAnsi="Calibri" w:cs="Calibri"/>
          <w:b/>
          <w:i/>
          <w:iCs/>
          <w:sz w:val="22"/>
          <w:szCs w:val="22"/>
        </w:rPr>
        <w:lastRenderedPageBreak/>
        <w:t>NOTA METODOLOGICA</w:t>
      </w:r>
    </w:p>
    <w:p w14:paraId="2BEBA3D6" w14:textId="77777777" w:rsidR="0075577E" w:rsidRPr="006D6BB4" w:rsidRDefault="0075577E" w:rsidP="0075577E">
      <w:pPr>
        <w:jc w:val="both"/>
        <w:rPr>
          <w:rFonts w:ascii="Calibri" w:eastAsia="Calibri" w:hAnsi="Calibri" w:cs="Calibri"/>
          <w:bCs/>
          <w:i/>
          <w:iCs/>
          <w:sz w:val="22"/>
          <w:szCs w:val="22"/>
        </w:rPr>
      </w:pPr>
      <w:proofErr w:type="spellStart"/>
      <w:r w:rsidRPr="006D6BB4">
        <w:rPr>
          <w:rFonts w:ascii="Calibri" w:eastAsia="Calibri" w:hAnsi="Calibri" w:cs="Calibri"/>
          <w:bCs/>
          <w:i/>
          <w:iCs/>
          <w:sz w:val="22"/>
          <w:szCs w:val="22"/>
        </w:rPr>
        <w:t>Coeweb</w:t>
      </w:r>
      <w:proofErr w:type="spellEnd"/>
      <w:r w:rsidRPr="006D6BB4">
        <w:rPr>
          <w:rFonts w:ascii="Calibri" w:eastAsia="Calibri" w:hAnsi="Calibri" w:cs="Calibri"/>
          <w:bCs/>
          <w:i/>
          <w:iCs/>
          <w:sz w:val="22"/>
          <w:szCs w:val="22"/>
        </w:rPr>
        <w:t xml:space="preserve"> è il sistema informativo on-line di ISTAT dedicato alle statistiche del commercio con l'estero e fornisce, con cadenza mensile (trimestrale a livello provinciale), un ricco patrimonio informativo sui flussi commerciali dell'Italia con il resto del mondo. </w:t>
      </w:r>
    </w:p>
    <w:p w14:paraId="09F9188B" w14:textId="77777777" w:rsidR="0075577E" w:rsidRPr="006D6BB4" w:rsidRDefault="0075577E" w:rsidP="0075577E">
      <w:pPr>
        <w:jc w:val="both"/>
        <w:rPr>
          <w:rFonts w:ascii="Calibri" w:eastAsia="Calibri" w:hAnsi="Calibri" w:cs="Calibri"/>
          <w:bCs/>
          <w:i/>
          <w:iCs/>
          <w:sz w:val="22"/>
          <w:szCs w:val="22"/>
        </w:rPr>
      </w:pPr>
      <w:r w:rsidRPr="006D6BB4">
        <w:rPr>
          <w:rFonts w:ascii="Calibri" w:eastAsia="Calibri" w:hAnsi="Calibri" w:cs="Calibri"/>
          <w:bCs/>
          <w:i/>
          <w:iCs/>
          <w:sz w:val="22"/>
          <w:szCs w:val="22"/>
        </w:rPr>
        <w:t xml:space="preserve">Le informazioni derivano per i paesi extra-UE dal Documento Amministrativo Unico (D.A.U.) e per i paesi UE dai modelli Intrastat acquisiti dall'Agenzia delle Dogane. </w:t>
      </w:r>
    </w:p>
    <w:p w14:paraId="342F5122" w14:textId="77777777" w:rsidR="0075577E" w:rsidRPr="006D6BB4" w:rsidRDefault="0075577E" w:rsidP="0075577E">
      <w:pPr>
        <w:jc w:val="both"/>
        <w:rPr>
          <w:rFonts w:ascii="Calibri" w:eastAsia="Calibri" w:hAnsi="Calibri" w:cs="Calibri"/>
          <w:bCs/>
          <w:i/>
          <w:iCs/>
          <w:sz w:val="22"/>
          <w:szCs w:val="22"/>
        </w:rPr>
      </w:pPr>
      <w:r w:rsidRPr="006D6BB4">
        <w:rPr>
          <w:rFonts w:ascii="Calibri" w:eastAsia="Calibri" w:hAnsi="Calibri" w:cs="Calibri"/>
          <w:bCs/>
          <w:i/>
          <w:iCs/>
          <w:sz w:val="22"/>
          <w:szCs w:val="22"/>
        </w:rPr>
        <w:t>I dati raccolti, una volta pervenuti all'ISTAT, vengono prima trattati in base alle normative comunitarie relative alle statistiche del commercio con l'estero e successivamente rivisti e validati dai revisori.</w:t>
      </w:r>
    </w:p>
    <w:p w14:paraId="16484784" w14:textId="77777777" w:rsidR="0075577E" w:rsidRPr="006D6BB4" w:rsidRDefault="0075577E" w:rsidP="0075577E">
      <w:pPr>
        <w:jc w:val="both"/>
        <w:rPr>
          <w:rFonts w:ascii="Calibri" w:eastAsia="Calibri" w:hAnsi="Calibri" w:cs="Calibri"/>
          <w:bCs/>
          <w:i/>
          <w:iCs/>
          <w:sz w:val="22"/>
          <w:szCs w:val="22"/>
        </w:rPr>
      </w:pPr>
      <w:r w:rsidRPr="006D6BB4">
        <w:rPr>
          <w:rFonts w:ascii="Calibri" w:eastAsia="Calibri" w:hAnsi="Calibri" w:cs="Calibri"/>
          <w:bCs/>
          <w:i/>
          <w:iCs/>
          <w:sz w:val="22"/>
          <w:szCs w:val="22"/>
        </w:rPr>
        <w:t xml:space="preserve">La banca dati, che contiene informazioni a partire dal 1991, fornisce informazioni statistiche per le esportazioni e le importazioni secondo varie variabili di classificazione: </w:t>
      </w:r>
    </w:p>
    <w:p w14:paraId="6DEC5556" w14:textId="77777777" w:rsidR="0075577E" w:rsidRPr="006D6BB4" w:rsidRDefault="0075577E" w:rsidP="0075577E">
      <w:pPr>
        <w:jc w:val="both"/>
        <w:rPr>
          <w:rFonts w:ascii="Calibri" w:eastAsia="Calibri" w:hAnsi="Calibri" w:cs="Calibri"/>
          <w:bCs/>
          <w:i/>
          <w:iCs/>
          <w:sz w:val="22"/>
          <w:szCs w:val="22"/>
        </w:rPr>
      </w:pPr>
      <w:r w:rsidRPr="006D6BB4">
        <w:rPr>
          <w:rFonts w:ascii="Calibri" w:eastAsia="Calibri" w:hAnsi="Calibri" w:cs="Calibri"/>
          <w:bCs/>
          <w:i/>
          <w:iCs/>
          <w:sz w:val="22"/>
          <w:szCs w:val="22"/>
        </w:rPr>
        <w:t xml:space="preserve"> - Territorio di provenienza o destinazione delle merci (province, regioni, macro ripartizioni)</w:t>
      </w:r>
    </w:p>
    <w:p w14:paraId="1E92C1E6" w14:textId="77777777" w:rsidR="0075577E" w:rsidRPr="006D6BB4" w:rsidRDefault="0075577E" w:rsidP="0075577E">
      <w:pPr>
        <w:jc w:val="both"/>
        <w:rPr>
          <w:rFonts w:ascii="Calibri" w:eastAsia="Calibri" w:hAnsi="Calibri" w:cs="Calibri"/>
          <w:bCs/>
          <w:i/>
          <w:iCs/>
          <w:sz w:val="22"/>
          <w:szCs w:val="22"/>
        </w:rPr>
      </w:pPr>
      <w:r w:rsidRPr="006D6BB4">
        <w:rPr>
          <w:rFonts w:ascii="Calibri" w:eastAsia="Calibri" w:hAnsi="Calibri" w:cs="Calibri"/>
          <w:bCs/>
          <w:i/>
          <w:iCs/>
          <w:sz w:val="22"/>
          <w:szCs w:val="22"/>
        </w:rPr>
        <w:t xml:space="preserve"> - Tipologia di merce (secondo varie classificazioni: NC8, Ateco, CTCI, NST)</w:t>
      </w:r>
    </w:p>
    <w:p w14:paraId="7F255F8E" w14:textId="77777777" w:rsidR="0075577E" w:rsidRPr="006D6BB4" w:rsidRDefault="0075577E" w:rsidP="0075577E">
      <w:pPr>
        <w:jc w:val="both"/>
        <w:rPr>
          <w:rFonts w:ascii="Calibri" w:eastAsia="Calibri" w:hAnsi="Calibri" w:cs="Calibri"/>
          <w:bCs/>
          <w:i/>
          <w:iCs/>
          <w:sz w:val="22"/>
          <w:szCs w:val="22"/>
        </w:rPr>
      </w:pPr>
      <w:r w:rsidRPr="006D6BB4">
        <w:rPr>
          <w:rFonts w:ascii="Calibri" w:eastAsia="Calibri" w:hAnsi="Calibri" w:cs="Calibri"/>
          <w:bCs/>
          <w:i/>
          <w:iCs/>
          <w:sz w:val="22"/>
          <w:szCs w:val="22"/>
        </w:rPr>
        <w:t xml:space="preserve"> - Paese di destinazione o provenienza delle merci</w:t>
      </w:r>
    </w:p>
    <w:p w14:paraId="57CFC3F8" w14:textId="77777777" w:rsidR="0075577E" w:rsidRPr="006D6BB4" w:rsidRDefault="0075577E" w:rsidP="0075577E">
      <w:pPr>
        <w:jc w:val="both"/>
        <w:rPr>
          <w:rFonts w:ascii="Calibri" w:eastAsia="Calibri" w:hAnsi="Calibri" w:cs="Calibri"/>
          <w:bCs/>
          <w:i/>
          <w:iCs/>
          <w:sz w:val="22"/>
          <w:szCs w:val="22"/>
        </w:rPr>
      </w:pPr>
      <w:r w:rsidRPr="006D6BB4">
        <w:rPr>
          <w:rFonts w:ascii="Calibri" w:eastAsia="Calibri" w:hAnsi="Calibri" w:cs="Calibri"/>
          <w:bCs/>
          <w:i/>
          <w:iCs/>
          <w:sz w:val="22"/>
          <w:szCs w:val="22"/>
        </w:rPr>
        <w:t xml:space="preserve">Ai fini dell’analisi è stata utilizzata la classificazione delle merci Ateco 2007, </w:t>
      </w:r>
    </w:p>
    <w:p w14:paraId="589DE4D2" w14:textId="77777777" w:rsidR="0075577E" w:rsidRDefault="0075577E" w:rsidP="0075577E">
      <w:pPr>
        <w:jc w:val="both"/>
        <w:rPr>
          <w:rFonts w:ascii="Calibri" w:eastAsia="Calibri" w:hAnsi="Calibri" w:cs="Calibri"/>
          <w:bCs/>
          <w:i/>
          <w:iCs/>
          <w:sz w:val="22"/>
          <w:szCs w:val="22"/>
        </w:rPr>
      </w:pPr>
      <w:r w:rsidRPr="006D6BB4">
        <w:rPr>
          <w:rFonts w:ascii="Calibri" w:eastAsia="Calibri" w:hAnsi="Calibri" w:cs="Calibri"/>
          <w:bCs/>
          <w:i/>
          <w:iCs/>
          <w:sz w:val="22"/>
          <w:szCs w:val="22"/>
        </w:rPr>
        <w:t>A livello provinciale l’analisi dell’interscambio commerciale è disponibile solamente in valore monetario.</w:t>
      </w:r>
    </w:p>
    <w:p w14:paraId="3C60436D" w14:textId="77777777" w:rsidR="0075577E" w:rsidRDefault="0075577E" w:rsidP="0075577E">
      <w:pPr>
        <w:rPr>
          <w:rFonts w:ascii="Calibri" w:eastAsia="Calibri" w:hAnsi="Calibri" w:cs="Calibri"/>
          <w:bCs/>
          <w:i/>
          <w:iCs/>
          <w:sz w:val="22"/>
          <w:szCs w:val="22"/>
        </w:rPr>
      </w:pPr>
    </w:p>
    <w:p w14:paraId="54077F18" w14:textId="77777777" w:rsidR="0075577E" w:rsidRPr="001F399D" w:rsidRDefault="0075577E" w:rsidP="0075577E">
      <w:pPr>
        <w:rPr>
          <w:rFonts w:ascii="Calibri" w:eastAsia="Calibri" w:hAnsi="Calibri" w:cs="Calibri"/>
          <w:bCs/>
          <w:i/>
          <w:iCs/>
          <w:sz w:val="22"/>
          <w:szCs w:val="22"/>
        </w:rPr>
      </w:pPr>
      <w:r w:rsidRPr="001F399D">
        <w:rPr>
          <w:rFonts w:ascii="Calibri" w:eastAsia="Calibri" w:hAnsi="Calibri" w:cs="Calibri"/>
          <w:bCs/>
          <w:i/>
          <w:iCs/>
          <w:sz w:val="22"/>
          <w:szCs w:val="22"/>
        </w:rPr>
        <w:t xml:space="preserve">Di seguito la corrispondenza dei settori </w:t>
      </w:r>
      <w:r>
        <w:rPr>
          <w:rFonts w:ascii="Calibri" w:eastAsia="Calibri" w:hAnsi="Calibri" w:cs="Calibri"/>
          <w:bCs/>
          <w:i/>
          <w:iCs/>
          <w:sz w:val="22"/>
          <w:szCs w:val="22"/>
        </w:rPr>
        <w:t xml:space="preserve">indicati nelle tabelle </w:t>
      </w:r>
      <w:r w:rsidRPr="001F399D">
        <w:rPr>
          <w:rFonts w:ascii="Calibri" w:eastAsia="Calibri" w:hAnsi="Calibri" w:cs="Calibri"/>
          <w:bCs/>
          <w:i/>
          <w:iCs/>
          <w:sz w:val="22"/>
          <w:szCs w:val="22"/>
        </w:rPr>
        <w:t>con il</w:t>
      </w:r>
      <w:r>
        <w:rPr>
          <w:rFonts w:ascii="Calibri" w:eastAsia="Calibri" w:hAnsi="Calibri" w:cs="Calibri"/>
          <w:bCs/>
          <w:i/>
          <w:iCs/>
          <w:sz w:val="22"/>
          <w:szCs w:val="22"/>
        </w:rPr>
        <w:t xml:space="preserve"> rispettivo</w:t>
      </w:r>
      <w:r w:rsidRPr="001F399D">
        <w:rPr>
          <w:rFonts w:ascii="Calibri" w:eastAsia="Calibri" w:hAnsi="Calibri" w:cs="Calibri"/>
          <w:bCs/>
          <w:i/>
          <w:iCs/>
          <w:sz w:val="22"/>
          <w:szCs w:val="22"/>
        </w:rPr>
        <w:t xml:space="preserve"> codice Ateco 2007</w:t>
      </w:r>
      <w:r>
        <w:rPr>
          <w:rFonts w:ascii="Calibri" w:eastAsia="Calibri" w:hAnsi="Calibri" w:cs="Calibri"/>
          <w:bCs/>
          <w:i/>
          <w:iCs/>
          <w:sz w:val="22"/>
          <w:szCs w:val="22"/>
        </w:rPr>
        <w:t>:</w:t>
      </w:r>
    </w:p>
    <w:tbl>
      <w:tblPr>
        <w:tblW w:w="9923" w:type="dxa"/>
        <w:tblInd w:w="70" w:type="dxa"/>
        <w:tblCellMar>
          <w:left w:w="70" w:type="dxa"/>
          <w:right w:w="70" w:type="dxa"/>
        </w:tblCellMar>
        <w:tblLook w:val="04A0" w:firstRow="1" w:lastRow="0" w:firstColumn="1" w:lastColumn="0" w:noHBand="0" w:noVBand="1"/>
      </w:tblPr>
      <w:tblGrid>
        <w:gridCol w:w="4760"/>
        <w:gridCol w:w="5163"/>
      </w:tblGrid>
      <w:tr w:rsidR="0075577E" w:rsidRPr="00E55A43" w14:paraId="2673A7EB" w14:textId="77777777" w:rsidTr="0041728D">
        <w:trPr>
          <w:trHeight w:val="283"/>
        </w:trPr>
        <w:tc>
          <w:tcPr>
            <w:tcW w:w="4760" w:type="dxa"/>
            <w:tcBorders>
              <w:top w:val="single" w:sz="4" w:space="0" w:color="auto"/>
              <w:left w:val="nil"/>
              <w:bottom w:val="single" w:sz="4" w:space="0" w:color="auto"/>
              <w:right w:val="nil"/>
            </w:tcBorders>
            <w:noWrap/>
            <w:vAlign w:val="center"/>
            <w:hideMark/>
          </w:tcPr>
          <w:p w14:paraId="3EA39509" w14:textId="77777777" w:rsidR="0075577E" w:rsidRPr="00E55A43" w:rsidRDefault="0075577E" w:rsidP="0041728D">
            <w:pPr>
              <w:rPr>
                <w:rFonts w:ascii="Calibri" w:hAnsi="Calibri" w:cs="Calibri"/>
                <w:b/>
                <w:bCs/>
                <w:color w:val="000000"/>
                <w:sz w:val="18"/>
                <w:szCs w:val="18"/>
              </w:rPr>
            </w:pPr>
            <w:r w:rsidRPr="00E55A43">
              <w:rPr>
                <w:rFonts w:ascii="Calibri" w:hAnsi="Calibri" w:cs="Calibri"/>
                <w:b/>
                <w:bCs/>
                <w:color w:val="000000"/>
                <w:sz w:val="18"/>
                <w:szCs w:val="18"/>
              </w:rPr>
              <w:t>Settore</w:t>
            </w:r>
          </w:p>
        </w:tc>
        <w:tc>
          <w:tcPr>
            <w:tcW w:w="5163" w:type="dxa"/>
            <w:tcBorders>
              <w:top w:val="single" w:sz="4" w:space="0" w:color="auto"/>
              <w:left w:val="nil"/>
              <w:bottom w:val="single" w:sz="4" w:space="0" w:color="auto"/>
              <w:right w:val="nil"/>
            </w:tcBorders>
            <w:noWrap/>
            <w:vAlign w:val="center"/>
            <w:hideMark/>
          </w:tcPr>
          <w:p w14:paraId="24994187" w14:textId="77777777" w:rsidR="0075577E" w:rsidRPr="00E55A43" w:rsidRDefault="0075577E" w:rsidP="0041728D">
            <w:pPr>
              <w:rPr>
                <w:rFonts w:ascii="Calibri" w:hAnsi="Calibri" w:cs="Calibri"/>
                <w:b/>
                <w:bCs/>
                <w:color w:val="000000"/>
                <w:sz w:val="18"/>
                <w:szCs w:val="18"/>
              </w:rPr>
            </w:pPr>
            <w:r w:rsidRPr="00E55A43">
              <w:rPr>
                <w:rFonts w:ascii="Calibri" w:hAnsi="Calibri" w:cs="Calibri"/>
                <w:b/>
                <w:bCs/>
                <w:color w:val="000000"/>
                <w:sz w:val="18"/>
                <w:szCs w:val="18"/>
              </w:rPr>
              <w:t>Ateco 2007</w:t>
            </w:r>
          </w:p>
        </w:tc>
      </w:tr>
      <w:tr w:rsidR="0075577E" w:rsidRPr="00E55A43" w14:paraId="78089A0B" w14:textId="77777777" w:rsidTr="0041728D">
        <w:trPr>
          <w:trHeight w:val="283"/>
        </w:trPr>
        <w:tc>
          <w:tcPr>
            <w:tcW w:w="4760" w:type="dxa"/>
            <w:tcBorders>
              <w:top w:val="single" w:sz="4" w:space="0" w:color="auto"/>
              <w:left w:val="nil"/>
              <w:bottom w:val="single" w:sz="4" w:space="0" w:color="808080"/>
              <w:right w:val="nil"/>
            </w:tcBorders>
            <w:noWrap/>
            <w:vAlign w:val="center"/>
            <w:hideMark/>
          </w:tcPr>
          <w:p w14:paraId="3DFDADF9"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Pietra, sabbia e argilla</w:t>
            </w:r>
          </w:p>
        </w:tc>
        <w:tc>
          <w:tcPr>
            <w:tcW w:w="5163" w:type="dxa"/>
            <w:tcBorders>
              <w:top w:val="single" w:sz="4" w:space="0" w:color="auto"/>
              <w:left w:val="nil"/>
              <w:bottom w:val="single" w:sz="4" w:space="0" w:color="808080"/>
              <w:right w:val="nil"/>
            </w:tcBorders>
            <w:noWrap/>
            <w:vAlign w:val="center"/>
            <w:hideMark/>
          </w:tcPr>
          <w:p w14:paraId="48080DDC"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BB081-Pietra, sabbia e argilla</w:t>
            </w:r>
          </w:p>
        </w:tc>
      </w:tr>
      <w:tr w:rsidR="0075577E" w:rsidRPr="00E55A43" w14:paraId="7E4EF296" w14:textId="77777777" w:rsidTr="0041728D">
        <w:trPr>
          <w:trHeight w:val="283"/>
        </w:trPr>
        <w:tc>
          <w:tcPr>
            <w:tcW w:w="4760" w:type="dxa"/>
            <w:tcBorders>
              <w:top w:val="single" w:sz="4" w:space="0" w:color="808080"/>
              <w:left w:val="nil"/>
              <w:bottom w:val="single" w:sz="4" w:space="0" w:color="808080"/>
              <w:right w:val="nil"/>
            </w:tcBorders>
            <w:noWrap/>
            <w:vAlign w:val="center"/>
            <w:hideMark/>
          </w:tcPr>
          <w:p w14:paraId="7D0A9220"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Oli e grassi vegetali e animali</w:t>
            </w:r>
          </w:p>
        </w:tc>
        <w:tc>
          <w:tcPr>
            <w:tcW w:w="5163" w:type="dxa"/>
            <w:tcBorders>
              <w:top w:val="single" w:sz="4" w:space="0" w:color="808080"/>
              <w:left w:val="nil"/>
              <w:bottom w:val="single" w:sz="4" w:space="0" w:color="808080"/>
              <w:right w:val="nil"/>
            </w:tcBorders>
            <w:noWrap/>
            <w:vAlign w:val="center"/>
            <w:hideMark/>
          </w:tcPr>
          <w:p w14:paraId="1994D8D4"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CA104-Oli e grassi vegetali e animali</w:t>
            </w:r>
          </w:p>
        </w:tc>
      </w:tr>
      <w:tr w:rsidR="0075577E" w:rsidRPr="00E55A43" w14:paraId="75D2E37A" w14:textId="77777777" w:rsidTr="0041728D">
        <w:trPr>
          <w:trHeight w:val="283"/>
        </w:trPr>
        <w:tc>
          <w:tcPr>
            <w:tcW w:w="4760" w:type="dxa"/>
            <w:tcBorders>
              <w:top w:val="single" w:sz="4" w:space="0" w:color="808080"/>
              <w:left w:val="nil"/>
              <w:bottom w:val="single" w:sz="4" w:space="0" w:color="808080"/>
              <w:right w:val="nil"/>
            </w:tcBorders>
            <w:noWrap/>
            <w:vAlign w:val="center"/>
            <w:hideMark/>
          </w:tcPr>
          <w:p w14:paraId="35BD5FD3"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Bevande</w:t>
            </w:r>
          </w:p>
        </w:tc>
        <w:tc>
          <w:tcPr>
            <w:tcW w:w="5163" w:type="dxa"/>
            <w:tcBorders>
              <w:top w:val="single" w:sz="4" w:space="0" w:color="808080"/>
              <w:left w:val="nil"/>
              <w:bottom w:val="single" w:sz="4" w:space="0" w:color="808080"/>
              <w:right w:val="nil"/>
            </w:tcBorders>
            <w:noWrap/>
            <w:vAlign w:val="center"/>
            <w:hideMark/>
          </w:tcPr>
          <w:p w14:paraId="3D11FAE4"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CA110-Bevande</w:t>
            </w:r>
          </w:p>
        </w:tc>
      </w:tr>
      <w:tr w:rsidR="0075577E" w:rsidRPr="00E55A43" w14:paraId="01EE777D" w14:textId="77777777" w:rsidTr="0041728D">
        <w:trPr>
          <w:trHeight w:val="283"/>
        </w:trPr>
        <w:tc>
          <w:tcPr>
            <w:tcW w:w="4760" w:type="dxa"/>
            <w:tcBorders>
              <w:top w:val="single" w:sz="4" w:space="0" w:color="808080"/>
              <w:left w:val="nil"/>
              <w:bottom w:val="single" w:sz="4" w:space="0" w:color="808080"/>
              <w:right w:val="nil"/>
            </w:tcBorders>
            <w:noWrap/>
            <w:vAlign w:val="center"/>
            <w:hideMark/>
          </w:tcPr>
          <w:p w14:paraId="366DB9AE"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Articoli di abbigliamento</w:t>
            </w:r>
          </w:p>
        </w:tc>
        <w:tc>
          <w:tcPr>
            <w:tcW w:w="5163" w:type="dxa"/>
            <w:tcBorders>
              <w:top w:val="single" w:sz="4" w:space="0" w:color="808080"/>
              <w:left w:val="nil"/>
              <w:bottom w:val="single" w:sz="4" w:space="0" w:color="808080"/>
              <w:right w:val="nil"/>
            </w:tcBorders>
            <w:noWrap/>
            <w:vAlign w:val="center"/>
            <w:hideMark/>
          </w:tcPr>
          <w:p w14:paraId="2A791384"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CB141-Articoli di abbigliamento, escluso l'abbigliamento in pelliccia</w:t>
            </w:r>
          </w:p>
        </w:tc>
      </w:tr>
      <w:tr w:rsidR="0075577E" w:rsidRPr="00E55A43" w14:paraId="042937BC" w14:textId="77777777" w:rsidTr="0041728D">
        <w:trPr>
          <w:trHeight w:val="283"/>
        </w:trPr>
        <w:tc>
          <w:tcPr>
            <w:tcW w:w="4760" w:type="dxa"/>
            <w:tcBorders>
              <w:top w:val="single" w:sz="4" w:space="0" w:color="808080"/>
              <w:left w:val="nil"/>
              <w:bottom w:val="single" w:sz="4" w:space="0" w:color="808080"/>
              <w:right w:val="nil"/>
            </w:tcBorders>
            <w:noWrap/>
            <w:vAlign w:val="center"/>
            <w:hideMark/>
          </w:tcPr>
          <w:p w14:paraId="346AA34B"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Pelli-cuoio</w:t>
            </w:r>
          </w:p>
        </w:tc>
        <w:tc>
          <w:tcPr>
            <w:tcW w:w="5163" w:type="dxa"/>
            <w:tcBorders>
              <w:top w:val="single" w:sz="4" w:space="0" w:color="808080"/>
              <w:left w:val="nil"/>
              <w:bottom w:val="single" w:sz="4" w:space="0" w:color="808080"/>
              <w:right w:val="nil"/>
            </w:tcBorders>
            <w:noWrap/>
            <w:vAlign w:val="center"/>
            <w:hideMark/>
          </w:tcPr>
          <w:p w14:paraId="7A074684"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CB151-Cuoio conciato e lavorato; articoli da viaggio, borse, pelletteria e selleria; pellicce preparate e tinte</w:t>
            </w:r>
          </w:p>
        </w:tc>
      </w:tr>
      <w:tr w:rsidR="0075577E" w:rsidRPr="00E55A43" w14:paraId="65851EA3" w14:textId="77777777" w:rsidTr="0041728D">
        <w:trPr>
          <w:trHeight w:val="283"/>
        </w:trPr>
        <w:tc>
          <w:tcPr>
            <w:tcW w:w="4760" w:type="dxa"/>
            <w:tcBorders>
              <w:top w:val="single" w:sz="4" w:space="0" w:color="808080"/>
              <w:left w:val="nil"/>
              <w:bottom w:val="single" w:sz="4" w:space="0" w:color="808080"/>
              <w:right w:val="nil"/>
            </w:tcBorders>
            <w:noWrap/>
            <w:vAlign w:val="center"/>
            <w:hideMark/>
          </w:tcPr>
          <w:p w14:paraId="3C4BCB7D"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Calzature</w:t>
            </w:r>
          </w:p>
        </w:tc>
        <w:tc>
          <w:tcPr>
            <w:tcW w:w="5163" w:type="dxa"/>
            <w:tcBorders>
              <w:top w:val="single" w:sz="4" w:space="0" w:color="808080"/>
              <w:left w:val="nil"/>
              <w:bottom w:val="single" w:sz="4" w:space="0" w:color="808080"/>
              <w:right w:val="nil"/>
            </w:tcBorders>
            <w:noWrap/>
            <w:vAlign w:val="center"/>
            <w:hideMark/>
          </w:tcPr>
          <w:p w14:paraId="42CA49FC"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CB152-Calzature</w:t>
            </w:r>
          </w:p>
        </w:tc>
      </w:tr>
      <w:tr w:rsidR="0075577E" w:rsidRPr="00E55A43" w14:paraId="2B559566" w14:textId="77777777" w:rsidTr="0041728D">
        <w:trPr>
          <w:trHeight w:val="283"/>
        </w:trPr>
        <w:tc>
          <w:tcPr>
            <w:tcW w:w="4760" w:type="dxa"/>
            <w:tcBorders>
              <w:top w:val="single" w:sz="4" w:space="0" w:color="808080"/>
              <w:left w:val="nil"/>
              <w:bottom w:val="single" w:sz="4" w:space="0" w:color="808080"/>
              <w:right w:val="nil"/>
            </w:tcBorders>
            <w:noWrap/>
            <w:vAlign w:val="center"/>
            <w:hideMark/>
          </w:tcPr>
          <w:p w14:paraId="3EF5481A"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Pasta-carta, carta e cartone</w:t>
            </w:r>
          </w:p>
        </w:tc>
        <w:tc>
          <w:tcPr>
            <w:tcW w:w="5163" w:type="dxa"/>
            <w:tcBorders>
              <w:top w:val="single" w:sz="4" w:space="0" w:color="808080"/>
              <w:left w:val="nil"/>
              <w:bottom w:val="single" w:sz="4" w:space="0" w:color="808080"/>
              <w:right w:val="nil"/>
            </w:tcBorders>
            <w:noWrap/>
            <w:vAlign w:val="center"/>
            <w:hideMark/>
          </w:tcPr>
          <w:p w14:paraId="62DBF512"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CC171-Pasta-carta, carta e cartone</w:t>
            </w:r>
          </w:p>
        </w:tc>
      </w:tr>
      <w:tr w:rsidR="0075577E" w:rsidRPr="00E55A43" w14:paraId="79254C30" w14:textId="77777777" w:rsidTr="0041728D">
        <w:trPr>
          <w:trHeight w:val="283"/>
        </w:trPr>
        <w:tc>
          <w:tcPr>
            <w:tcW w:w="4760" w:type="dxa"/>
            <w:tcBorders>
              <w:top w:val="single" w:sz="4" w:space="0" w:color="808080"/>
              <w:left w:val="nil"/>
              <w:bottom w:val="single" w:sz="4" w:space="0" w:color="808080"/>
              <w:right w:val="nil"/>
            </w:tcBorders>
            <w:noWrap/>
            <w:vAlign w:val="center"/>
            <w:hideMark/>
          </w:tcPr>
          <w:p w14:paraId="0D512613"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Articoli di carta e di cartone</w:t>
            </w:r>
          </w:p>
        </w:tc>
        <w:tc>
          <w:tcPr>
            <w:tcW w:w="5163" w:type="dxa"/>
            <w:tcBorders>
              <w:top w:val="single" w:sz="4" w:space="0" w:color="808080"/>
              <w:left w:val="nil"/>
              <w:bottom w:val="single" w:sz="4" w:space="0" w:color="808080"/>
              <w:right w:val="nil"/>
            </w:tcBorders>
            <w:noWrap/>
            <w:vAlign w:val="center"/>
            <w:hideMark/>
          </w:tcPr>
          <w:p w14:paraId="7D2E6D55"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CC172-Articoli di carta e di cartone</w:t>
            </w:r>
          </w:p>
        </w:tc>
      </w:tr>
      <w:tr w:rsidR="0075577E" w:rsidRPr="00E55A43" w14:paraId="09674103" w14:textId="77777777" w:rsidTr="0041728D">
        <w:trPr>
          <w:trHeight w:val="283"/>
        </w:trPr>
        <w:tc>
          <w:tcPr>
            <w:tcW w:w="4760" w:type="dxa"/>
            <w:tcBorders>
              <w:top w:val="single" w:sz="4" w:space="0" w:color="808080"/>
              <w:left w:val="nil"/>
              <w:bottom w:val="single" w:sz="4" w:space="0" w:color="808080"/>
              <w:right w:val="nil"/>
            </w:tcBorders>
            <w:noWrap/>
            <w:vAlign w:val="center"/>
            <w:hideMark/>
          </w:tcPr>
          <w:p w14:paraId="26E8C673"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 xml:space="preserve">Chimica di base, </w:t>
            </w:r>
            <w:proofErr w:type="spellStart"/>
            <w:proofErr w:type="gramStart"/>
            <w:r w:rsidRPr="00E55A43">
              <w:rPr>
                <w:rFonts w:ascii="Calibri" w:hAnsi="Calibri" w:cs="Calibri"/>
                <w:color w:val="000000"/>
                <w:sz w:val="18"/>
                <w:szCs w:val="18"/>
              </w:rPr>
              <w:t>fertil.ti</w:t>
            </w:r>
            <w:proofErr w:type="spellEnd"/>
            <w:proofErr w:type="gramEnd"/>
            <w:r w:rsidRPr="00E55A43">
              <w:rPr>
                <w:rFonts w:ascii="Calibri" w:hAnsi="Calibri" w:cs="Calibri"/>
                <w:color w:val="000000"/>
                <w:sz w:val="18"/>
                <w:szCs w:val="18"/>
              </w:rPr>
              <w:t>, plastica e gomma</w:t>
            </w:r>
          </w:p>
        </w:tc>
        <w:tc>
          <w:tcPr>
            <w:tcW w:w="5163" w:type="dxa"/>
            <w:tcBorders>
              <w:top w:val="single" w:sz="4" w:space="0" w:color="808080"/>
              <w:left w:val="nil"/>
              <w:bottom w:val="single" w:sz="4" w:space="0" w:color="808080"/>
              <w:right w:val="nil"/>
            </w:tcBorders>
            <w:noWrap/>
            <w:vAlign w:val="center"/>
            <w:hideMark/>
          </w:tcPr>
          <w:p w14:paraId="4B11EABD"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CE201-Prodotti chimici di base, fertilizzanti e composti azotati, materie plastiche e gomma sintetica in forme primarie</w:t>
            </w:r>
          </w:p>
        </w:tc>
      </w:tr>
      <w:tr w:rsidR="0075577E" w:rsidRPr="00E55A43" w14:paraId="23A6862F" w14:textId="77777777" w:rsidTr="0041728D">
        <w:trPr>
          <w:trHeight w:val="283"/>
        </w:trPr>
        <w:tc>
          <w:tcPr>
            <w:tcW w:w="4760" w:type="dxa"/>
            <w:tcBorders>
              <w:top w:val="single" w:sz="4" w:space="0" w:color="808080"/>
              <w:left w:val="nil"/>
              <w:bottom w:val="single" w:sz="4" w:space="0" w:color="808080"/>
              <w:right w:val="nil"/>
            </w:tcBorders>
            <w:noWrap/>
            <w:vAlign w:val="center"/>
            <w:hideMark/>
          </w:tcPr>
          <w:p w14:paraId="5935B63A"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Altri prodotti chimici</w:t>
            </w:r>
          </w:p>
        </w:tc>
        <w:tc>
          <w:tcPr>
            <w:tcW w:w="5163" w:type="dxa"/>
            <w:tcBorders>
              <w:top w:val="single" w:sz="4" w:space="0" w:color="808080"/>
              <w:left w:val="nil"/>
              <w:bottom w:val="single" w:sz="4" w:space="0" w:color="808080"/>
              <w:right w:val="nil"/>
            </w:tcBorders>
            <w:noWrap/>
            <w:vAlign w:val="center"/>
            <w:hideMark/>
          </w:tcPr>
          <w:p w14:paraId="7C9CBA5D"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CE205-Altri prodotti chimici</w:t>
            </w:r>
          </w:p>
        </w:tc>
      </w:tr>
      <w:tr w:rsidR="0075577E" w:rsidRPr="00E55A43" w14:paraId="447A62CA" w14:textId="77777777" w:rsidTr="0041728D">
        <w:trPr>
          <w:trHeight w:val="283"/>
        </w:trPr>
        <w:tc>
          <w:tcPr>
            <w:tcW w:w="4760" w:type="dxa"/>
            <w:tcBorders>
              <w:top w:val="single" w:sz="4" w:space="0" w:color="808080"/>
              <w:left w:val="nil"/>
              <w:bottom w:val="single" w:sz="4" w:space="0" w:color="808080"/>
              <w:right w:val="nil"/>
            </w:tcBorders>
            <w:noWrap/>
            <w:vAlign w:val="center"/>
            <w:hideMark/>
          </w:tcPr>
          <w:p w14:paraId="4676916A"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Medicinali e preparati farmaceutici</w:t>
            </w:r>
          </w:p>
        </w:tc>
        <w:tc>
          <w:tcPr>
            <w:tcW w:w="5163" w:type="dxa"/>
            <w:tcBorders>
              <w:top w:val="single" w:sz="4" w:space="0" w:color="808080"/>
              <w:left w:val="nil"/>
              <w:bottom w:val="single" w:sz="4" w:space="0" w:color="808080"/>
              <w:right w:val="nil"/>
            </w:tcBorders>
            <w:noWrap/>
            <w:vAlign w:val="center"/>
            <w:hideMark/>
          </w:tcPr>
          <w:p w14:paraId="4DB56F44"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CF212-Medicinali e preparati farmaceutici</w:t>
            </w:r>
          </w:p>
        </w:tc>
      </w:tr>
      <w:tr w:rsidR="0075577E" w:rsidRPr="00E55A43" w14:paraId="4A149582" w14:textId="77777777" w:rsidTr="0041728D">
        <w:trPr>
          <w:trHeight w:val="283"/>
        </w:trPr>
        <w:tc>
          <w:tcPr>
            <w:tcW w:w="4760" w:type="dxa"/>
            <w:tcBorders>
              <w:top w:val="single" w:sz="4" w:space="0" w:color="808080"/>
              <w:left w:val="nil"/>
              <w:bottom w:val="single" w:sz="4" w:space="0" w:color="808080"/>
              <w:right w:val="nil"/>
            </w:tcBorders>
            <w:noWrap/>
            <w:vAlign w:val="center"/>
            <w:hideMark/>
          </w:tcPr>
          <w:p w14:paraId="262CA61E"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Articoli in materie plastiche</w:t>
            </w:r>
          </w:p>
        </w:tc>
        <w:tc>
          <w:tcPr>
            <w:tcW w:w="5163" w:type="dxa"/>
            <w:tcBorders>
              <w:top w:val="single" w:sz="4" w:space="0" w:color="808080"/>
              <w:left w:val="nil"/>
              <w:bottom w:val="single" w:sz="4" w:space="0" w:color="808080"/>
              <w:right w:val="nil"/>
            </w:tcBorders>
            <w:noWrap/>
            <w:vAlign w:val="center"/>
            <w:hideMark/>
          </w:tcPr>
          <w:p w14:paraId="19ED925C"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CG222-Articoli in materie plastiche</w:t>
            </w:r>
          </w:p>
        </w:tc>
      </w:tr>
      <w:tr w:rsidR="0075577E" w:rsidRPr="00E55A43" w14:paraId="4CAAA5A2" w14:textId="77777777" w:rsidTr="0041728D">
        <w:trPr>
          <w:trHeight w:val="283"/>
        </w:trPr>
        <w:tc>
          <w:tcPr>
            <w:tcW w:w="4760" w:type="dxa"/>
            <w:tcBorders>
              <w:top w:val="single" w:sz="4" w:space="0" w:color="808080"/>
              <w:left w:val="nil"/>
              <w:bottom w:val="single" w:sz="4" w:space="0" w:color="808080"/>
              <w:right w:val="nil"/>
            </w:tcBorders>
            <w:noWrap/>
            <w:vAlign w:val="center"/>
            <w:hideMark/>
          </w:tcPr>
          <w:p w14:paraId="12B87E03"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Pietre tagliate, modellate e finite</w:t>
            </w:r>
          </w:p>
        </w:tc>
        <w:tc>
          <w:tcPr>
            <w:tcW w:w="5163" w:type="dxa"/>
            <w:tcBorders>
              <w:top w:val="single" w:sz="4" w:space="0" w:color="808080"/>
              <w:left w:val="nil"/>
              <w:bottom w:val="single" w:sz="4" w:space="0" w:color="808080"/>
              <w:right w:val="nil"/>
            </w:tcBorders>
            <w:noWrap/>
            <w:vAlign w:val="center"/>
            <w:hideMark/>
          </w:tcPr>
          <w:p w14:paraId="4AC6EE24"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CG237-Pietre tagliate, modellate e finite</w:t>
            </w:r>
          </w:p>
        </w:tc>
      </w:tr>
      <w:tr w:rsidR="0075577E" w:rsidRPr="00E55A43" w14:paraId="33BB72D4" w14:textId="77777777" w:rsidTr="0041728D">
        <w:trPr>
          <w:trHeight w:val="283"/>
        </w:trPr>
        <w:tc>
          <w:tcPr>
            <w:tcW w:w="4760" w:type="dxa"/>
            <w:tcBorders>
              <w:top w:val="single" w:sz="4" w:space="0" w:color="808080"/>
              <w:left w:val="nil"/>
              <w:bottom w:val="single" w:sz="4" w:space="0" w:color="808080"/>
              <w:right w:val="nil"/>
            </w:tcBorders>
            <w:noWrap/>
            <w:vAlign w:val="center"/>
            <w:hideMark/>
          </w:tcPr>
          <w:p w14:paraId="49A1076D"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Tubi, condotti, profilati cavi e relativi accessori</w:t>
            </w:r>
          </w:p>
        </w:tc>
        <w:tc>
          <w:tcPr>
            <w:tcW w:w="5163" w:type="dxa"/>
            <w:tcBorders>
              <w:top w:val="single" w:sz="4" w:space="0" w:color="808080"/>
              <w:left w:val="nil"/>
              <w:bottom w:val="single" w:sz="4" w:space="0" w:color="808080"/>
              <w:right w:val="nil"/>
            </w:tcBorders>
            <w:noWrap/>
            <w:vAlign w:val="center"/>
            <w:hideMark/>
          </w:tcPr>
          <w:p w14:paraId="41A6B6B1"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CH242-Tubi, condotti, profilati cavi e relativi accessori in acciaio (esclusi quelli in acciaio colato)</w:t>
            </w:r>
          </w:p>
        </w:tc>
      </w:tr>
      <w:tr w:rsidR="0075577E" w:rsidRPr="00E55A43" w14:paraId="090B83B0" w14:textId="77777777" w:rsidTr="0041728D">
        <w:trPr>
          <w:trHeight w:val="283"/>
        </w:trPr>
        <w:tc>
          <w:tcPr>
            <w:tcW w:w="4760" w:type="dxa"/>
            <w:tcBorders>
              <w:top w:val="single" w:sz="4" w:space="0" w:color="808080"/>
              <w:left w:val="nil"/>
              <w:bottom w:val="single" w:sz="4" w:space="0" w:color="808080"/>
              <w:right w:val="nil"/>
            </w:tcBorders>
            <w:noWrap/>
            <w:vAlign w:val="center"/>
            <w:hideMark/>
          </w:tcPr>
          <w:p w14:paraId="3930F047"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Metalli di base preziosi e altri metalli non ferrosi</w:t>
            </w:r>
          </w:p>
        </w:tc>
        <w:tc>
          <w:tcPr>
            <w:tcW w:w="5163" w:type="dxa"/>
            <w:tcBorders>
              <w:top w:val="single" w:sz="4" w:space="0" w:color="808080"/>
              <w:left w:val="nil"/>
              <w:bottom w:val="single" w:sz="4" w:space="0" w:color="808080"/>
              <w:right w:val="nil"/>
            </w:tcBorders>
            <w:noWrap/>
            <w:vAlign w:val="center"/>
            <w:hideMark/>
          </w:tcPr>
          <w:p w14:paraId="257EB5A7"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CH244-Metalli di base preziosi e altri metalli non ferrosi; combustibili nucleari</w:t>
            </w:r>
          </w:p>
        </w:tc>
      </w:tr>
      <w:tr w:rsidR="0075577E" w:rsidRPr="00E55A43" w14:paraId="2F164271" w14:textId="77777777" w:rsidTr="0041728D">
        <w:trPr>
          <w:trHeight w:val="283"/>
        </w:trPr>
        <w:tc>
          <w:tcPr>
            <w:tcW w:w="4760" w:type="dxa"/>
            <w:tcBorders>
              <w:top w:val="single" w:sz="4" w:space="0" w:color="808080"/>
              <w:left w:val="nil"/>
              <w:bottom w:val="single" w:sz="4" w:space="0" w:color="808080"/>
              <w:right w:val="nil"/>
            </w:tcBorders>
            <w:noWrap/>
            <w:vAlign w:val="center"/>
            <w:hideMark/>
          </w:tcPr>
          <w:p w14:paraId="19C7BD5F"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Utensili e oggetti di ferramenta</w:t>
            </w:r>
          </w:p>
        </w:tc>
        <w:tc>
          <w:tcPr>
            <w:tcW w:w="5163" w:type="dxa"/>
            <w:tcBorders>
              <w:top w:val="single" w:sz="4" w:space="0" w:color="808080"/>
              <w:left w:val="nil"/>
              <w:bottom w:val="single" w:sz="4" w:space="0" w:color="808080"/>
              <w:right w:val="nil"/>
            </w:tcBorders>
            <w:noWrap/>
            <w:vAlign w:val="center"/>
            <w:hideMark/>
          </w:tcPr>
          <w:p w14:paraId="1EB8B576"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CH257-Articoli di coltelleria, utensili e oggetti di ferramenta</w:t>
            </w:r>
          </w:p>
        </w:tc>
      </w:tr>
      <w:tr w:rsidR="0075577E" w:rsidRPr="00E55A43" w14:paraId="2776B078" w14:textId="77777777" w:rsidTr="0041728D">
        <w:trPr>
          <w:trHeight w:val="283"/>
        </w:trPr>
        <w:tc>
          <w:tcPr>
            <w:tcW w:w="4760" w:type="dxa"/>
            <w:tcBorders>
              <w:top w:val="single" w:sz="4" w:space="0" w:color="808080"/>
              <w:left w:val="nil"/>
              <w:bottom w:val="single" w:sz="4" w:space="0" w:color="808080"/>
              <w:right w:val="nil"/>
            </w:tcBorders>
            <w:noWrap/>
            <w:vAlign w:val="center"/>
            <w:hideMark/>
          </w:tcPr>
          <w:p w14:paraId="03FFA2F9"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 xml:space="preserve">Strumenti di </w:t>
            </w:r>
            <w:proofErr w:type="spellStart"/>
            <w:r w:rsidRPr="00E55A43">
              <w:rPr>
                <w:rFonts w:ascii="Calibri" w:hAnsi="Calibri" w:cs="Calibri"/>
                <w:color w:val="000000"/>
                <w:sz w:val="18"/>
                <w:szCs w:val="18"/>
              </w:rPr>
              <w:t>misuraz</w:t>
            </w:r>
            <w:proofErr w:type="spellEnd"/>
            <w:r w:rsidRPr="00E55A43">
              <w:rPr>
                <w:rFonts w:ascii="Calibri" w:hAnsi="Calibri" w:cs="Calibri"/>
                <w:color w:val="000000"/>
                <w:sz w:val="18"/>
                <w:szCs w:val="18"/>
              </w:rPr>
              <w:t xml:space="preserve">., prova e </w:t>
            </w:r>
            <w:proofErr w:type="spellStart"/>
            <w:r w:rsidRPr="00E55A43">
              <w:rPr>
                <w:rFonts w:ascii="Calibri" w:hAnsi="Calibri" w:cs="Calibri"/>
                <w:color w:val="000000"/>
                <w:sz w:val="18"/>
                <w:szCs w:val="18"/>
              </w:rPr>
              <w:t>navigaz</w:t>
            </w:r>
            <w:proofErr w:type="spellEnd"/>
            <w:r w:rsidRPr="00E55A43">
              <w:rPr>
                <w:rFonts w:ascii="Calibri" w:hAnsi="Calibri" w:cs="Calibri"/>
                <w:color w:val="000000"/>
                <w:sz w:val="18"/>
                <w:szCs w:val="18"/>
              </w:rPr>
              <w:t>.</w:t>
            </w:r>
          </w:p>
        </w:tc>
        <w:tc>
          <w:tcPr>
            <w:tcW w:w="5163" w:type="dxa"/>
            <w:tcBorders>
              <w:top w:val="single" w:sz="4" w:space="0" w:color="808080"/>
              <w:left w:val="nil"/>
              <w:bottom w:val="single" w:sz="4" w:space="0" w:color="808080"/>
              <w:right w:val="nil"/>
            </w:tcBorders>
            <w:noWrap/>
            <w:vAlign w:val="center"/>
            <w:hideMark/>
          </w:tcPr>
          <w:p w14:paraId="011BED99"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CI265-Strumenti e apparecchi di misurazione, prova e navigazione; orologi</w:t>
            </w:r>
          </w:p>
        </w:tc>
      </w:tr>
      <w:tr w:rsidR="0075577E" w:rsidRPr="00E55A43" w14:paraId="46C8B816" w14:textId="77777777" w:rsidTr="0041728D">
        <w:trPr>
          <w:trHeight w:val="283"/>
        </w:trPr>
        <w:tc>
          <w:tcPr>
            <w:tcW w:w="4760" w:type="dxa"/>
            <w:tcBorders>
              <w:top w:val="single" w:sz="4" w:space="0" w:color="808080"/>
              <w:left w:val="nil"/>
              <w:bottom w:val="single" w:sz="4" w:space="0" w:color="808080"/>
              <w:right w:val="nil"/>
            </w:tcBorders>
            <w:noWrap/>
            <w:vAlign w:val="center"/>
            <w:hideMark/>
          </w:tcPr>
          <w:p w14:paraId="0F5CB3AE"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Motori, generatori e trasformatori elettrici</w:t>
            </w:r>
          </w:p>
        </w:tc>
        <w:tc>
          <w:tcPr>
            <w:tcW w:w="5163" w:type="dxa"/>
            <w:tcBorders>
              <w:top w:val="single" w:sz="4" w:space="0" w:color="808080"/>
              <w:left w:val="nil"/>
              <w:bottom w:val="single" w:sz="4" w:space="0" w:color="808080"/>
              <w:right w:val="nil"/>
            </w:tcBorders>
            <w:noWrap/>
            <w:vAlign w:val="center"/>
            <w:hideMark/>
          </w:tcPr>
          <w:p w14:paraId="7265CF25"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CJ271-Motori, generatori e trasformatori elettrici; apparecchiature per la distribuzione e il controllo dell'elettricità</w:t>
            </w:r>
          </w:p>
        </w:tc>
      </w:tr>
      <w:tr w:rsidR="0075577E" w:rsidRPr="00E55A43" w14:paraId="4196A807" w14:textId="77777777" w:rsidTr="0041728D">
        <w:trPr>
          <w:trHeight w:val="283"/>
        </w:trPr>
        <w:tc>
          <w:tcPr>
            <w:tcW w:w="4760" w:type="dxa"/>
            <w:tcBorders>
              <w:top w:val="single" w:sz="4" w:space="0" w:color="808080"/>
              <w:left w:val="nil"/>
              <w:bottom w:val="single" w:sz="4" w:space="0" w:color="808080"/>
              <w:right w:val="nil"/>
            </w:tcBorders>
            <w:noWrap/>
            <w:vAlign w:val="center"/>
            <w:hideMark/>
          </w:tcPr>
          <w:p w14:paraId="1D4B0CF8"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 xml:space="preserve">Apparecchiature di cablaggio </w:t>
            </w:r>
          </w:p>
        </w:tc>
        <w:tc>
          <w:tcPr>
            <w:tcW w:w="5163" w:type="dxa"/>
            <w:tcBorders>
              <w:top w:val="single" w:sz="4" w:space="0" w:color="808080"/>
              <w:left w:val="nil"/>
              <w:bottom w:val="single" w:sz="4" w:space="0" w:color="808080"/>
              <w:right w:val="nil"/>
            </w:tcBorders>
            <w:noWrap/>
            <w:vAlign w:val="center"/>
            <w:hideMark/>
          </w:tcPr>
          <w:p w14:paraId="633D4BED"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 xml:space="preserve">CJ273-Apparecchiature di cablaggio </w:t>
            </w:r>
          </w:p>
        </w:tc>
      </w:tr>
      <w:tr w:rsidR="0075577E" w:rsidRPr="00E55A43" w14:paraId="4AA82A4C" w14:textId="77777777" w:rsidTr="0041728D">
        <w:trPr>
          <w:trHeight w:val="283"/>
        </w:trPr>
        <w:tc>
          <w:tcPr>
            <w:tcW w:w="4760" w:type="dxa"/>
            <w:tcBorders>
              <w:top w:val="single" w:sz="4" w:space="0" w:color="808080"/>
              <w:left w:val="nil"/>
              <w:bottom w:val="single" w:sz="4" w:space="0" w:color="808080"/>
              <w:right w:val="nil"/>
            </w:tcBorders>
            <w:noWrap/>
            <w:vAlign w:val="center"/>
            <w:hideMark/>
          </w:tcPr>
          <w:p w14:paraId="4BB8E1B8"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Macchine di impiego generale</w:t>
            </w:r>
          </w:p>
        </w:tc>
        <w:tc>
          <w:tcPr>
            <w:tcW w:w="5163" w:type="dxa"/>
            <w:tcBorders>
              <w:top w:val="single" w:sz="4" w:space="0" w:color="808080"/>
              <w:left w:val="nil"/>
              <w:bottom w:val="single" w:sz="4" w:space="0" w:color="808080"/>
              <w:right w:val="nil"/>
            </w:tcBorders>
            <w:noWrap/>
            <w:vAlign w:val="center"/>
            <w:hideMark/>
          </w:tcPr>
          <w:p w14:paraId="0EB82D22"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CK281-Macchine di impiego generale</w:t>
            </w:r>
          </w:p>
        </w:tc>
      </w:tr>
      <w:tr w:rsidR="0075577E" w:rsidRPr="00E55A43" w14:paraId="63BA728A" w14:textId="77777777" w:rsidTr="0041728D">
        <w:trPr>
          <w:trHeight w:val="283"/>
        </w:trPr>
        <w:tc>
          <w:tcPr>
            <w:tcW w:w="4760" w:type="dxa"/>
            <w:tcBorders>
              <w:top w:val="single" w:sz="4" w:space="0" w:color="808080"/>
              <w:left w:val="nil"/>
              <w:bottom w:val="single" w:sz="4" w:space="0" w:color="808080"/>
              <w:right w:val="nil"/>
            </w:tcBorders>
            <w:noWrap/>
            <w:vAlign w:val="center"/>
            <w:hideMark/>
          </w:tcPr>
          <w:p w14:paraId="306B813F"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Altre macchine di impiego generale</w:t>
            </w:r>
          </w:p>
        </w:tc>
        <w:tc>
          <w:tcPr>
            <w:tcW w:w="5163" w:type="dxa"/>
            <w:tcBorders>
              <w:top w:val="single" w:sz="4" w:space="0" w:color="808080"/>
              <w:left w:val="nil"/>
              <w:bottom w:val="single" w:sz="4" w:space="0" w:color="808080"/>
              <w:right w:val="nil"/>
            </w:tcBorders>
            <w:noWrap/>
            <w:vAlign w:val="center"/>
            <w:hideMark/>
          </w:tcPr>
          <w:p w14:paraId="274A2D59"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CK282-Altre macchine di impiego generale</w:t>
            </w:r>
          </w:p>
        </w:tc>
      </w:tr>
      <w:tr w:rsidR="0075577E" w:rsidRPr="00E55A43" w14:paraId="3F39AC3A" w14:textId="77777777" w:rsidTr="0041728D">
        <w:trPr>
          <w:trHeight w:val="283"/>
        </w:trPr>
        <w:tc>
          <w:tcPr>
            <w:tcW w:w="4760" w:type="dxa"/>
            <w:tcBorders>
              <w:top w:val="single" w:sz="4" w:space="0" w:color="808080"/>
              <w:left w:val="nil"/>
              <w:bottom w:val="single" w:sz="4" w:space="0" w:color="808080"/>
              <w:right w:val="nil"/>
            </w:tcBorders>
            <w:noWrap/>
            <w:vAlign w:val="center"/>
            <w:hideMark/>
          </w:tcPr>
          <w:p w14:paraId="02C915B7"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 xml:space="preserve">Macchine per formatura </w:t>
            </w:r>
            <w:proofErr w:type="spellStart"/>
            <w:r w:rsidRPr="00E55A43">
              <w:rPr>
                <w:rFonts w:ascii="Calibri" w:hAnsi="Calibri" w:cs="Calibri"/>
                <w:color w:val="000000"/>
                <w:sz w:val="18"/>
                <w:szCs w:val="18"/>
              </w:rPr>
              <w:t>met</w:t>
            </w:r>
            <w:proofErr w:type="spellEnd"/>
            <w:r w:rsidRPr="00E55A43">
              <w:rPr>
                <w:rFonts w:ascii="Calibri" w:hAnsi="Calibri" w:cs="Calibri"/>
                <w:color w:val="000000"/>
                <w:sz w:val="18"/>
                <w:szCs w:val="18"/>
              </w:rPr>
              <w:t xml:space="preserve">. e altre </w:t>
            </w:r>
            <w:proofErr w:type="spellStart"/>
            <w:r w:rsidRPr="00E55A43">
              <w:rPr>
                <w:rFonts w:ascii="Calibri" w:hAnsi="Calibri" w:cs="Calibri"/>
                <w:color w:val="000000"/>
                <w:sz w:val="18"/>
                <w:szCs w:val="18"/>
              </w:rPr>
              <w:t>macch</w:t>
            </w:r>
            <w:proofErr w:type="spellEnd"/>
            <w:r w:rsidRPr="00E55A43">
              <w:rPr>
                <w:rFonts w:ascii="Calibri" w:hAnsi="Calibri" w:cs="Calibri"/>
                <w:color w:val="000000"/>
                <w:sz w:val="18"/>
                <w:szCs w:val="18"/>
              </w:rPr>
              <w:t>. utensili</w:t>
            </w:r>
          </w:p>
        </w:tc>
        <w:tc>
          <w:tcPr>
            <w:tcW w:w="5163" w:type="dxa"/>
            <w:tcBorders>
              <w:top w:val="single" w:sz="4" w:space="0" w:color="808080"/>
              <w:left w:val="nil"/>
              <w:bottom w:val="single" w:sz="4" w:space="0" w:color="808080"/>
              <w:right w:val="nil"/>
            </w:tcBorders>
            <w:noWrap/>
            <w:vAlign w:val="center"/>
            <w:hideMark/>
          </w:tcPr>
          <w:p w14:paraId="7752D170"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CK284-Macchine per la formatura dei metalli e altre macchine utensili</w:t>
            </w:r>
          </w:p>
        </w:tc>
      </w:tr>
      <w:tr w:rsidR="0075577E" w:rsidRPr="00E55A43" w14:paraId="4696E538" w14:textId="77777777" w:rsidTr="0041728D">
        <w:trPr>
          <w:trHeight w:val="283"/>
        </w:trPr>
        <w:tc>
          <w:tcPr>
            <w:tcW w:w="4760" w:type="dxa"/>
            <w:tcBorders>
              <w:top w:val="single" w:sz="4" w:space="0" w:color="808080"/>
              <w:left w:val="nil"/>
              <w:bottom w:val="single" w:sz="4" w:space="0" w:color="808080"/>
              <w:right w:val="nil"/>
            </w:tcBorders>
            <w:noWrap/>
            <w:vAlign w:val="center"/>
            <w:hideMark/>
          </w:tcPr>
          <w:p w14:paraId="22910543"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Altre macchine per impieghi speciali</w:t>
            </w:r>
          </w:p>
        </w:tc>
        <w:tc>
          <w:tcPr>
            <w:tcW w:w="5163" w:type="dxa"/>
            <w:tcBorders>
              <w:top w:val="single" w:sz="4" w:space="0" w:color="808080"/>
              <w:left w:val="nil"/>
              <w:bottom w:val="single" w:sz="4" w:space="0" w:color="808080"/>
              <w:right w:val="nil"/>
            </w:tcBorders>
            <w:noWrap/>
            <w:vAlign w:val="center"/>
            <w:hideMark/>
          </w:tcPr>
          <w:p w14:paraId="3083AD2A"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CK289-Altre macchine per impieghi speciali</w:t>
            </w:r>
          </w:p>
        </w:tc>
      </w:tr>
      <w:tr w:rsidR="0075577E" w:rsidRPr="00E55A43" w14:paraId="0146B6C6" w14:textId="77777777" w:rsidTr="0041728D">
        <w:trPr>
          <w:trHeight w:val="283"/>
        </w:trPr>
        <w:tc>
          <w:tcPr>
            <w:tcW w:w="4760" w:type="dxa"/>
            <w:tcBorders>
              <w:top w:val="single" w:sz="4" w:space="0" w:color="808080"/>
              <w:left w:val="nil"/>
              <w:bottom w:val="single" w:sz="4" w:space="0" w:color="808080"/>
              <w:right w:val="nil"/>
            </w:tcBorders>
            <w:noWrap/>
            <w:vAlign w:val="center"/>
            <w:hideMark/>
          </w:tcPr>
          <w:p w14:paraId="25E481B1"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Navi e imbarcazioni</w:t>
            </w:r>
          </w:p>
        </w:tc>
        <w:tc>
          <w:tcPr>
            <w:tcW w:w="5163" w:type="dxa"/>
            <w:tcBorders>
              <w:top w:val="single" w:sz="4" w:space="0" w:color="808080"/>
              <w:left w:val="nil"/>
              <w:bottom w:val="single" w:sz="4" w:space="0" w:color="808080"/>
              <w:right w:val="nil"/>
            </w:tcBorders>
            <w:noWrap/>
            <w:vAlign w:val="center"/>
            <w:hideMark/>
          </w:tcPr>
          <w:p w14:paraId="4A502FCD"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CL301-Navi e imbarcazioni</w:t>
            </w:r>
          </w:p>
        </w:tc>
      </w:tr>
      <w:tr w:rsidR="0075577E" w:rsidRPr="00E55A43" w14:paraId="0F1A00E9" w14:textId="77777777" w:rsidTr="0041728D">
        <w:trPr>
          <w:trHeight w:val="283"/>
        </w:trPr>
        <w:tc>
          <w:tcPr>
            <w:tcW w:w="4760" w:type="dxa"/>
            <w:tcBorders>
              <w:top w:val="single" w:sz="4" w:space="0" w:color="808080"/>
              <w:left w:val="nil"/>
              <w:bottom w:val="single" w:sz="4" w:space="0" w:color="808080"/>
              <w:right w:val="nil"/>
            </w:tcBorders>
            <w:noWrap/>
            <w:vAlign w:val="center"/>
            <w:hideMark/>
          </w:tcPr>
          <w:p w14:paraId="10DE819B"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Cicli e motocicli</w:t>
            </w:r>
          </w:p>
        </w:tc>
        <w:tc>
          <w:tcPr>
            <w:tcW w:w="5163" w:type="dxa"/>
            <w:tcBorders>
              <w:top w:val="single" w:sz="4" w:space="0" w:color="808080"/>
              <w:left w:val="nil"/>
              <w:bottom w:val="single" w:sz="4" w:space="0" w:color="808080"/>
              <w:right w:val="nil"/>
            </w:tcBorders>
            <w:noWrap/>
            <w:vAlign w:val="center"/>
            <w:hideMark/>
          </w:tcPr>
          <w:p w14:paraId="431EC936"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CL309-Mezzi di trasporto n.c.a.</w:t>
            </w:r>
          </w:p>
        </w:tc>
      </w:tr>
      <w:tr w:rsidR="0075577E" w:rsidRPr="00E55A43" w14:paraId="4BE25D31" w14:textId="77777777" w:rsidTr="0041728D">
        <w:trPr>
          <w:trHeight w:val="283"/>
        </w:trPr>
        <w:tc>
          <w:tcPr>
            <w:tcW w:w="4760" w:type="dxa"/>
            <w:tcBorders>
              <w:top w:val="single" w:sz="4" w:space="0" w:color="808080"/>
              <w:left w:val="nil"/>
              <w:bottom w:val="single" w:sz="4" w:space="0" w:color="auto"/>
              <w:right w:val="nil"/>
            </w:tcBorders>
            <w:noWrap/>
            <w:vAlign w:val="center"/>
            <w:hideMark/>
          </w:tcPr>
          <w:p w14:paraId="73A1B62B"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Mobili</w:t>
            </w:r>
          </w:p>
        </w:tc>
        <w:tc>
          <w:tcPr>
            <w:tcW w:w="5163" w:type="dxa"/>
            <w:tcBorders>
              <w:top w:val="single" w:sz="4" w:space="0" w:color="808080"/>
              <w:left w:val="nil"/>
              <w:bottom w:val="single" w:sz="4" w:space="0" w:color="auto"/>
              <w:right w:val="nil"/>
            </w:tcBorders>
            <w:noWrap/>
            <w:vAlign w:val="center"/>
            <w:hideMark/>
          </w:tcPr>
          <w:p w14:paraId="1DD6936C" w14:textId="77777777" w:rsidR="0075577E" w:rsidRPr="00E55A43" w:rsidRDefault="0075577E" w:rsidP="0041728D">
            <w:pPr>
              <w:rPr>
                <w:rFonts w:ascii="Calibri" w:hAnsi="Calibri" w:cs="Calibri"/>
                <w:color w:val="000000"/>
                <w:sz w:val="18"/>
                <w:szCs w:val="18"/>
              </w:rPr>
            </w:pPr>
            <w:r w:rsidRPr="00E55A43">
              <w:rPr>
                <w:rFonts w:ascii="Calibri" w:hAnsi="Calibri" w:cs="Calibri"/>
                <w:color w:val="000000"/>
                <w:sz w:val="18"/>
                <w:szCs w:val="18"/>
              </w:rPr>
              <w:t>CM310-Mobili</w:t>
            </w:r>
          </w:p>
        </w:tc>
      </w:tr>
    </w:tbl>
    <w:p w14:paraId="461DFB2A" w14:textId="07C777A6" w:rsidR="00D15285" w:rsidRDefault="00D15285" w:rsidP="00DC334E">
      <w:pPr>
        <w:rPr>
          <w:rFonts w:ascii="Calibri" w:hAnsi="Calibri" w:cs="Calibri"/>
          <w:b/>
          <w:bCs/>
        </w:rPr>
      </w:pPr>
    </w:p>
    <w:sectPr w:rsidR="00D15285" w:rsidSect="00A611F0">
      <w:headerReference w:type="default" r:id="rId12"/>
      <w:footerReference w:type="default" r:id="rId13"/>
      <w:pgSz w:w="11906" w:h="16838"/>
      <w:pgMar w:top="1134" w:right="1559" w:bottom="709" w:left="1559" w:header="720" w:footer="2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F49F0" w14:textId="77777777" w:rsidR="00B35F0F" w:rsidRDefault="00B35F0F">
      <w:r>
        <w:separator/>
      </w:r>
    </w:p>
  </w:endnote>
  <w:endnote w:type="continuationSeparator" w:id="0">
    <w:p w14:paraId="233F3B5E" w14:textId="77777777" w:rsidR="00B35F0F" w:rsidRDefault="00B3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mbria"/>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edra Sans Std Demi">
    <w:altName w:val="Cambria"/>
    <w:panose1 w:val="00000000000000000000"/>
    <w:charset w:val="00"/>
    <w:family w:val="swiss"/>
    <w:notTrueType/>
    <w:pitch w:val="variable"/>
    <w:sig w:usb0="20000007" w:usb1="0000000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0FEB1" w14:textId="77777777" w:rsidR="00A44C14" w:rsidRPr="00A44C14" w:rsidRDefault="00A44C14">
    <w:pPr>
      <w:pStyle w:val="Pidipagina"/>
      <w:jc w:val="center"/>
      <w:rPr>
        <w:rFonts w:ascii="Calibri" w:hAnsi="Calibri" w:cs="Calibri"/>
      </w:rPr>
    </w:pPr>
    <w:r w:rsidRPr="00A44C14">
      <w:rPr>
        <w:rFonts w:ascii="Calibri" w:hAnsi="Calibri" w:cs="Calibri"/>
      </w:rPr>
      <w:fldChar w:fldCharType="begin"/>
    </w:r>
    <w:r w:rsidRPr="00A44C14">
      <w:rPr>
        <w:rFonts w:ascii="Calibri" w:hAnsi="Calibri" w:cs="Calibri"/>
      </w:rPr>
      <w:instrText>PAGE   \* MERGEFORMAT</w:instrText>
    </w:r>
    <w:r w:rsidRPr="00A44C14">
      <w:rPr>
        <w:rFonts w:ascii="Calibri" w:hAnsi="Calibri" w:cs="Calibri"/>
      </w:rPr>
      <w:fldChar w:fldCharType="separate"/>
    </w:r>
    <w:r w:rsidRPr="00A44C14">
      <w:rPr>
        <w:rFonts w:ascii="Calibri" w:hAnsi="Calibri" w:cs="Calibri"/>
        <w:lang w:val="it-IT"/>
      </w:rPr>
      <w:t>2</w:t>
    </w:r>
    <w:r w:rsidRPr="00A44C14">
      <w:rPr>
        <w:rFonts w:ascii="Calibri" w:hAnsi="Calibri" w:cs="Calibri"/>
      </w:rPr>
      <w:fldChar w:fldCharType="end"/>
    </w:r>
  </w:p>
  <w:p w14:paraId="4A57BA4C" w14:textId="77777777" w:rsidR="00BE2189" w:rsidRDefault="00BE2189" w:rsidP="007911E2">
    <w:pPr>
      <w:pStyle w:val="Pidipagina"/>
      <w:tabs>
        <w:tab w:val="left" w:pos="3660"/>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DBBCB" w14:textId="77777777" w:rsidR="00B35F0F" w:rsidRDefault="00B35F0F">
      <w:r>
        <w:separator/>
      </w:r>
    </w:p>
  </w:footnote>
  <w:footnote w:type="continuationSeparator" w:id="0">
    <w:p w14:paraId="516B1E76" w14:textId="77777777" w:rsidR="00B35F0F" w:rsidRDefault="00B35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AC39E" w14:textId="77777777" w:rsidR="00BE2189" w:rsidRPr="000233D6" w:rsidRDefault="00BE2189" w:rsidP="000233D6">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0.25pt;height:50.25pt" o:bullet="t">
        <v:imagedata r:id="rId1" o:title="ico_uc_email"/>
      </v:shape>
    </w:pict>
  </w:numPicBullet>
  <w:abstractNum w:abstractNumId="0" w15:restartNumberingAfterBreak="0">
    <w:nsid w:val="FFFFFF1D"/>
    <w:multiLevelType w:val="multilevel"/>
    <w:tmpl w:val="682E2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004788"/>
    <w:multiLevelType w:val="hybridMultilevel"/>
    <w:tmpl w:val="E0BC44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6" w15:restartNumberingAfterBreak="0">
    <w:nsid w:val="35C922AF"/>
    <w:multiLevelType w:val="hybridMultilevel"/>
    <w:tmpl w:val="41827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10" w15:restartNumberingAfterBreak="0">
    <w:nsid w:val="7059564E"/>
    <w:multiLevelType w:val="hybridMultilevel"/>
    <w:tmpl w:val="579A2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185054569">
    <w:abstractNumId w:val="11"/>
  </w:num>
  <w:num w:numId="2" w16cid:durableId="995642691">
    <w:abstractNumId w:val="9"/>
  </w:num>
  <w:num w:numId="3" w16cid:durableId="1216090197">
    <w:abstractNumId w:val="3"/>
  </w:num>
  <w:num w:numId="4" w16cid:durableId="915868365">
    <w:abstractNumId w:val="5"/>
  </w:num>
  <w:num w:numId="5" w16cid:durableId="2053770570">
    <w:abstractNumId w:val="2"/>
  </w:num>
  <w:num w:numId="6" w16cid:durableId="299380357">
    <w:abstractNumId w:val="7"/>
  </w:num>
  <w:num w:numId="7" w16cid:durableId="1297032483">
    <w:abstractNumId w:val="8"/>
  </w:num>
  <w:num w:numId="8" w16cid:durableId="1517310558">
    <w:abstractNumId w:val="0"/>
  </w:num>
  <w:num w:numId="9" w16cid:durableId="847329692">
    <w:abstractNumId w:val="1"/>
  </w:num>
  <w:num w:numId="10" w16cid:durableId="1168246991">
    <w:abstractNumId w:val="4"/>
  </w:num>
  <w:num w:numId="11" w16cid:durableId="218440418">
    <w:abstractNumId w:val="6"/>
  </w:num>
  <w:num w:numId="12" w16cid:durableId="2036612586">
    <w:abstractNumId w:val="10"/>
  </w:num>
  <w:num w:numId="13" w16cid:durableId="19843127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971356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2D"/>
    <w:rsid w:val="00000074"/>
    <w:rsid w:val="00000B36"/>
    <w:rsid w:val="00000E00"/>
    <w:rsid w:val="00001CC5"/>
    <w:rsid w:val="000025E9"/>
    <w:rsid w:val="00002CC9"/>
    <w:rsid w:val="00004B40"/>
    <w:rsid w:val="00006954"/>
    <w:rsid w:val="00006B0C"/>
    <w:rsid w:val="00007B8A"/>
    <w:rsid w:val="00011214"/>
    <w:rsid w:val="00012ABF"/>
    <w:rsid w:val="00013E6F"/>
    <w:rsid w:val="00014811"/>
    <w:rsid w:val="00014B72"/>
    <w:rsid w:val="00014C02"/>
    <w:rsid w:val="00016694"/>
    <w:rsid w:val="0001683A"/>
    <w:rsid w:val="00016A21"/>
    <w:rsid w:val="000176E8"/>
    <w:rsid w:val="00017893"/>
    <w:rsid w:val="00021962"/>
    <w:rsid w:val="00021A40"/>
    <w:rsid w:val="00021B73"/>
    <w:rsid w:val="0002268B"/>
    <w:rsid w:val="000233D6"/>
    <w:rsid w:val="00023509"/>
    <w:rsid w:val="000238DD"/>
    <w:rsid w:val="00023F72"/>
    <w:rsid w:val="00024D76"/>
    <w:rsid w:val="00027A0B"/>
    <w:rsid w:val="00027B98"/>
    <w:rsid w:val="00027F2E"/>
    <w:rsid w:val="0003207F"/>
    <w:rsid w:val="000343D9"/>
    <w:rsid w:val="00036072"/>
    <w:rsid w:val="00036AF3"/>
    <w:rsid w:val="000377CA"/>
    <w:rsid w:val="00037DE8"/>
    <w:rsid w:val="00040A7D"/>
    <w:rsid w:val="00041E7E"/>
    <w:rsid w:val="00041F9E"/>
    <w:rsid w:val="00043006"/>
    <w:rsid w:val="00045AD9"/>
    <w:rsid w:val="00045EE6"/>
    <w:rsid w:val="00050D02"/>
    <w:rsid w:val="00050F2D"/>
    <w:rsid w:val="0005150C"/>
    <w:rsid w:val="00051AAE"/>
    <w:rsid w:val="00052417"/>
    <w:rsid w:val="000533F9"/>
    <w:rsid w:val="00054023"/>
    <w:rsid w:val="00055A77"/>
    <w:rsid w:val="000568F9"/>
    <w:rsid w:val="00060624"/>
    <w:rsid w:val="0006253B"/>
    <w:rsid w:val="00063168"/>
    <w:rsid w:val="00063BAD"/>
    <w:rsid w:val="0006442F"/>
    <w:rsid w:val="000648A7"/>
    <w:rsid w:val="000651E1"/>
    <w:rsid w:val="00065AA6"/>
    <w:rsid w:val="00065EAB"/>
    <w:rsid w:val="00065F15"/>
    <w:rsid w:val="00066058"/>
    <w:rsid w:val="00066AA9"/>
    <w:rsid w:val="00067060"/>
    <w:rsid w:val="00067A03"/>
    <w:rsid w:val="00067B41"/>
    <w:rsid w:val="000723DC"/>
    <w:rsid w:val="00072D79"/>
    <w:rsid w:val="000732A6"/>
    <w:rsid w:val="0007375F"/>
    <w:rsid w:val="00081250"/>
    <w:rsid w:val="0008130A"/>
    <w:rsid w:val="00082141"/>
    <w:rsid w:val="00082DC9"/>
    <w:rsid w:val="000835B7"/>
    <w:rsid w:val="00085828"/>
    <w:rsid w:val="00087BE7"/>
    <w:rsid w:val="0009179D"/>
    <w:rsid w:val="000919D2"/>
    <w:rsid w:val="00091C5E"/>
    <w:rsid w:val="000925C3"/>
    <w:rsid w:val="000926FF"/>
    <w:rsid w:val="00092B8C"/>
    <w:rsid w:val="00094113"/>
    <w:rsid w:val="000941F3"/>
    <w:rsid w:val="000942A8"/>
    <w:rsid w:val="0009548C"/>
    <w:rsid w:val="00095A48"/>
    <w:rsid w:val="00095AD8"/>
    <w:rsid w:val="0009645E"/>
    <w:rsid w:val="0009669A"/>
    <w:rsid w:val="00097005"/>
    <w:rsid w:val="000A0BD0"/>
    <w:rsid w:val="000A0D17"/>
    <w:rsid w:val="000A0E48"/>
    <w:rsid w:val="000A2A45"/>
    <w:rsid w:val="000A3B9F"/>
    <w:rsid w:val="000A4705"/>
    <w:rsid w:val="000A5432"/>
    <w:rsid w:val="000A5585"/>
    <w:rsid w:val="000A5B2F"/>
    <w:rsid w:val="000A5C7E"/>
    <w:rsid w:val="000A71E9"/>
    <w:rsid w:val="000B0DF7"/>
    <w:rsid w:val="000B1798"/>
    <w:rsid w:val="000B1AB4"/>
    <w:rsid w:val="000B1BB6"/>
    <w:rsid w:val="000B2CF8"/>
    <w:rsid w:val="000B2D19"/>
    <w:rsid w:val="000B5328"/>
    <w:rsid w:val="000B6639"/>
    <w:rsid w:val="000B6B0F"/>
    <w:rsid w:val="000B6C06"/>
    <w:rsid w:val="000B6FE5"/>
    <w:rsid w:val="000C0AE2"/>
    <w:rsid w:val="000C1ABB"/>
    <w:rsid w:val="000C32FE"/>
    <w:rsid w:val="000C37B4"/>
    <w:rsid w:val="000C3EE4"/>
    <w:rsid w:val="000C48B9"/>
    <w:rsid w:val="000C4DF0"/>
    <w:rsid w:val="000C5726"/>
    <w:rsid w:val="000C6F82"/>
    <w:rsid w:val="000C7F11"/>
    <w:rsid w:val="000D13A5"/>
    <w:rsid w:val="000D307B"/>
    <w:rsid w:val="000D45FD"/>
    <w:rsid w:val="000D60E8"/>
    <w:rsid w:val="000D70BD"/>
    <w:rsid w:val="000E0B9E"/>
    <w:rsid w:val="000E48CB"/>
    <w:rsid w:val="000E4A76"/>
    <w:rsid w:val="000E5BF7"/>
    <w:rsid w:val="000E5C04"/>
    <w:rsid w:val="000E5F8A"/>
    <w:rsid w:val="000E669F"/>
    <w:rsid w:val="000E696F"/>
    <w:rsid w:val="000E6C38"/>
    <w:rsid w:val="000E6FE3"/>
    <w:rsid w:val="000F1033"/>
    <w:rsid w:val="000F23DE"/>
    <w:rsid w:val="000F3544"/>
    <w:rsid w:val="000F45ED"/>
    <w:rsid w:val="000F593D"/>
    <w:rsid w:val="00102927"/>
    <w:rsid w:val="00107130"/>
    <w:rsid w:val="00107A20"/>
    <w:rsid w:val="00110040"/>
    <w:rsid w:val="00111D10"/>
    <w:rsid w:val="0011211C"/>
    <w:rsid w:val="001121E2"/>
    <w:rsid w:val="00112DB3"/>
    <w:rsid w:val="001145E2"/>
    <w:rsid w:val="00114CC3"/>
    <w:rsid w:val="00114CF4"/>
    <w:rsid w:val="0011545C"/>
    <w:rsid w:val="001225CC"/>
    <w:rsid w:val="00123790"/>
    <w:rsid w:val="001242EA"/>
    <w:rsid w:val="00125040"/>
    <w:rsid w:val="00126174"/>
    <w:rsid w:val="00127652"/>
    <w:rsid w:val="001311B0"/>
    <w:rsid w:val="001323BF"/>
    <w:rsid w:val="00132C42"/>
    <w:rsid w:val="00133B81"/>
    <w:rsid w:val="00134114"/>
    <w:rsid w:val="001356B5"/>
    <w:rsid w:val="00136F68"/>
    <w:rsid w:val="00137499"/>
    <w:rsid w:val="00137B1D"/>
    <w:rsid w:val="0014309F"/>
    <w:rsid w:val="001433FB"/>
    <w:rsid w:val="0014430D"/>
    <w:rsid w:val="00144FCC"/>
    <w:rsid w:val="00145446"/>
    <w:rsid w:val="00145483"/>
    <w:rsid w:val="00146794"/>
    <w:rsid w:val="001475E7"/>
    <w:rsid w:val="00151B11"/>
    <w:rsid w:val="00151EC5"/>
    <w:rsid w:val="001541CE"/>
    <w:rsid w:val="0015505D"/>
    <w:rsid w:val="00162BBF"/>
    <w:rsid w:val="00164E68"/>
    <w:rsid w:val="00166471"/>
    <w:rsid w:val="00172A83"/>
    <w:rsid w:val="0017413A"/>
    <w:rsid w:val="00175053"/>
    <w:rsid w:val="001763C7"/>
    <w:rsid w:val="001769AC"/>
    <w:rsid w:val="00177BB6"/>
    <w:rsid w:val="00177E24"/>
    <w:rsid w:val="0018026F"/>
    <w:rsid w:val="00183266"/>
    <w:rsid w:val="00183DE7"/>
    <w:rsid w:val="00183E00"/>
    <w:rsid w:val="00184887"/>
    <w:rsid w:val="001858F2"/>
    <w:rsid w:val="00186F50"/>
    <w:rsid w:val="00187091"/>
    <w:rsid w:val="001873E2"/>
    <w:rsid w:val="00190042"/>
    <w:rsid w:val="00190A09"/>
    <w:rsid w:val="0019162E"/>
    <w:rsid w:val="00191795"/>
    <w:rsid w:val="0019482E"/>
    <w:rsid w:val="0019541C"/>
    <w:rsid w:val="001955AD"/>
    <w:rsid w:val="001956D1"/>
    <w:rsid w:val="001956FC"/>
    <w:rsid w:val="00195837"/>
    <w:rsid w:val="00196DCB"/>
    <w:rsid w:val="001A0197"/>
    <w:rsid w:val="001A091C"/>
    <w:rsid w:val="001A471F"/>
    <w:rsid w:val="001A56C6"/>
    <w:rsid w:val="001A7796"/>
    <w:rsid w:val="001B14D1"/>
    <w:rsid w:val="001B1545"/>
    <w:rsid w:val="001B15E1"/>
    <w:rsid w:val="001B284C"/>
    <w:rsid w:val="001B2A42"/>
    <w:rsid w:val="001B737C"/>
    <w:rsid w:val="001B76D7"/>
    <w:rsid w:val="001C2176"/>
    <w:rsid w:val="001C2FD9"/>
    <w:rsid w:val="001C3965"/>
    <w:rsid w:val="001C53DC"/>
    <w:rsid w:val="001C68F2"/>
    <w:rsid w:val="001C6A56"/>
    <w:rsid w:val="001C6DA2"/>
    <w:rsid w:val="001C714B"/>
    <w:rsid w:val="001C7D0C"/>
    <w:rsid w:val="001D2972"/>
    <w:rsid w:val="001D37D8"/>
    <w:rsid w:val="001D467C"/>
    <w:rsid w:val="001E1671"/>
    <w:rsid w:val="001E19A4"/>
    <w:rsid w:val="001E27FE"/>
    <w:rsid w:val="001E3F65"/>
    <w:rsid w:val="001E42F8"/>
    <w:rsid w:val="001E4325"/>
    <w:rsid w:val="001E4EF0"/>
    <w:rsid w:val="001E4F1B"/>
    <w:rsid w:val="001E5A97"/>
    <w:rsid w:val="001E7BB8"/>
    <w:rsid w:val="001F094F"/>
    <w:rsid w:val="001F114D"/>
    <w:rsid w:val="001F4377"/>
    <w:rsid w:val="001F4790"/>
    <w:rsid w:val="001F4B6B"/>
    <w:rsid w:val="001F6F71"/>
    <w:rsid w:val="001F711F"/>
    <w:rsid w:val="001F781D"/>
    <w:rsid w:val="001F7E66"/>
    <w:rsid w:val="002008BC"/>
    <w:rsid w:val="0020455E"/>
    <w:rsid w:val="00204BE3"/>
    <w:rsid w:val="00205964"/>
    <w:rsid w:val="00206E5A"/>
    <w:rsid w:val="002070C3"/>
    <w:rsid w:val="0021014E"/>
    <w:rsid w:val="00212797"/>
    <w:rsid w:val="002135D3"/>
    <w:rsid w:val="00214323"/>
    <w:rsid w:val="0021450C"/>
    <w:rsid w:val="00214893"/>
    <w:rsid w:val="0021540C"/>
    <w:rsid w:val="002166D9"/>
    <w:rsid w:val="00217A4F"/>
    <w:rsid w:val="002203EB"/>
    <w:rsid w:val="00220698"/>
    <w:rsid w:val="00220904"/>
    <w:rsid w:val="00220BB7"/>
    <w:rsid w:val="00221099"/>
    <w:rsid w:val="00221E42"/>
    <w:rsid w:val="0022413E"/>
    <w:rsid w:val="0022419F"/>
    <w:rsid w:val="002260C5"/>
    <w:rsid w:val="00226136"/>
    <w:rsid w:val="0022674E"/>
    <w:rsid w:val="00226B11"/>
    <w:rsid w:val="00230FFE"/>
    <w:rsid w:val="00232088"/>
    <w:rsid w:val="00233976"/>
    <w:rsid w:val="00234CF0"/>
    <w:rsid w:val="00234EEA"/>
    <w:rsid w:val="00234F3A"/>
    <w:rsid w:val="002355BF"/>
    <w:rsid w:val="00235B3D"/>
    <w:rsid w:val="0023676A"/>
    <w:rsid w:val="00236998"/>
    <w:rsid w:val="002378C6"/>
    <w:rsid w:val="002441C5"/>
    <w:rsid w:val="00244C55"/>
    <w:rsid w:val="00244CB4"/>
    <w:rsid w:val="00247053"/>
    <w:rsid w:val="002508FE"/>
    <w:rsid w:val="002518CC"/>
    <w:rsid w:val="002524FB"/>
    <w:rsid w:val="00252F88"/>
    <w:rsid w:val="0025394A"/>
    <w:rsid w:val="00254ED8"/>
    <w:rsid w:val="002551D2"/>
    <w:rsid w:val="002554DB"/>
    <w:rsid w:val="00255F86"/>
    <w:rsid w:val="00256636"/>
    <w:rsid w:val="00256658"/>
    <w:rsid w:val="00256B3A"/>
    <w:rsid w:val="002609D1"/>
    <w:rsid w:val="002611D9"/>
    <w:rsid w:val="00261987"/>
    <w:rsid w:val="002623F3"/>
    <w:rsid w:val="002628F5"/>
    <w:rsid w:val="00262A87"/>
    <w:rsid w:val="002645CE"/>
    <w:rsid w:val="00264942"/>
    <w:rsid w:val="002652E9"/>
    <w:rsid w:val="002666D4"/>
    <w:rsid w:val="0026745C"/>
    <w:rsid w:val="002706E8"/>
    <w:rsid w:val="00270BCF"/>
    <w:rsid w:val="00271BBD"/>
    <w:rsid w:val="00271EE4"/>
    <w:rsid w:val="00272319"/>
    <w:rsid w:val="00272EC1"/>
    <w:rsid w:val="002747B2"/>
    <w:rsid w:val="0027490E"/>
    <w:rsid w:val="00274C44"/>
    <w:rsid w:val="00274C5D"/>
    <w:rsid w:val="002753C3"/>
    <w:rsid w:val="00275A09"/>
    <w:rsid w:val="0027717A"/>
    <w:rsid w:val="002814E2"/>
    <w:rsid w:val="002815BC"/>
    <w:rsid w:val="00281AA5"/>
    <w:rsid w:val="00283941"/>
    <w:rsid w:val="00283E30"/>
    <w:rsid w:val="0028431B"/>
    <w:rsid w:val="00284AB7"/>
    <w:rsid w:val="00286404"/>
    <w:rsid w:val="00286A84"/>
    <w:rsid w:val="002934B8"/>
    <w:rsid w:val="002954E6"/>
    <w:rsid w:val="00295D4F"/>
    <w:rsid w:val="0029632D"/>
    <w:rsid w:val="00296BF9"/>
    <w:rsid w:val="00296E4D"/>
    <w:rsid w:val="002974AE"/>
    <w:rsid w:val="002A0881"/>
    <w:rsid w:val="002A2FE8"/>
    <w:rsid w:val="002A3587"/>
    <w:rsid w:val="002A3868"/>
    <w:rsid w:val="002A5372"/>
    <w:rsid w:val="002A5A0B"/>
    <w:rsid w:val="002A5A19"/>
    <w:rsid w:val="002A6156"/>
    <w:rsid w:val="002A6739"/>
    <w:rsid w:val="002B101F"/>
    <w:rsid w:val="002B1971"/>
    <w:rsid w:val="002B3905"/>
    <w:rsid w:val="002B39F2"/>
    <w:rsid w:val="002B4E13"/>
    <w:rsid w:val="002B506B"/>
    <w:rsid w:val="002B545D"/>
    <w:rsid w:val="002B5E47"/>
    <w:rsid w:val="002B70B8"/>
    <w:rsid w:val="002C00CF"/>
    <w:rsid w:val="002C08F6"/>
    <w:rsid w:val="002C2807"/>
    <w:rsid w:val="002C2A7E"/>
    <w:rsid w:val="002C317F"/>
    <w:rsid w:val="002C3180"/>
    <w:rsid w:val="002C37EF"/>
    <w:rsid w:val="002C3BBC"/>
    <w:rsid w:val="002C53FA"/>
    <w:rsid w:val="002C6CCE"/>
    <w:rsid w:val="002D1A8E"/>
    <w:rsid w:val="002D2504"/>
    <w:rsid w:val="002D3648"/>
    <w:rsid w:val="002D3F32"/>
    <w:rsid w:val="002D4224"/>
    <w:rsid w:val="002D441A"/>
    <w:rsid w:val="002D4712"/>
    <w:rsid w:val="002D5384"/>
    <w:rsid w:val="002D5FFC"/>
    <w:rsid w:val="002D679A"/>
    <w:rsid w:val="002D6885"/>
    <w:rsid w:val="002D78D2"/>
    <w:rsid w:val="002E267E"/>
    <w:rsid w:val="002E2FA4"/>
    <w:rsid w:val="002E3C21"/>
    <w:rsid w:val="002E40C6"/>
    <w:rsid w:val="002E5AEE"/>
    <w:rsid w:val="002E5EC6"/>
    <w:rsid w:val="002E7744"/>
    <w:rsid w:val="002E7943"/>
    <w:rsid w:val="002E7BA9"/>
    <w:rsid w:val="002F0586"/>
    <w:rsid w:val="002F0DE4"/>
    <w:rsid w:val="002F3D89"/>
    <w:rsid w:val="002F41B8"/>
    <w:rsid w:val="002F426C"/>
    <w:rsid w:val="002F44BC"/>
    <w:rsid w:val="002F55D0"/>
    <w:rsid w:val="002F56D6"/>
    <w:rsid w:val="002F6513"/>
    <w:rsid w:val="002F6644"/>
    <w:rsid w:val="002F66E2"/>
    <w:rsid w:val="003043B0"/>
    <w:rsid w:val="00306962"/>
    <w:rsid w:val="00306D99"/>
    <w:rsid w:val="00307D37"/>
    <w:rsid w:val="003105A7"/>
    <w:rsid w:val="00310F7B"/>
    <w:rsid w:val="0031198A"/>
    <w:rsid w:val="00313CD2"/>
    <w:rsid w:val="003156F3"/>
    <w:rsid w:val="0031621B"/>
    <w:rsid w:val="00316C1C"/>
    <w:rsid w:val="00317621"/>
    <w:rsid w:val="00320F2D"/>
    <w:rsid w:val="003226A3"/>
    <w:rsid w:val="00323695"/>
    <w:rsid w:val="00323A55"/>
    <w:rsid w:val="00323C9A"/>
    <w:rsid w:val="00324A82"/>
    <w:rsid w:val="00325D64"/>
    <w:rsid w:val="003264BA"/>
    <w:rsid w:val="00326CFB"/>
    <w:rsid w:val="00327D96"/>
    <w:rsid w:val="00327DED"/>
    <w:rsid w:val="00330250"/>
    <w:rsid w:val="00331069"/>
    <w:rsid w:val="0033354B"/>
    <w:rsid w:val="003341BC"/>
    <w:rsid w:val="003354DB"/>
    <w:rsid w:val="00341B6D"/>
    <w:rsid w:val="00341C54"/>
    <w:rsid w:val="003420E4"/>
    <w:rsid w:val="0034238F"/>
    <w:rsid w:val="00342A1A"/>
    <w:rsid w:val="003436D5"/>
    <w:rsid w:val="00343926"/>
    <w:rsid w:val="00344622"/>
    <w:rsid w:val="00347361"/>
    <w:rsid w:val="00347621"/>
    <w:rsid w:val="003476D7"/>
    <w:rsid w:val="00351966"/>
    <w:rsid w:val="00351D3C"/>
    <w:rsid w:val="003537BF"/>
    <w:rsid w:val="00355CE8"/>
    <w:rsid w:val="00356180"/>
    <w:rsid w:val="00356580"/>
    <w:rsid w:val="00361292"/>
    <w:rsid w:val="00361CBA"/>
    <w:rsid w:val="00362073"/>
    <w:rsid w:val="00365A36"/>
    <w:rsid w:val="0036663A"/>
    <w:rsid w:val="0037162F"/>
    <w:rsid w:val="00371DC7"/>
    <w:rsid w:val="00372C44"/>
    <w:rsid w:val="003732DA"/>
    <w:rsid w:val="00373D68"/>
    <w:rsid w:val="00374C15"/>
    <w:rsid w:val="00376312"/>
    <w:rsid w:val="00376FB0"/>
    <w:rsid w:val="003773A6"/>
    <w:rsid w:val="003802E3"/>
    <w:rsid w:val="00381A56"/>
    <w:rsid w:val="0038325F"/>
    <w:rsid w:val="00383763"/>
    <w:rsid w:val="00383ED9"/>
    <w:rsid w:val="00384BAA"/>
    <w:rsid w:val="00385863"/>
    <w:rsid w:val="00385F59"/>
    <w:rsid w:val="003860DC"/>
    <w:rsid w:val="003864F8"/>
    <w:rsid w:val="0039046B"/>
    <w:rsid w:val="00390585"/>
    <w:rsid w:val="0039138D"/>
    <w:rsid w:val="00391D84"/>
    <w:rsid w:val="003921DA"/>
    <w:rsid w:val="0039240A"/>
    <w:rsid w:val="00393ABF"/>
    <w:rsid w:val="00393CED"/>
    <w:rsid w:val="00393D03"/>
    <w:rsid w:val="00394AE8"/>
    <w:rsid w:val="003959D9"/>
    <w:rsid w:val="00396016"/>
    <w:rsid w:val="00396B47"/>
    <w:rsid w:val="003974A3"/>
    <w:rsid w:val="003974C0"/>
    <w:rsid w:val="00397FA8"/>
    <w:rsid w:val="003A0C44"/>
    <w:rsid w:val="003A108A"/>
    <w:rsid w:val="003A137C"/>
    <w:rsid w:val="003A1A83"/>
    <w:rsid w:val="003A25E9"/>
    <w:rsid w:val="003A3477"/>
    <w:rsid w:val="003A38FE"/>
    <w:rsid w:val="003A4421"/>
    <w:rsid w:val="003A46C4"/>
    <w:rsid w:val="003A4EA1"/>
    <w:rsid w:val="003A53D1"/>
    <w:rsid w:val="003A639B"/>
    <w:rsid w:val="003A767A"/>
    <w:rsid w:val="003B0092"/>
    <w:rsid w:val="003B00CC"/>
    <w:rsid w:val="003B192E"/>
    <w:rsid w:val="003B1B60"/>
    <w:rsid w:val="003B1FB3"/>
    <w:rsid w:val="003B2C75"/>
    <w:rsid w:val="003B491F"/>
    <w:rsid w:val="003B495A"/>
    <w:rsid w:val="003B5391"/>
    <w:rsid w:val="003B5E60"/>
    <w:rsid w:val="003B7ABD"/>
    <w:rsid w:val="003C03E1"/>
    <w:rsid w:val="003C0529"/>
    <w:rsid w:val="003C1860"/>
    <w:rsid w:val="003C1BCA"/>
    <w:rsid w:val="003C24D9"/>
    <w:rsid w:val="003C2D87"/>
    <w:rsid w:val="003C30E4"/>
    <w:rsid w:val="003C33D5"/>
    <w:rsid w:val="003C4177"/>
    <w:rsid w:val="003C5D42"/>
    <w:rsid w:val="003C6DCB"/>
    <w:rsid w:val="003C7C52"/>
    <w:rsid w:val="003D0A6B"/>
    <w:rsid w:val="003D0CFA"/>
    <w:rsid w:val="003D0F8B"/>
    <w:rsid w:val="003D1B6D"/>
    <w:rsid w:val="003D3902"/>
    <w:rsid w:val="003D491E"/>
    <w:rsid w:val="003D4EE1"/>
    <w:rsid w:val="003D55ED"/>
    <w:rsid w:val="003D5A73"/>
    <w:rsid w:val="003E0886"/>
    <w:rsid w:val="003E08A9"/>
    <w:rsid w:val="003E1E33"/>
    <w:rsid w:val="003E2C7C"/>
    <w:rsid w:val="003E3C2E"/>
    <w:rsid w:val="003E5B67"/>
    <w:rsid w:val="003E5D60"/>
    <w:rsid w:val="003E6DED"/>
    <w:rsid w:val="003E7512"/>
    <w:rsid w:val="003E755A"/>
    <w:rsid w:val="003E75AD"/>
    <w:rsid w:val="003E7B9B"/>
    <w:rsid w:val="003E7C96"/>
    <w:rsid w:val="003F170F"/>
    <w:rsid w:val="003F211A"/>
    <w:rsid w:val="003F2BC2"/>
    <w:rsid w:val="003F34F9"/>
    <w:rsid w:val="003F3C66"/>
    <w:rsid w:val="003F570E"/>
    <w:rsid w:val="003F6D5B"/>
    <w:rsid w:val="003F7C62"/>
    <w:rsid w:val="00400B2F"/>
    <w:rsid w:val="00400F92"/>
    <w:rsid w:val="0040118F"/>
    <w:rsid w:val="004038E8"/>
    <w:rsid w:val="00404A3C"/>
    <w:rsid w:val="00405882"/>
    <w:rsid w:val="00405C9B"/>
    <w:rsid w:val="00406FB2"/>
    <w:rsid w:val="004076A5"/>
    <w:rsid w:val="004119FC"/>
    <w:rsid w:val="00411D88"/>
    <w:rsid w:val="0041321F"/>
    <w:rsid w:val="004139EB"/>
    <w:rsid w:val="00414D16"/>
    <w:rsid w:val="00416B25"/>
    <w:rsid w:val="0041728D"/>
    <w:rsid w:val="00417A42"/>
    <w:rsid w:val="00417E8A"/>
    <w:rsid w:val="0042096D"/>
    <w:rsid w:val="00420C2E"/>
    <w:rsid w:val="004211A5"/>
    <w:rsid w:val="00421946"/>
    <w:rsid w:val="00422D26"/>
    <w:rsid w:val="00422F2B"/>
    <w:rsid w:val="004235F9"/>
    <w:rsid w:val="00424EB4"/>
    <w:rsid w:val="00425AFA"/>
    <w:rsid w:val="00425D86"/>
    <w:rsid w:val="0042605F"/>
    <w:rsid w:val="004312CB"/>
    <w:rsid w:val="00431C90"/>
    <w:rsid w:val="004321CB"/>
    <w:rsid w:val="0043325F"/>
    <w:rsid w:val="004332DC"/>
    <w:rsid w:val="0043471E"/>
    <w:rsid w:val="004354DB"/>
    <w:rsid w:val="0043569A"/>
    <w:rsid w:val="0043621F"/>
    <w:rsid w:val="004367BB"/>
    <w:rsid w:val="00437AB5"/>
    <w:rsid w:val="0044190E"/>
    <w:rsid w:val="004421C8"/>
    <w:rsid w:val="004422B3"/>
    <w:rsid w:val="0044468A"/>
    <w:rsid w:val="004447C7"/>
    <w:rsid w:val="00444946"/>
    <w:rsid w:val="00444D35"/>
    <w:rsid w:val="00445395"/>
    <w:rsid w:val="00446BAB"/>
    <w:rsid w:val="00450027"/>
    <w:rsid w:val="0045027D"/>
    <w:rsid w:val="00451F64"/>
    <w:rsid w:val="00452F66"/>
    <w:rsid w:val="004540A5"/>
    <w:rsid w:val="00454CAB"/>
    <w:rsid w:val="00455534"/>
    <w:rsid w:val="0045607C"/>
    <w:rsid w:val="00456BD5"/>
    <w:rsid w:val="004570FB"/>
    <w:rsid w:val="0045780E"/>
    <w:rsid w:val="004605A9"/>
    <w:rsid w:val="0046087C"/>
    <w:rsid w:val="00461C12"/>
    <w:rsid w:val="00461F3A"/>
    <w:rsid w:val="00462D27"/>
    <w:rsid w:val="00463A2D"/>
    <w:rsid w:val="00463D89"/>
    <w:rsid w:val="004648D5"/>
    <w:rsid w:val="004652FB"/>
    <w:rsid w:val="00465476"/>
    <w:rsid w:val="00465936"/>
    <w:rsid w:val="0046745A"/>
    <w:rsid w:val="004704C6"/>
    <w:rsid w:val="004709F4"/>
    <w:rsid w:val="00470BAE"/>
    <w:rsid w:val="0047303D"/>
    <w:rsid w:val="004759F5"/>
    <w:rsid w:val="00475EDB"/>
    <w:rsid w:val="0047683D"/>
    <w:rsid w:val="00477CA3"/>
    <w:rsid w:val="00481B18"/>
    <w:rsid w:val="00481F32"/>
    <w:rsid w:val="004820A0"/>
    <w:rsid w:val="004828AF"/>
    <w:rsid w:val="00482B48"/>
    <w:rsid w:val="00482CCC"/>
    <w:rsid w:val="00482DD4"/>
    <w:rsid w:val="004830C4"/>
    <w:rsid w:val="004840FD"/>
    <w:rsid w:val="00484227"/>
    <w:rsid w:val="004854A4"/>
    <w:rsid w:val="00485DBE"/>
    <w:rsid w:val="00486A92"/>
    <w:rsid w:val="00486AD3"/>
    <w:rsid w:val="00487492"/>
    <w:rsid w:val="004907B0"/>
    <w:rsid w:val="00492727"/>
    <w:rsid w:val="00492871"/>
    <w:rsid w:val="00492BE2"/>
    <w:rsid w:val="0049351C"/>
    <w:rsid w:val="00494885"/>
    <w:rsid w:val="00494B27"/>
    <w:rsid w:val="0049611C"/>
    <w:rsid w:val="0049622F"/>
    <w:rsid w:val="00496D6F"/>
    <w:rsid w:val="004A0DE8"/>
    <w:rsid w:val="004A0EA9"/>
    <w:rsid w:val="004A1A89"/>
    <w:rsid w:val="004A29A6"/>
    <w:rsid w:val="004A3DDA"/>
    <w:rsid w:val="004A4FA2"/>
    <w:rsid w:val="004A6784"/>
    <w:rsid w:val="004A678B"/>
    <w:rsid w:val="004A6AA7"/>
    <w:rsid w:val="004B1497"/>
    <w:rsid w:val="004B1EB8"/>
    <w:rsid w:val="004B30E3"/>
    <w:rsid w:val="004B78C1"/>
    <w:rsid w:val="004B79D7"/>
    <w:rsid w:val="004B7CB7"/>
    <w:rsid w:val="004C0923"/>
    <w:rsid w:val="004C0BC6"/>
    <w:rsid w:val="004C0F51"/>
    <w:rsid w:val="004C11AA"/>
    <w:rsid w:val="004C18DE"/>
    <w:rsid w:val="004C235D"/>
    <w:rsid w:val="004C31F1"/>
    <w:rsid w:val="004C36D2"/>
    <w:rsid w:val="004C39A8"/>
    <w:rsid w:val="004C6047"/>
    <w:rsid w:val="004C698C"/>
    <w:rsid w:val="004C708B"/>
    <w:rsid w:val="004C76C7"/>
    <w:rsid w:val="004C7D62"/>
    <w:rsid w:val="004D00EE"/>
    <w:rsid w:val="004D045F"/>
    <w:rsid w:val="004D05AF"/>
    <w:rsid w:val="004D28CF"/>
    <w:rsid w:val="004D3273"/>
    <w:rsid w:val="004D3BD1"/>
    <w:rsid w:val="004D3DBF"/>
    <w:rsid w:val="004D3E10"/>
    <w:rsid w:val="004D4A3D"/>
    <w:rsid w:val="004D4B7B"/>
    <w:rsid w:val="004D6BDD"/>
    <w:rsid w:val="004D7806"/>
    <w:rsid w:val="004D7B9C"/>
    <w:rsid w:val="004D7C63"/>
    <w:rsid w:val="004E04BE"/>
    <w:rsid w:val="004E2591"/>
    <w:rsid w:val="004E29F2"/>
    <w:rsid w:val="004E2AB8"/>
    <w:rsid w:val="004E380A"/>
    <w:rsid w:val="004E39B4"/>
    <w:rsid w:val="004E4446"/>
    <w:rsid w:val="004E6BE3"/>
    <w:rsid w:val="004E7359"/>
    <w:rsid w:val="004E791A"/>
    <w:rsid w:val="004E7B49"/>
    <w:rsid w:val="004F0CB6"/>
    <w:rsid w:val="004F3E07"/>
    <w:rsid w:val="004F4EA3"/>
    <w:rsid w:val="004F6E74"/>
    <w:rsid w:val="004F7811"/>
    <w:rsid w:val="005006A6"/>
    <w:rsid w:val="00501D03"/>
    <w:rsid w:val="0050479E"/>
    <w:rsid w:val="0050537D"/>
    <w:rsid w:val="0050633F"/>
    <w:rsid w:val="00506D7D"/>
    <w:rsid w:val="00506FA7"/>
    <w:rsid w:val="00507180"/>
    <w:rsid w:val="00507424"/>
    <w:rsid w:val="005106FE"/>
    <w:rsid w:val="00511BAA"/>
    <w:rsid w:val="00511F8D"/>
    <w:rsid w:val="00514386"/>
    <w:rsid w:val="00516183"/>
    <w:rsid w:val="00516350"/>
    <w:rsid w:val="00516567"/>
    <w:rsid w:val="00517DCD"/>
    <w:rsid w:val="0052434F"/>
    <w:rsid w:val="00524A4A"/>
    <w:rsid w:val="005256F8"/>
    <w:rsid w:val="005266AF"/>
    <w:rsid w:val="00526B59"/>
    <w:rsid w:val="00526C27"/>
    <w:rsid w:val="00527441"/>
    <w:rsid w:val="00527C18"/>
    <w:rsid w:val="00531074"/>
    <w:rsid w:val="005326E7"/>
    <w:rsid w:val="005333AE"/>
    <w:rsid w:val="005342A4"/>
    <w:rsid w:val="005346D7"/>
    <w:rsid w:val="00536EBA"/>
    <w:rsid w:val="00537133"/>
    <w:rsid w:val="005378F9"/>
    <w:rsid w:val="0054016E"/>
    <w:rsid w:val="0054111B"/>
    <w:rsid w:val="005414AB"/>
    <w:rsid w:val="005419C1"/>
    <w:rsid w:val="005432D1"/>
    <w:rsid w:val="00544EC5"/>
    <w:rsid w:val="00546342"/>
    <w:rsid w:val="00546AF2"/>
    <w:rsid w:val="00551918"/>
    <w:rsid w:val="00551F57"/>
    <w:rsid w:val="0055214D"/>
    <w:rsid w:val="00553C1C"/>
    <w:rsid w:val="0055433F"/>
    <w:rsid w:val="0055469A"/>
    <w:rsid w:val="00554A1D"/>
    <w:rsid w:val="00555C17"/>
    <w:rsid w:val="00555D79"/>
    <w:rsid w:val="005564C2"/>
    <w:rsid w:val="0055699C"/>
    <w:rsid w:val="00557305"/>
    <w:rsid w:val="005579F0"/>
    <w:rsid w:val="00561FAA"/>
    <w:rsid w:val="00561FB2"/>
    <w:rsid w:val="00562205"/>
    <w:rsid w:val="00562AFA"/>
    <w:rsid w:val="00563B49"/>
    <w:rsid w:val="005640DF"/>
    <w:rsid w:val="00564A38"/>
    <w:rsid w:val="00564A8D"/>
    <w:rsid w:val="00565AE0"/>
    <w:rsid w:val="00567151"/>
    <w:rsid w:val="00570886"/>
    <w:rsid w:val="005715E8"/>
    <w:rsid w:val="00571DFA"/>
    <w:rsid w:val="00573C22"/>
    <w:rsid w:val="005742FC"/>
    <w:rsid w:val="00576419"/>
    <w:rsid w:val="005765D3"/>
    <w:rsid w:val="005771B6"/>
    <w:rsid w:val="00577C2E"/>
    <w:rsid w:val="00577EA1"/>
    <w:rsid w:val="00581D6C"/>
    <w:rsid w:val="005824DE"/>
    <w:rsid w:val="00582A90"/>
    <w:rsid w:val="005830A3"/>
    <w:rsid w:val="00583864"/>
    <w:rsid w:val="005843D9"/>
    <w:rsid w:val="005849D3"/>
    <w:rsid w:val="00585C47"/>
    <w:rsid w:val="005867B5"/>
    <w:rsid w:val="00590ECA"/>
    <w:rsid w:val="00591AC8"/>
    <w:rsid w:val="00592124"/>
    <w:rsid w:val="00595654"/>
    <w:rsid w:val="00595771"/>
    <w:rsid w:val="00597E82"/>
    <w:rsid w:val="005A050F"/>
    <w:rsid w:val="005A1213"/>
    <w:rsid w:val="005A1663"/>
    <w:rsid w:val="005A374A"/>
    <w:rsid w:val="005A3766"/>
    <w:rsid w:val="005A3AFF"/>
    <w:rsid w:val="005A5153"/>
    <w:rsid w:val="005A51C5"/>
    <w:rsid w:val="005A58B4"/>
    <w:rsid w:val="005A6345"/>
    <w:rsid w:val="005A6F9B"/>
    <w:rsid w:val="005A70FE"/>
    <w:rsid w:val="005B0039"/>
    <w:rsid w:val="005B0105"/>
    <w:rsid w:val="005B0632"/>
    <w:rsid w:val="005B2A0B"/>
    <w:rsid w:val="005B2C78"/>
    <w:rsid w:val="005B4F80"/>
    <w:rsid w:val="005B5C91"/>
    <w:rsid w:val="005B5CA9"/>
    <w:rsid w:val="005B675F"/>
    <w:rsid w:val="005B7D56"/>
    <w:rsid w:val="005C0E30"/>
    <w:rsid w:val="005C1109"/>
    <w:rsid w:val="005C15D4"/>
    <w:rsid w:val="005C224F"/>
    <w:rsid w:val="005C52CB"/>
    <w:rsid w:val="005C568D"/>
    <w:rsid w:val="005C778E"/>
    <w:rsid w:val="005D1019"/>
    <w:rsid w:val="005D1034"/>
    <w:rsid w:val="005D15C6"/>
    <w:rsid w:val="005D2841"/>
    <w:rsid w:val="005D3071"/>
    <w:rsid w:val="005D39C5"/>
    <w:rsid w:val="005D4019"/>
    <w:rsid w:val="005D50B9"/>
    <w:rsid w:val="005D562C"/>
    <w:rsid w:val="005D68E6"/>
    <w:rsid w:val="005D6A95"/>
    <w:rsid w:val="005D7E24"/>
    <w:rsid w:val="005E097B"/>
    <w:rsid w:val="005E23DB"/>
    <w:rsid w:val="005E3696"/>
    <w:rsid w:val="005E446F"/>
    <w:rsid w:val="005E5CF9"/>
    <w:rsid w:val="005E6593"/>
    <w:rsid w:val="005E6C90"/>
    <w:rsid w:val="005E7410"/>
    <w:rsid w:val="005E7A2B"/>
    <w:rsid w:val="005E7CD1"/>
    <w:rsid w:val="005F157F"/>
    <w:rsid w:val="005F2574"/>
    <w:rsid w:val="005F35C4"/>
    <w:rsid w:val="005F42AC"/>
    <w:rsid w:val="005F4389"/>
    <w:rsid w:val="005F4608"/>
    <w:rsid w:val="005F48AA"/>
    <w:rsid w:val="005F50A7"/>
    <w:rsid w:val="005F52BD"/>
    <w:rsid w:val="005F5321"/>
    <w:rsid w:val="005F53A0"/>
    <w:rsid w:val="005F6A2C"/>
    <w:rsid w:val="00600AF6"/>
    <w:rsid w:val="006017A6"/>
    <w:rsid w:val="00602E43"/>
    <w:rsid w:val="006050A4"/>
    <w:rsid w:val="00605688"/>
    <w:rsid w:val="00605B6E"/>
    <w:rsid w:val="0061017E"/>
    <w:rsid w:val="006126AD"/>
    <w:rsid w:val="00613DF5"/>
    <w:rsid w:val="00613F21"/>
    <w:rsid w:val="006143AB"/>
    <w:rsid w:val="00615331"/>
    <w:rsid w:val="00615402"/>
    <w:rsid w:val="00616D2C"/>
    <w:rsid w:val="00616E4E"/>
    <w:rsid w:val="006171EC"/>
    <w:rsid w:val="006219BD"/>
    <w:rsid w:val="00621CFA"/>
    <w:rsid w:val="00624098"/>
    <w:rsid w:val="00624FD7"/>
    <w:rsid w:val="006251FF"/>
    <w:rsid w:val="00626DB6"/>
    <w:rsid w:val="006301D3"/>
    <w:rsid w:val="006309DB"/>
    <w:rsid w:val="006316DE"/>
    <w:rsid w:val="00631DDF"/>
    <w:rsid w:val="00631F3C"/>
    <w:rsid w:val="00634DA8"/>
    <w:rsid w:val="00635EA4"/>
    <w:rsid w:val="00636288"/>
    <w:rsid w:val="006364D9"/>
    <w:rsid w:val="00636A75"/>
    <w:rsid w:val="00636A80"/>
    <w:rsid w:val="00637169"/>
    <w:rsid w:val="00641579"/>
    <w:rsid w:val="00642070"/>
    <w:rsid w:val="00642084"/>
    <w:rsid w:val="00643F3C"/>
    <w:rsid w:val="006453F1"/>
    <w:rsid w:val="006472E3"/>
    <w:rsid w:val="00650CC3"/>
    <w:rsid w:val="00651E35"/>
    <w:rsid w:val="006524F7"/>
    <w:rsid w:val="00653CDB"/>
    <w:rsid w:val="00653F6F"/>
    <w:rsid w:val="006544F7"/>
    <w:rsid w:val="0065561A"/>
    <w:rsid w:val="00656A92"/>
    <w:rsid w:val="00660AF4"/>
    <w:rsid w:val="00661771"/>
    <w:rsid w:val="00661FC9"/>
    <w:rsid w:val="00662052"/>
    <w:rsid w:val="006647ED"/>
    <w:rsid w:val="00664F1A"/>
    <w:rsid w:val="00666586"/>
    <w:rsid w:val="00666FAD"/>
    <w:rsid w:val="00670F7F"/>
    <w:rsid w:val="00672563"/>
    <w:rsid w:val="00673245"/>
    <w:rsid w:val="00674B00"/>
    <w:rsid w:val="00675312"/>
    <w:rsid w:val="006755C4"/>
    <w:rsid w:val="006757DC"/>
    <w:rsid w:val="00675AFF"/>
    <w:rsid w:val="00676021"/>
    <w:rsid w:val="0068032B"/>
    <w:rsid w:val="006815D6"/>
    <w:rsid w:val="0068224F"/>
    <w:rsid w:val="00682B5B"/>
    <w:rsid w:val="006832E7"/>
    <w:rsid w:val="006832EF"/>
    <w:rsid w:val="006853E7"/>
    <w:rsid w:val="006862F4"/>
    <w:rsid w:val="0068664C"/>
    <w:rsid w:val="00690156"/>
    <w:rsid w:val="00694594"/>
    <w:rsid w:val="00695557"/>
    <w:rsid w:val="00696F2F"/>
    <w:rsid w:val="00697E11"/>
    <w:rsid w:val="006A0F69"/>
    <w:rsid w:val="006A1848"/>
    <w:rsid w:val="006A2099"/>
    <w:rsid w:val="006A2EF8"/>
    <w:rsid w:val="006A2F87"/>
    <w:rsid w:val="006A355E"/>
    <w:rsid w:val="006A35D4"/>
    <w:rsid w:val="006A38A0"/>
    <w:rsid w:val="006A4507"/>
    <w:rsid w:val="006A4754"/>
    <w:rsid w:val="006A7D9D"/>
    <w:rsid w:val="006A7F26"/>
    <w:rsid w:val="006B012D"/>
    <w:rsid w:val="006B0188"/>
    <w:rsid w:val="006B1215"/>
    <w:rsid w:val="006B1796"/>
    <w:rsid w:val="006B1D10"/>
    <w:rsid w:val="006B3A9C"/>
    <w:rsid w:val="006B442E"/>
    <w:rsid w:val="006B5152"/>
    <w:rsid w:val="006B5594"/>
    <w:rsid w:val="006B5725"/>
    <w:rsid w:val="006B5A6A"/>
    <w:rsid w:val="006C183B"/>
    <w:rsid w:val="006C379F"/>
    <w:rsid w:val="006C3D08"/>
    <w:rsid w:val="006C409E"/>
    <w:rsid w:val="006C469B"/>
    <w:rsid w:val="006C5163"/>
    <w:rsid w:val="006C5457"/>
    <w:rsid w:val="006C5714"/>
    <w:rsid w:val="006C5CF6"/>
    <w:rsid w:val="006C5F1B"/>
    <w:rsid w:val="006C6AAB"/>
    <w:rsid w:val="006D03D9"/>
    <w:rsid w:val="006D0713"/>
    <w:rsid w:val="006D1DDB"/>
    <w:rsid w:val="006D23A5"/>
    <w:rsid w:val="006D23C5"/>
    <w:rsid w:val="006D3554"/>
    <w:rsid w:val="006D3946"/>
    <w:rsid w:val="006D3999"/>
    <w:rsid w:val="006D4FAC"/>
    <w:rsid w:val="006D6190"/>
    <w:rsid w:val="006D6947"/>
    <w:rsid w:val="006D7820"/>
    <w:rsid w:val="006D7B7B"/>
    <w:rsid w:val="006E051F"/>
    <w:rsid w:val="006E0C1B"/>
    <w:rsid w:val="006E2970"/>
    <w:rsid w:val="006E2F52"/>
    <w:rsid w:val="006E450C"/>
    <w:rsid w:val="006E4790"/>
    <w:rsid w:val="006E56FF"/>
    <w:rsid w:val="006E5A01"/>
    <w:rsid w:val="006E630F"/>
    <w:rsid w:val="006E7881"/>
    <w:rsid w:val="006F1A9C"/>
    <w:rsid w:val="006F34C2"/>
    <w:rsid w:val="006F4565"/>
    <w:rsid w:val="006F4596"/>
    <w:rsid w:val="006F6293"/>
    <w:rsid w:val="006F6DC1"/>
    <w:rsid w:val="00700C16"/>
    <w:rsid w:val="00701D3A"/>
    <w:rsid w:val="007026AE"/>
    <w:rsid w:val="00703D43"/>
    <w:rsid w:val="00703EDD"/>
    <w:rsid w:val="0070505A"/>
    <w:rsid w:val="00705C6D"/>
    <w:rsid w:val="00706168"/>
    <w:rsid w:val="00706725"/>
    <w:rsid w:val="007074AE"/>
    <w:rsid w:val="00711833"/>
    <w:rsid w:val="00711D87"/>
    <w:rsid w:val="00713942"/>
    <w:rsid w:val="0071421A"/>
    <w:rsid w:val="00715C87"/>
    <w:rsid w:val="007165C2"/>
    <w:rsid w:val="007176AD"/>
    <w:rsid w:val="00720C73"/>
    <w:rsid w:val="00720F06"/>
    <w:rsid w:val="007210BC"/>
    <w:rsid w:val="00721BC1"/>
    <w:rsid w:val="00722587"/>
    <w:rsid w:val="007228AB"/>
    <w:rsid w:val="007239CA"/>
    <w:rsid w:val="00724CA9"/>
    <w:rsid w:val="0072507D"/>
    <w:rsid w:val="0072551B"/>
    <w:rsid w:val="00725B55"/>
    <w:rsid w:val="00725F91"/>
    <w:rsid w:val="00730050"/>
    <w:rsid w:val="00730292"/>
    <w:rsid w:val="00731685"/>
    <w:rsid w:val="00731CCD"/>
    <w:rsid w:val="00734D07"/>
    <w:rsid w:val="0073519E"/>
    <w:rsid w:val="0073577D"/>
    <w:rsid w:val="00737580"/>
    <w:rsid w:val="007418B5"/>
    <w:rsid w:val="00741EEA"/>
    <w:rsid w:val="007422E7"/>
    <w:rsid w:val="00742F76"/>
    <w:rsid w:val="0074398E"/>
    <w:rsid w:val="007445AB"/>
    <w:rsid w:val="00745DB6"/>
    <w:rsid w:val="00747208"/>
    <w:rsid w:val="007500F8"/>
    <w:rsid w:val="00750547"/>
    <w:rsid w:val="00750722"/>
    <w:rsid w:val="007518FE"/>
    <w:rsid w:val="00753B21"/>
    <w:rsid w:val="0075449E"/>
    <w:rsid w:val="007545FF"/>
    <w:rsid w:val="0075577E"/>
    <w:rsid w:val="007559F8"/>
    <w:rsid w:val="00756032"/>
    <w:rsid w:val="0075640D"/>
    <w:rsid w:val="007615D9"/>
    <w:rsid w:val="00763418"/>
    <w:rsid w:val="007636B6"/>
    <w:rsid w:val="00764929"/>
    <w:rsid w:val="00765446"/>
    <w:rsid w:val="0076589C"/>
    <w:rsid w:val="00767C5A"/>
    <w:rsid w:val="0077133E"/>
    <w:rsid w:val="00771CAD"/>
    <w:rsid w:val="00771F68"/>
    <w:rsid w:val="00773172"/>
    <w:rsid w:val="007731B9"/>
    <w:rsid w:val="0077341E"/>
    <w:rsid w:val="0077462E"/>
    <w:rsid w:val="00774904"/>
    <w:rsid w:val="00775DEF"/>
    <w:rsid w:val="00782455"/>
    <w:rsid w:val="00782BC6"/>
    <w:rsid w:val="00783487"/>
    <w:rsid w:val="007843D1"/>
    <w:rsid w:val="00784B95"/>
    <w:rsid w:val="00786B98"/>
    <w:rsid w:val="00786FCE"/>
    <w:rsid w:val="007911E2"/>
    <w:rsid w:val="00792D9E"/>
    <w:rsid w:val="00792E7D"/>
    <w:rsid w:val="00793A0A"/>
    <w:rsid w:val="00796C94"/>
    <w:rsid w:val="007A1009"/>
    <w:rsid w:val="007A1FD6"/>
    <w:rsid w:val="007A20BB"/>
    <w:rsid w:val="007A43BB"/>
    <w:rsid w:val="007A5F78"/>
    <w:rsid w:val="007B065C"/>
    <w:rsid w:val="007B3772"/>
    <w:rsid w:val="007B4B6D"/>
    <w:rsid w:val="007B5198"/>
    <w:rsid w:val="007B5C0C"/>
    <w:rsid w:val="007B5C39"/>
    <w:rsid w:val="007B5C80"/>
    <w:rsid w:val="007B6132"/>
    <w:rsid w:val="007B7E7D"/>
    <w:rsid w:val="007C0239"/>
    <w:rsid w:val="007C0665"/>
    <w:rsid w:val="007C0BD4"/>
    <w:rsid w:val="007C0D4B"/>
    <w:rsid w:val="007C1666"/>
    <w:rsid w:val="007C205B"/>
    <w:rsid w:val="007C2F67"/>
    <w:rsid w:val="007C3A01"/>
    <w:rsid w:val="007C45AA"/>
    <w:rsid w:val="007C4BFE"/>
    <w:rsid w:val="007C5B30"/>
    <w:rsid w:val="007C60CE"/>
    <w:rsid w:val="007C62BE"/>
    <w:rsid w:val="007C6476"/>
    <w:rsid w:val="007C6525"/>
    <w:rsid w:val="007C6C8E"/>
    <w:rsid w:val="007C7FAB"/>
    <w:rsid w:val="007D107A"/>
    <w:rsid w:val="007D2149"/>
    <w:rsid w:val="007D2CA3"/>
    <w:rsid w:val="007D3265"/>
    <w:rsid w:val="007D3848"/>
    <w:rsid w:val="007D56DE"/>
    <w:rsid w:val="007D58E8"/>
    <w:rsid w:val="007D69C9"/>
    <w:rsid w:val="007D7D6B"/>
    <w:rsid w:val="007E3DF3"/>
    <w:rsid w:val="007E4DA7"/>
    <w:rsid w:val="007E6007"/>
    <w:rsid w:val="007E640A"/>
    <w:rsid w:val="007E6D50"/>
    <w:rsid w:val="007E6FDA"/>
    <w:rsid w:val="007E7A37"/>
    <w:rsid w:val="007E7C28"/>
    <w:rsid w:val="007E7CB9"/>
    <w:rsid w:val="007F0331"/>
    <w:rsid w:val="007F062A"/>
    <w:rsid w:val="007F2171"/>
    <w:rsid w:val="007F21A9"/>
    <w:rsid w:val="007F2FB8"/>
    <w:rsid w:val="007F382B"/>
    <w:rsid w:val="007F3AD5"/>
    <w:rsid w:val="007F3D34"/>
    <w:rsid w:val="007F5B39"/>
    <w:rsid w:val="007F75B6"/>
    <w:rsid w:val="00800194"/>
    <w:rsid w:val="00803FA3"/>
    <w:rsid w:val="00804009"/>
    <w:rsid w:val="0080501E"/>
    <w:rsid w:val="00806F76"/>
    <w:rsid w:val="00807E98"/>
    <w:rsid w:val="008104E6"/>
    <w:rsid w:val="00810D63"/>
    <w:rsid w:val="0081151B"/>
    <w:rsid w:val="00811DEB"/>
    <w:rsid w:val="00811E48"/>
    <w:rsid w:val="00813174"/>
    <w:rsid w:val="00813D3E"/>
    <w:rsid w:val="00814747"/>
    <w:rsid w:val="0081565F"/>
    <w:rsid w:val="0081679F"/>
    <w:rsid w:val="008169AC"/>
    <w:rsid w:val="00816DDA"/>
    <w:rsid w:val="00817AE7"/>
    <w:rsid w:val="00817EA1"/>
    <w:rsid w:val="00820652"/>
    <w:rsid w:val="0082261E"/>
    <w:rsid w:val="008232D5"/>
    <w:rsid w:val="00823440"/>
    <w:rsid w:val="008238F5"/>
    <w:rsid w:val="00823C86"/>
    <w:rsid w:val="00824397"/>
    <w:rsid w:val="00824539"/>
    <w:rsid w:val="008247B0"/>
    <w:rsid w:val="00824EA5"/>
    <w:rsid w:val="00830D48"/>
    <w:rsid w:val="00830EF6"/>
    <w:rsid w:val="00831F84"/>
    <w:rsid w:val="00832BF1"/>
    <w:rsid w:val="008346B6"/>
    <w:rsid w:val="00834CAB"/>
    <w:rsid w:val="00835636"/>
    <w:rsid w:val="008358D9"/>
    <w:rsid w:val="008361F4"/>
    <w:rsid w:val="00837BA0"/>
    <w:rsid w:val="0084071A"/>
    <w:rsid w:val="0084095D"/>
    <w:rsid w:val="00840E0E"/>
    <w:rsid w:val="0084171E"/>
    <w:rsid w:val="00842C02"/>
    <w:rsid w:val="008436D8"/>
    <w:rsid w:val="0084493B"/>
    <w:rsid w:val="00844BD6"/>
    <w:rsid w:val="0084554B"/>
    <w:rsid w:val="00847C69"/>
    <w:rsid w:val="00850EF3"/>
    <w:rsid w:val="00851CC9"/>
    <w:rsid w:val="00853424"/>
    <w:rsid w:val="0085547D"/>
    <w:rsid w:val="0086235A"/>
    <w:rsid w:val="008642CB"/>
    <w:rsid w:val="00864761"/>
    <w:rsid w:val="00864FFA"/>
    <w:rsid w:val="008652B6"/>
    <w:rsid w:val="0086688A"/>
    <w:rsid w:val="00866EC7"/>
    <w:rsid w:val="008674DD"/>
    <w:rsid w:val="008676E1"/>
    <w:rsid w:val="008676E3"/>
    <w:rsid w:val="00870F9B"/>
    <w:rsid w:val="00871FA8"/>
    <w:rsid w:val="00873464"/>
    <w:rsid w:val="00875049"/>
    <w:rsid w:val="0087687B"/>
    <w:rsid w:val="00876B7F"/>
    <w:rsid w:val="00880037"/>
    <w:rsid w:val="00885C37"/>
    <w:rsid w:val="00887380"/>
    <w:rsid w:val="008875C0"/>
    <w:rsid w:val="00887D4F"/>
    <w:rsid w:val="00890360"/>
    <w:rsid w:val="008919B8"/>
    <w:rsid w:val="00891B35"/>
    <w:rsid w:val="008927CF"/>
    <w:rsid w:val="00894396"/>
    <w:rsid w:val="008958E8"/>
    <w:rsid w:val="008A1C1E"/>
    <w:rsid w:val="008A2B2B"/>
    <w:rsid w:val="008A3242"/>
    <w:rsid w:val="008A331A"/>
    <w:rsid w:val="008A387D"/>
    <w:rsid w:val="008A5ADC"/>
    <w:rsid w:val="008A5B02"/>
    <w:rsid w:val="008A7456"/>
    <w:rsid w:val="008A7635"/>
    <w:rsid w:val="008B021E"/>
    <w:rsid w:val="008B167D"/>
    <w:rsid w:val="008B5A0B"/>
    <w:rsid w:val="008B5CAC"/>
    <w:rsid w:val="008B7E93"/>
    <w:rsid w:val="008C16D9"/>
    <w:rsid w:val="008C24B1"/>
    <w:rsid w:val="008C2640"/>
    <w:rsid w:val="008C2FAD"/>
    <w:rsid w:val="008C3B67"/>
    <w:rsid w:val="008C5430"/>
    <w:rsid w:val="008C709A"/>
    <w:rsid w:val="008C77DA"/>
    <w:rsid w:val="008C7BA4"/>
    <w:rsid w:val="008C7BF8"/>
    <w:rsid w:val="008D0080"/>
    <w:rsid w:val="008D06D0"/>
    <w:rsid w:val="008D14B5"/>
    <w:rsid w:val="008D29BF"/>
    <w:rsid w:val="008D3100"/>
    <w:rsid w:val="008D430F"/>
    <w:rsid w:val="008D4BCE"/>
    <w:rsid w:val="008D5117"/>
    <w:rsid w:val="008D5176"/>
    <w:rsid w:val="008D60EB"/>
    <w:rsid w:val="008D7A22"/>
    <w:rsid w:val="008E0361"/>
    <w:rsid w:val="008E1866"/>
    <w:rsid w:val="008E1961"/>
    <w:rsid w:val="008E1F3B"/>
    <w:rsid w:val="008E3917"/>
    <w:rsid w:val="008E40D2"/>
    <w:rsid w:val="008E441F"/>
    <w:rsid w:val="008E6930"/>
    <w:rsid w:val="008E6CCF"/>
    <w:rsid w:val="008E7325"/>
    <w:rsid w:val="008E75C6"/>
    <w:rsid w:val="008F0952"/>
    <w:rsid w:val="008F3DA3"/>
    <w:rsid w:val="008F6152"/>
    <w:rsid w:val="008F6D0B"/>
    <w:rsid w:val="008F6E7D"/>
    <w:rsid w:val="008F745E"/>
    <w:rsid w:val="008F7DCC"/>
    <w:rsid w:val="0090006C"/>
    <w:rsid w:val="0090037D"/>
    <w:rsid w:val="009028D4"/>
    <w:rsid w:val="00902C95"/>
    <w:rsid w:val="00902E2F"/>
    <w:rsid w:val="009034FD"/>
    <w:rsid w:val="0090431B"/>
    <w:rsid w:val="0090459D"/>
    <w:rsid w:val="009045C8"/>
    <w:rsid w:val="00904A9E"/>
    <w:rsid w:val="00905481"/>
    <w:rsid w:val="00905575"/>
    <w:rsid w:val="0090655C"/>
    <w:rsid w:val="009078F7"/>
    <w:rsid w:val="00907A62"/>
    <w:rsid w:val="009100D9"/>
    <w:rsid w:val="00910C6A"/>
    <w:rsid w:val="00910DD4"/>
    <w:rsid w:val="00911734"/>
    <w:rsid w:val="009128B5"/>
    <w:rsid w:val="009128E4"/>
    <w:rsid w:val="00913717"/>
    <w:rsid w:val="009147D7"/>
    <w:rsid w:val="00914C7E"/>
    <w:rsid w:val="009157C3"/>
    <w:rsid w:val="009161C5"/>
    <w:rsid w:val="009164CB"/>
    <w:rsid w:val="00916F59"/>
    <w:rsid w:val="00917588"/>
    <w:rsid w:val="00921345"/>
    <w:rsid w:val="00921F96"/>
    <w:rsid w:val="00922686"/>
    <w:rsid w:val="00922ACD"/>
    <w:rsid w:val="00922D1D"/>
    <w:rsid w:val="009232E8"/>
    <w:rsid w:val="00923C43"/>
    <w:rsid w:val="009248D7"/>
    <w:rsid w:val="009256CE"/>
    <w:rsid w:val="00927E99"/>
    <w:rsid w:val="00930628"/>
    <w:rsid w:val="009342AA"/>
    <w:rsid w:val="00934CDC"/>
    <w:rsid w:val="009363DB"/>
    <w:rsid w:val="00936C46"/>
    <w:rsid w:val="00936E13"/>
    <w:rsid w:val="00937FDD"/>
    <w:rsid w:val="009402DE"/>
    <w:rsid w:val="0094203B"/>
    <w:rsid w:val="00942459"/>
    <w:rsid w:val="0094580C"/>
    <w:rsid w:val="00945D5A"/>
    <w:rsid w:val="00945D85"/>
    <w:rsid w:val="009472C4"/>
    <w:rsid w:val="00950F6D"/>
    <w:rsid w:val="00953018"/>
    <w:rsid w:val="00954AD4"/>
    <w:rsid w:val="00955C6B"/>
    <w:rsid w:val="00955FAF"/>
    <w:rsid w:val="00957F8C"/>
    <w:rsid w:val="00960DF3"/>
    <w:rsid w:val="009620DF"/>
    <w:rsid w:val="009629BB"/>
    <w:rsid w:val="009647E3"/>
    <w:rsid w:val="00964832"/>
    <w:rsid w:val="009651B9"/>
    <w:rsid w:val="009657A2"/>
    <w:rsid w:val="009668A1"/>
    <w:rsid w:val="00967825"/>
    <w:rsid w:val="00967D4D"/>
    <w:rsid w:val="00967DF2"/>
    <w:rsid w:val="0097186E"/>
    <w:rsid w:val="00973235"/>
    <w:rsid w:val="00974B08"/>
    <w:rsid w:val="00974B42"/>
    <w:rsid w:val="009751F8"/>
    <w:rsid w:val="00975CFB"/>
    <w:rsid w:val="00975D64"/>
    <w:rsid w:val="00976431"/>
    <w:rsid w:val="009768EC"/>
    <w:rsid w:val="009770E9"/>
    <w:rsid w:val="0097786A"/>
    <w:rsid w:val="00977AD0"/>
    <w:rsid w:val="009806ED"/>
    <w:rsid w:val="009815DF"/>
    <w:rsid w:val="00981711"/>
    <w:rsid w:val="00982806"/>
    <w:rsid w:val="00982DE1"/>
    <w:rsid w:val="00982F76"/>
    <w:rsid w:val="0098352F"/>
    <w:rsid w:val="00984195"/>
    <w:rsid w:val="009863C4"/>
    <w:rsid w:val="00987136"/>
    <w:rsid w:val="00987F66"/>
    <w:rsid w:val="00990279"/>
    <w:rsid w:val="00990ABA"/>
    <w:rsid w:val="00990B14"/>
    <w:rsid w:val="00990FF4"/>
    <w:rsid w:val="00991118"/>
    <w:rsid w:val="00992491"/>
    <w:rsid w:val="0099269F"/>
    <w:rsid w:val="009926ED"/>
    <w:rsid w:val="00993238"/>
    <w:rsid w:val="00993B6F"/>
    <w:rsid w:val="00993C20"/>
    <w:rsid w:val="009951A4"/>
    <w:rsid w:val="00995951"/>
    <w:rsid w:val="009963B8"/>
    <w:rsid w:val="00996526"/>
    <w:rsid w:val="00996636"/>
    <w:rsid w:val="00996FEA"/>
    <w:rsid w:val="009A084B"/>
    <w:rsid w:val="009A0D7D"/>
    <w:rsid w:val="009A2002"/>
    <w:rsid w:val="009A2AD5"/>
    <w:rsid w:val="009A5929"/>
    <w:rsid w:val="009A7018"/>
    <w:rsid w:val="009B041A"/>
    <w:rsid w:val="009B0B0E"/>
    <w:rsid w:val="009B0FEA"/>
    <w:rsid w:val="009B3A11"/>
    <w:rsid w:val="009B5526"/>
    <w:rsid w:val="009B5F0F"/>
    <w:rsid w:val="009C0039"/>
    <w:rsid w:val="009C0B47"/>
    <w:rsid w:val="009C237C"/>
    <w:rsid w:val="009C32D8"/>
    <w:rsid w:val="009C3C0E"/>
    <w:rsid w:val="009C44E9"/>
    <w:rsid w:val="009C48A4"/>
    <w:rsid w:val="009C50D3"/>
    <w:rsid w:val="009C56B9"/>
    <w:rsid w:val="009C5CFD"/>
    <w:rsid w:val="009C6153"/>
    <w:rsid w:val="009D001D"/>
    <w:rsid w:val="009D305C"/>
    <w:rsid w:val="009D4A44"/>
    <w:rsid w:val="009D5373"/>
    <w:rsid w:val="009D54BC"/>
    <w:rsid w:val="009D62EB"/>
    <w:rsid w:val="009D6394"/>
    <w:rsid w:val="009D69BE"/>
    <w:rsid w:val="009D7FB2"/>
    <w:rsid w:val="009E1343"/>
    <w:rsid w:val="009E1AA8"/>
    <w:rsid w:val="009E703B"/>
    <w:rsid w:val="009F08E6"/>
    <w:rsid w:val="009F0E51"/>
    <w:rsid w:val="009F1A7E"/>
    <w:rsid w:val="009F2F49"/>
    <w:rsid w:val="009F3407"/>
    <w:rsid w:val="009F4ED6"/>
    <w:rsid w:val="009F55CA"/>
    <w:rsid w:val="009F5E67"/>
    <w:rsid w:val="009F6F81"/>
    <w:rsid w:val="009F745F"/>
    <w:rsid w:val="009F771B"/>
    <w:rsid w:val="009F794A"/>
    <w:rsid w:val="00A014BF"/>
    <w:rsid w:val="00A016E9"/>
    <w:rsid w:val="00A0286F"/>
    <w:rsid w:val="00A05CF8"/>
    <w:rsid w:val="00A062A7"/>
    <w:rsid w:val="00A062AE"/>
    <w:rsid w:val="00A0782A"/>
    <w:rsid w:val="00A1110E"/>
    <w:rsid w:val="00A1134A"/>
    <w:rsid w:val="00A11480"/>
    <w:rsid w:val="00A13138"/>
    <w:rsid w:val="00A13FEB"/>
    <w:rsid w:val="00A14F92"/>
    <w:rsid w:val="00A1673F"/>
    <w:rsid w:val="00A17712"/>
    <w:rsid w:val="00A20539"/>
    <w:rsid w:val="00A20637"/>
    <w:rsid w:val="00A21315"/>
    <w:rsid w:val="00A22DC2"/>
    <w:rsid w:val="00A244D6"/>
    <w:rsid w:val="00A25E91"/>
    <w:rsid w:val="00A26628"/>
    <w:rsid w:val="00A2723D"/>
    <w:rsid w:val="00A30126"/>
    <w:rsid w:val="00A31BE8"/>
    <w:rsid w:val="00A3241F"/>
    <w:rsid w:val="00A350BB"/>
    <w:rsid w:val="00A35AEF"/>
    <w:rsid w:val="00A406A1"/>
    <w:rsid w:val="00A4102A"/>
    <w:rsid w:val="00A41EE3"/>
    <w:rsid w:val="00A41FA8"/>
    <w:rsid w:val="00A423F4"/>
    <w:rsid w:val="00A436CD"/>
    <w:rsid w:val="00A438E6"/>
    <w:rsid w:val="00A44B5A"/>
    <w:rsid w:val="00A44C14"/>
    <w:rsid w:val="00A44D90"/>
    <w:rsid w:val="00A44FCF"/>
    <w:rsid w:val="00A4565D"/>
    <w:rsid w:val="00A50E57"/>
    <w:rsid w:val="00A51521"/>
    <w:rsid w:val="00A54552"/>
    <w:rsid w:val="00A56E79"/>
    <w:rsid w:val="00A57CA9"/>
    <w:rsid w:val="00A57F23"/>
    <w:rsid w:val="00A611F0"/>
    <w:rsid w:val="00A6349D"/>
    <w:rsid w:val="00A644B3"/>
    <w:rsid w:val="00A66426"/>
    <w:rsid w:val="00A66435"/>
    <w:rsid w:val="00A66B0E"/>
    <w:rsid w:val="00A66CDB"/>
    <w:rsid w:val="00A67302"/>
    <w:rsid w:val="00A71EE9"/>
    <w:rsid w:val="00A72667"/>
    <w:rsid w:val="00A7310C"/>
    <w:rsid w:val="00A75071"/>
    <w:rsid w:val="00A75A08"/>
    <w:rsid w:val="00A75B91"/>
    <w:rsid w:val="00A83BC5"/>
    <w:rsid w:val="00A84703"/>
    <w:rsid w:val="00A8477E"/>
    <w:rsid w:val="00A8651A"/>
    <w:rsid w:val="00A86894"/>
    <w:rsid w:val="00A86A7A"/>
    <w:rsid w:val="00A86CB8"/>
    <w:rsid w:val="00A86E9B"/>
    <w:rsid w:val="00A9018A"/>
    <w:rsid w:val="00A905CF"/>
    <w:rsid w:val="00A90B15"/>
    <w:rsid w:val="00A90D1C"/>
    <w:rsid w:val="00A916CF"/>
    <w:rsid w:val="00A94E79"/>
    <w:rsid w:val="00A94FDC"/>
    <w:rsid w:val="00A9580E"/>
    <w:rsid w:val="00A9698C"/>
    <w:rsid w:val="00A96E0D"/>
    <w:rsid w:val="00A97164"/>
    <w:rsid w:val="00A97386"/>
    <w:rsid w:val="00A9799A"/>
    <w:rsid w:val="00AA06D6"/>
    <w:rsid w:val="00AA0B02"/>
    <w:rsid w:val="00AA0EC0"/>
    <w:rsid w:val="00AA1F2B"/>
    <w:rsid w:val="00AA2766"/>
    <w:rsid w:val="00AA3361"/>
    <w:rsid w:val="00AA3918"/>
    <w:rsid w:val="00AA4A12"/>
    <w:rsid w:val="00AA5268"/>
    <w:rsid w:val="00AA5635"/>
    <w:rsid w:val="00AA598F"/>
    <w:rsid w:val="00AA66AD"/>
    <w:rsid w:val="00AB1911"/>
    <w:rsid w:val="00AB2389"/>
    <w:rsid w:val="00AB302D"/>
    <w:rsid w:val="00AB31C9"/>
    <w:rsid w:val="00AB59FA"/>
    <w:rsid w:val="00AB6CE6"/>
    <w:rsid w:val="00AB7039"/>
    <w:rsid w:val="00AB7049"/>
    <w:rsid w:val="00AC06BE"/>
    <w:rsid w:val="00AC1049"/>
    <w:rsid w:val="00AC1828"/>
    <w:rsid w:val="00AC24D7"/>
    <w:rsid w:val="00AC3566"/>
    <w:rsid w:val="00AC5294"/>
    <w:rsid w:val="00AC54E9"/>
    <w:rsid w:val="00AC7142"/>
    <w:rsid w:val="00AC7817"/>
    <w:rsid w:val="00AC7ABA"/>
    <w:rsid w:val="00AD047C"/>
    <w:rsid w:val="00AD147A"/>
    <w:rsid w:val="00AD1A41"/>
    <w:rsid w:val="00AD2594"/>
    <w:rsid w:val="00AD2643"/>
    <w:rsid w:val="00AD2AC9"/>
    <w:rsid w:val="00AD2E5F"/>
    <w:rsid w:val="00AD3DA6"/>
    <w:rsid w:val="00AD3EAC"/>
    <w:rsid w:val="00AD5988"/>
    <w:rsid w:val="00AD611A"/>
    <w:rsid w:val="00AD6F4D"/>
    <w:rsid w:val="00AE0B94"/>
    <w:rsid w:val="00AE180A"/>
    <w:rsid w:val="00AE260C"/>
    <w:rsid w:val="00AE4B32"/>
    <w:rsid w:val="00AE4D7A"/>
    <w:rsid w:val="00AE5E3B"/>
    <w:rsid w:val="00AE73A8"/>
    <w:rsid w:val="00AE7B67"/>
    <w:rsid w:val="00AF0884"/>
    <w:rsid w:val="00AF0AE9"/>
    <w:rsid w:val="00AF3528"/>
    <w:rsid w:val="00AF4745"/>
    <w:rsid w:val="00AF4AC8"/>
    <w:rsid w:val="00AF5CB8"/>
    <w:rsid w:val="00AF6CE7"/>
    <w:rsid w:val="00AF7396"/>
    <w:rsid w:val="00AF7422"/>
    <w:rsid w:val="00B007C9"/>
    <w:rsid w:val="00B01965"/>
    <w:rsid w:val="00B02DD9"/>
    <w:rsid w:val="00B04214"/>
    <w:rsid w:val="00B04591"/>
    <w:rsid w:val="00B052C4"/>
    <w:rsid w:val="00B06674"/>
    <w:rsid w:val="00B067C5"/>
    <w:rsid w:val="00B06D9D"/>
    <w:rsid w:val="00B07E8E"/>
    <w:rsid w:val="00B07FB4"/>
    <w:rsid w:val="00B10149"/>
    <w:rsid w:val="00B10D21"/>
    <w:rsid w:val="00B11299"/>
    <w:rsid w:val="00B120B7"/>
    <w:rsid w:val="00B13459"/>
    <w:rsid w:val="00B162BE"/>
    <w:rsid w:val="00B164B3"/>
    <w:rsid w:val="00B16BC1"/>
    <w:rsid w:val="00B16D3B"/>
    <w:rsid w:val="00B1740B"/>
    <w:rsid w:val="00B202A4"/>
    <w:rsid w:val="00B20620"/>
    <w:rsid w:val="00B228D6"/>
    <w:rsid w:val="00B229DE"/>
    <w:rsid w:val="00B242B9"/>
    <w:rsid w:val="00B25830"/>
    <w:rsid w:val="00B25BCE"/>
    <w:rsid w:val="00B262AE"/>
    <w:rsid w:val="00B27423"/>
    <w:rsid w:val="00B30A39"/>
    <w:rsid w:val="00B30B0D"/>
    <w:rsid w:val="00B323DB"/>
    <w:rsid w:val="00B34294"/>
    <w:rsid w:val="00B3591F"/>
    <w:rsid w:val="00B35F0F"/>
    <w:rsid w:val="00B40167"/>
    <w:rsid w:val="00B4078C"/>
    <w:rsid w:val="00B41D0E"/>
    <w:rsid w:val="00B41F2F"/>
    <w:rsid w:val="00B42795"/>
    <w:rsid w:val="00B42957"/>
    <w:rsid w:val="00B45B54"/>
    <w:rsid w:val="00B4643F"/>
    <w:rsid w:val="00B47CF9"/>
    <w:rsid w:val="00B52ECB"/>
    <w:rsid w:val="00B533F2"/>
    <w:rsid w:val="00B54200"/>
    <w:rsid w:val="00B5421D"/>
    <w:rsid w:val="00B56313"/>
    <w:rsid w:val="00B574D9"/>
    <w:rsid w:val="00B57A07"/>
    <w:rsid w:val="00B6044A"/>
    <w:rsid w:val="00B61168"/>
    <w:rsid w:val="00B619B9"/>
    <w:rsid w:val="00B629FE"/>
    <w:rsid w:val="00B630CB"/>
    <w:rsid w:val="00B637DF"/>
    <w:rsid w:val="00B639D0"/>
    <w:rsid w:val="00B643B6"/>
    <w:rsid w:val="00B65D73"/>
    <w:rsid w:val="00B666AD"/>
    <w:rsid w:val="00B66DED"/>
    <w:rsid w:val="00B70E8C"/>
    <w:rsid w:val="00B737EB"/>
    <w:rsid w:val="00B73D81"/>
    <w:rsid w:val="00B74621"/>
    <w:rsid w:val="00B75406"/>
    <w:rsid w:val="00B80294"/>
    <w:rsid w:val="00B80A94"/>
    <w:rsid w:val="00B83D6A"/>
    <w:rsid w:val="00B8428E"/>
    <w:rsid w:val="00B844F4"/>
    <w:rsid w:val="00B85FEF"/>
    <w:rsid w:val="00B86F3C"/>
    <w:rsid w:val="00B87056"/>
    <w:rsid w:val="00B872AF"/>
    <w:rsid w:val="00B873D9"/>
    <w:rsid w:val="00B87C44"/>
    <w:rsid w:val="00B9167E"/>
    <w:rsid w:val="00B91D4F"/>
    <w:rsid w:val="00B92306"/>
    <w:rsid w:val="00B95C96"/>
    <w:rsid w:val="00BA0180"/>
    <w:rsid w:val="00BA186A"/>
    <w:rsid w:val="00BA2CBC"/>
    <w:rsid w:val="00BA33EE"/>
    <w:rsid w:val="00BA3433"/>
    <w:rsid w:val="00BA532B"/>
    <w:rsid w:val="00BA55DF"/>
    <w:rsid w:val="00BA5CDE"/>
    <w:rsid w:val="00BA6F92"/>
    <w:rsid w:val="00BB0035"/>
    <w:rsid w:val="00BB01D8"/>
    <w:rsid w:val="00BB030E"/>
    <w:rsid w:val="00BB0A4B"/>
    <w:rsid w:val="00BB3A8C"/>
    <w:rsid w:val="00BB3DDA"/>
    <w:rsid w:val="00BB478E"/>
    <w:rsid w:val="00BB480A"/>
    <w:rsid w:val="00BB4EDD"/>
    <w:rsid w:val="00BB5328"/>
    <w:rsid w:val="00BB564D"/>
    <w:rsid w:val="00BC009D"/>
    <w:rsid w:val="00BC01FC"/>
    <w:rsid w:val="00BC055E"/>
    <w:rsid w:val="00BC07C1"/>
    <w:rsid w:val="00BC2378"/>
    <w:rsid w:val="00BC2D6C"/>
    <w:rsid w:val="00BC331F"/>
    <w:rsid w:val="00BC5923"/>
    <w:rsid w:val="00BC5936"/>
    <w:rsid w:val="00BC5D0F"/>
    <w:rsid w:val="00BD1287"/>
    <w:rsid w:val="00BD35AE"/>
    <w:rsid w:val="00BD393A"/>
    <w:rsid w:val="00BD3EED"/>
    <w:rsid w:val="00BD3F1C"/>
    <w:rsid w:val="00BD3F33"/>
    <w:rsid w:val="00BD4FA3"/>
    <w:rsid w:val="00BD573A"/>
    <w:rsid w:val="00BE0681"/>
    <w:rsid w:val="00BE20C2"/>
    <w:rsid w:val="00BE2189"/>
    <w:rsid w:val="00BE21E6"/>
    <w:rsid w:val="00BE370E"/>
    <w:rsid w:val="00BE53F8"/>
    <w:rsid w:val="00BE593E"/>
    <w:rsid w:val="00BE7ED1"/>
    <w:rsid w:val="00BF2ABA"/>
    <w:rsid w:val="00BF2E51"/>
    <w:rsid w:val="00BF4D28"/>
    <w:rsid w:val="00BF51EB"/>
    <w:rsid w:val="00BF5426"/>
    <w:rsid w:val="00BF5525"/>
    <w:rsid w:val="00BF5990"/>
    <w:rsid w:val="00BF6BE4"/>
    <w:rsid w:val="00BF7E29"/>
    <w:rsid w:val="00C0012D"/>
    <w:rsid w:val="00C001AB"/>
    <w:rsid w:val="00C0025F"/>
    <w:rsid w:val="00C01434"/>
    <w:rsid w:val="00C01857"/>
    <w:rsid w:val="00C03E6A"/>
    <w:rsid w:val="00C03E7E"/>
    <w:rsid w:val="00C048F1"/>
    <w:rsid w:val="00C05C31"/>
    <w:rsid w:val="00C05E42"/>
    <w:rsid w:val="00C06F68"/>
    <w:rsid w:val="00C07ABD"/>
    <w:rsid w:val="00C07FDF"/>
    <w:rsid w:val="00C10DAB"/>
    <w:rsid w:val="00C11401"/>
    <w:rsid w:val="00C12E8B"/>
    <w:rsid w:val="00C136A7"/>
    <w:rsid w:val="00C14A96"/>
    <w:rsid w:val="00C15805"/>
    <w:rsid w:val="00C164F2"/>
    <w:rsid w:val="00C16C90"/>
    <w:rsid w:val="00C1790B"/>
    <w:rsid w:val="00C1791F"/>
    <w:rsid w:val="00C2086E"/>
    <w:rsid w:val="00C213D5"/>
    <w:rsid w:val="00C22C06"/>
    <w:rsid w:val="00C23BD6"/>
    <w:rsid w:val="00C25512"/>
    <w:rsid w:val="00C257DF"/>
    <w:rsid w:val="00C25DF3"/>
    <w:rsid w:val="00C2649A"/>
    <w:rsid w:val="00C26B25"/>
    <w:rsid w:val="00C275F8"/>
    <w:rsid w:val="00C30F68"/>
    <w:rsid w:val="00C316F0"/>
    <w:rsid w:val="00C32D17"/>
    <w:rsid w:val="00C32E52"/>
    <w:rsid w:val="00C3404E"/>
    <w:rsid w:val="00C36A06"/>
    <w:rsid w:val="00C372C4"/>
    <w:rsid w:val="00C3734A"/>
    <w:rsid w:val="00C37616"/>
    <w:rsid w:val="00C400B8"/>
    <w:rsid w:val="00C4062A"/>
    <w:rsid w:val="00C415BC"/>
    <w:rsid w:val="00C4210F"/>
    <w:rsid w:val="00C427F4"/>
    <w:rsid w:val="00C42EE7"/>
    <w:rsid w:val="00C444CF"/>
    <w:rsid w:val="00C45C9F"/>
    <w:rsid w:val="00C4644A"/>
    <w:rsid w:val="00C46877"/>
    <w:rsid w:val="00C47764"/>
    <w:rsid w:val="00C51BCF"/>
    <w:rsid w:val="00C51D57"/>
    <w:rsid w:val="00C530F3"/>
    <w:rsid w:val="00C53E27"/>
    <w:rsid w:val="00C54575"/>
    <w:rsid w:val="00C54B3C"/>
    <w:rsid w:val="00C550D7"/>
    <w:rsid w:val="00C55A05"/>
    <w:rsid w:val="00C56422"/>
    <w:rsid w:val="00C566B4"/>
    <w:rsid w:val="00C56B3B"/>
    <w:rsid w:val="00C5771A"/>
    <w:rsid w:val="00C60589"/>
    <w:rsid w:val="00C61586"/>
    <w:rsid w:val="00C62E75"/>
    <w:rsid w:val="00C6304D"/>
    <w:rsid w:val="00C67F9C"/>
    <w:rsid w:val="00C7067B"/>
    <w:rsid w:val="00C71147"/>
    <w:rsid w:val="00C7475E"/>
    <w:rsid w:val="00C74F80"/>
    <w:rsid w:val="00C758ED"/>
    <w:rsid w:val="00C76689"/>
    <w:rsid w:val="00C77BAA"/>
    <w:rsid w:val="00C77BCF"/>
    <w:rsid w:val="00C811DD"/>
    <w:rsid w:val="00C815E0"/>
    <w:rsid w:val="00C81CA0"/>
    <w:rsid w:val="00C81DE1"/>
    <w:rsid w:val="00C81EE4"/>
    <w:rsid w:val="00C83C71"/>
    <w:rsid w:val="00C83CA0"/>
    <w:rsid w:val="00C83F93"/>
    <w:rsid w:val="00C83FFB"/>
    <w:rsid w:val="00C858E8"/>
    <w:rsid w:val="00C85EE2"/>
    <w:rsid w:val="00C86A42"/>
    <w:rsid w:val="00C86D54"/>
    <w:rsid w:val="00C94415"/>
    <w:rsid w:val="00C94555"/>
    <w:rsid w:val="00C95300"/>
    <w:rsid w:val="00C95353"/>
    <w:rsid w:val="00C9540B"/>
    <w:rsid w:val="00C960BA"/>
    <w:rsid w:val="00CA0641"/>
    <w:rsid w:val="00CA2910"/>
    <w:rsid w:val="00CA3B31"/>
    <w:rsid w:val="00CA570B"/>
    <w:rsid w:val="00CA59DE"/>
    <w:rsid w:val="00CA5BE3"/>
    <w:rsid w:val="00CA7164"/>
    <w:rsid w:val="00CA7779"/>
    <w:rsid w:val="00CB1E98"/>
    <w:rsid w:val="00CB2B7A"/>
    <w:rsid w:val="00CB465D"/>
    <w:rsid w:val="00CB481E"/>
    <w:rsid w:val="00CB4C85"/>
    <w:rsid w:val="00CC0035"/>
    <w:rsid w:val="00CC0655"/>
    <w:rsid w:val="00CC45BE"/>
    <w:rsid w:val="00CC578F"/>
    <w:rsid w:val="00CC60D9"/>
    <w:rsid w:val="00CD132D"/>
    <w:rsid w:val="00CD1BAE"/>
    <w:rsid w:val="00CD2E08"/>
    <w:rsid w:val="00CD49F4"/>
    <w:rsid w:val="00CD5BCD"/>
    <w:rsid w:val="00CD6162"/>
    <w:rsid w:val="00CD765B"/>
    <w:rsid w:val="00CE084C"/>
    <w:rsid w:val="00CE134B"/>
    <w:rsid w:val="00CE20AA"/>
    <w:rsid w:val="00CE2A42"/>
    <w:rsid w:val="00CE2ABF"/>
    <w:rsid w:val="00CE32FB"/>
    <w:rsid w:val="00CE556C"/>
    <w:rsid w:val="00CF0ABB"/>
    <w:rsid w:val="00CF1906"/>
    <w:rsid w:val="00CF1C23"/>
    <w:rsid w:val="00CF262B"/>
    <w:rsid w:val="00CF2760"/>
    <w:rsid w:val="00CF30D2"/>
    <w:rsid w:val="00CF462F"/>
    <w:rsid w:val="00CF4E9C"/>
    <w:rsid w:val="00CF5DE7"/>
    <w:rsid w:val="00D0052A"/>
    <w:rsid w:val="00D00D65"/>
    <w:rsid w:val="00D024EC"/>
    <w:rsid w:val="00D0356C"/>
    <w:rsid w:val="00D03B66"/>
    <w:rsid w:val="00D03B78"/>
    <w:rsid w:val="00D043E6"/>
    <w:rsid w:val="00D06305"/>
    <w:rsid w:val="00D066B3"/>
    <w:rsid w:val="00D06A00"/>
    <w:rsid w:val="00D06DDF"/>
    <w:rsid w:val="00D07ECE"/>
    <w:rsid w:val="00D10763"/>
    <w:rsid w:val="00D10A48"/>
    <w:rsid w:val="00D11684"/>
    <w:rsid w:val="00D11BBD"/>
    <w:rsid w:val="00D11BCF"/>
    <w:rsid w:val="00D13120"/>
    <w:rsid w:val="00D13648"/>
    <w:rsid w:val="00D14BFE"/>
    <w:rsid w:val="00D14D6C"/>
    <w:rsid w:val="00D15285"/>
    <w:rsid w:val="00D160AC"/>
    <w:rsid w:val="00D1628D"/>
    <w:rsid w:val="00D16A04"/>
    <w:rsid w:val="00D20249"/>
    <w:rsid w:val="00D21833"/>
    <w:rsid w:val="00D225E6"/>
    <w:rsid w:val="00D2375D"/>
    <w:rsid w:val="00D238B0"/>
    <w:rsid w:val="00D24115"/>
    <w:rsid w:val="00D2497B"/>
    <w:rsid w:val="00D254A0"/>
    <w:rsid w:val="00D25547"/>
    <w:rsid w:val="00D26893"/>
    <w:rsid w:val="00D26B55"/>
    <w:rsid w:val="00D26D28"/>
    <w:rsid w:val="00D2737A"/>
    <w:rsid w:val="00D2770E"/>
    <w:rsid w:val="00D279DD"/>
    <w:rsid w:val="00D27F04"/>
    <w:rsid w:val="00D30094"/>
    <w:rsid w:val="00D30363"/>
    <w:rsid w:val="00D329D6"/>
    <w:rsid w:val="00D32EB2"/>
    <w:rsid w:val="00D344B6"/>
    <w:rsid w:val="00D3509A"/>
    <w:rsid w:val="00D354D9"/>
    <w:rsid w:val="00D35F68"/>
    <w:rsid w:val="00D361D6"/>
    <w:rsid w:val="00D369D1"/>
    <w:rsid w:val="00D37050"/>
    <w:rsid w:val="00D41C9A"/>
    <w:rsid w:val="00D4333F"/>
    <w:rsid w:val="00D43E57"/>
    <w:rsid w:val="00D442EC"/>
    <w:rsid w:val="00D45D0C"/>
    <w:rsid w:val="00D46188"/>
    <w:rsid w:val="00D46193"/>
    <w:rsid w:val="00D464E5"/>
    <w:rsid w:val="00D46AC0"/>
    <w:rsid w:val="00D46E29"/>
    <w:rsid w:val="00D528C0"/>
    <w:rsid w:val="00D53DFD"/>
    <w:rsid w:val="00D54505"/>
    <w:rsid w:val="00D54C31"/>
    <w:rsid w:val="00D54F83"/>
    <w:rsid w:val="00D551F3"/>
    <w:rsid w:val="00D573A2"/>
    <w:rsid w:val="00D60235"/>
    <w:rsid w:val="00D62C21"/>
    <w:rsid w:val="00D64781"/>
    <w:rsid w:val="00D65E2A"/>
    <w:rsid w:val="00D665F7"/>
    <w:rsid w:val="00D667FC"/>
    <w:rsid w:val="00D676BC"/>
    <w:rsid w:val="00D70193"/>
    <w:rsid w:val="00D708B2"/>
    <w:rsid w:val="00D70AA3"/>
    <w:rsid w:val="00D7161F"/>
    <w:rsid w:val="00D7296A"/>
    <w:rsid w:val="00D7350E"/>
    <w:rsid w:val="00D73A77"/>
    <w:rsid w:val="00D73A96"/>
    <w:rsid w:val="00D75BEB"/>
    <w:rsid w:val="00D75CB9"/>
    <w:rsid w:val="00D76AE5"/>
    <w:rsid w:val="00D77DC3"/>
    <w:rsid w:val="00D80747"/>
    <w:rsid w:val="00D828CB"/>
    <w:rsid w:val="00D84C8C"/>
    <w:rsid w:val="00D8500F"/>
    <w:rsid w:val="00D851B0"/>
    <w:rsid w:val="00D86365"/>
    <w:rsid w:val="00D87222"/>
    <w:rsid w:val="00D90492"/>
    <w:rsid w:val="00D91F2A"/>
    <w:rsid w:val="00D9214E"/>
    <w:rsid w:val="00D92534"/>
    <w:rsid w:val="00D92FA2"/>
    <w:rsid w:val="00D9316D"/>
    <w:rsid w:val="00D943D8"/>
    <w:rsid w:val="00D95477"/>
    <w:rsid w:val="00D960EE"/>
    <w:rsid w:val="00D968CB"/>
    <w:rsid w:val="00D96CD2"/>
    <w:rsid w:val="00D97E0B"/>
    <w:rsid w:val="00DA05D3"/>
    <w:rsid w:val="00DA097B"/>
    <w:rsid w:val="00DA098B"/>
    <w:rsid w:val="00DA1ABE"/>
    <w:rsid w:val="00DA215C"/>
    <w:rsid w:val="00DA2329"/>
    <w:rsid w:val="00DA3569"/>
    <w:rsid w:val="00DA4E5A"/>
    <w:rsid w:val="00DA593F"/>
    <w:rsid w:val="00DA6330"/>
    <w:rsid w:val="00DA7AC9"/>
    <w:rsid w:val="00DB02AD"/>
    <w:rsid w:val="00DB0386"/>
    <w:rsid w:val="00DB0659"/>
    <w:rsid w:val="00DB0C29"/>
    <w:rsid w:val="00DB2F60"/>
    <w:rsid w:val="00DB377E"/>
    <w:rsid w:val="00DB47EB"/>
    <w:rsid w:val="00DB48DB"/>
    <w:rsid w:val="00DB6252"/>
    <w:rsid w:val="00DB6CF7"/>
    <w:rsid w:val="00DB7D83"/>
    <w:rsid w:val="00DC0370"/>
    <w:rsid w:val="00DC1583"/>
    <w:rsid w:val="00DC1B02"/>
    <w:rsid w:val="00DC267B"/>
    <w:rsid w:val="00DC334E"/>
    <w:rsid w:val="00DC65F8"/>
    <w:rsid w:val="00DC674C"/>
    <w:rsid w:val="00DC6BDD"/>
    <w:rsid w:val="00DC6C5A"/>
    <w:rsid w:val="00DC7866"/>
    <w:rsid w:val="00DD24FE"/>
    <w:rsid w:val="00DD2E93"/>
    <w:rsid w:val="00DD33C4"/>
    <w:rsid w:val="00DD40EB"/>
    <w:rsid w:val="00DD5BB4"/>
    <w:rsid w:val="00DD5D81"/>
    <w:rsid w:val="00DD76FC"/>
    <w:rsid w:val="00DD7731"/>
    <w:rsid w:val="00DE0380"/>
    <w:rsid w:val="00DE07FC"/>
    <w:rsid w:val="00DE088C"/>
    <w:rsid w:val="00DE265E"/>
    <w:rsid w:val="00DE3A9B"/>
    <w:rsid w:val="00DE5614"/>
    <w:rsid w:val="00DE7EFF"/>
    <w:rsid w:val="00DF15CD"/>
    <w:rsid w:val="00DF30BC"/>
    <w:rsid w:val="00DF3499"/>
    <w:rsid w:val="00DF5257"/>
    <w:rsid w:val="00DF5546"/>
    <w:rsid w:val="00DF6926"/>
    <w:rsid w:val="00DF7155"/>
    <w:rsid w:val="00E010F5"/>
    <w:rsid w:val="00E02822"/>
    <w:rsid w:val="00E029B5"/>
    <w:rsid w:val="00E02C6F"/>
    <w:rsid w:val="00E030E5"/>
    <w:rsid w:val="00E030FF"/>
    <w:rsid w:val="00E03F88"/>
    <w:rsid w:val="00E040BE"/>
    <w:rsid w:val="00E0544E"/>
    <w:rsid w:val="00E062BB"/>
    <w:rsid w:val="00E072EE"/>
    <w:rsid w:val="00E07D1D"/>
    <w:rsid w:val="00E10022"/>
    <w:rsid w:val="00E106C8"/>
    <w:rsid w:val="00E12369"/>
    <w:rsid w:val="00E12793"/>
    <w:rsid w:val="00E128C9"/>
    <w:rsid w:val="00E130C4"/>
    <w:rsid w:val="00E1324E"/>
    <w:rsid w:val="00E14138"/>
    <w:rsid w:val="00E14176"/>
    <w:rsid w:val="00E143BD"/>
    <w:rsid w:val="00E1472A"/>
    <w:rsid w:val="00E15F8C"/>
    <w:rsid w:val="00E16509"/>
    <w:rsid w:val="00E17B1C"/>
    <w:rsid w:val="00E21D40"/>
    <w:rsid w:val="00E229B9"/>
    <w:rsid w:val="00E2381C"/>
    <w:rsid w:val="00E24EFB"/>
    <w:rsid w:val="00E25E25"/>
    <w:rsid w:val="00E25EA7"/>
    <w:rsid w:val="00E26822"/>
    <w:rsid w:val="00E26894"/>
    <w:rsid w:val="00E26AE3"/>
    <w:rsid w:val="00E27D0C"/>
    <w:rsid w:val="00E300E4"/>
    <w:rsid w:val="00E33E59"/>
    <w:rsid w:val="00E340E5"/>
    <w:rsid w:val="00E35939"/>
    <w:rsid w:val="00E362E3"/>
    <w:rsid w:val="00E364BB"/>
    <w:rsid w:val="00E37D9F"/>
    <w:rsid w:val="00E37EB1"/>
    <w:rsid w:val="00E403EF"/>
    <w:rsid w:val="00E40976"/>
    <w:rsid w:val="00E40C4A"/>
    <w:rsid w:val="00E411D5"/>
    <w:rsid w:val="00E4296B"/>
    <w:rsid w:val="00E42C65"/>
    <w:rsid w:val="00E4312C"/>
    <w:rsid w:val="00E4390F"/>
    <w:rsid w:val="00E43A41"/>
    <w:rsid w:val="00E43DA2"/>
    <w:rsid w:val="00E44101"/>
    <w:rsid w:val="00E441ED"/>
    <w:rsid w:val="00E44A27"/>
    <w:rsid w:val="00E45B64"/>
    <w:rsid w:val="00E47498"/>
    <w:rsid w:val="00E50802"/>
    <w:rsid w:val="00E5142B"/>
    <w:rsid w:val="00E519EB"/>
    <w:rsid w:val="00E51CA3"/>
    <w:rsid w:val="00E525B5"/>
    <w:rsid w:val="00E53031"/>
    <w:rsid w:val="00E54739"/>
    <w:rsid w:val="00E549A6"/>
    <w:rsid w:val="00E56EA9"/>
    <w:rsid w:val="00E56F71"/>
    <w:rsid w:val="00E57758"/>
    <w:rsid w:val="00E603FE"/>
    <w:rsid w:val="00E60917"/>
    <w:rsid w:val="00E60969"/>
    <w:rsid w:val="00E61160"/>
    <w:rsid w:val="00E619C9"/>
    <w:rsid w:val="00E62944"/>
    <w:rsid w:val="00E63200"/>
    <w:rsid w:val="00E6339C"/>
    <w:rsid w:val="00E64561"/>
    <w:rsid w:val="00E65595"/>
    <w:rsid w:val="00E67A14"/>
    <w:rsid w:val="00E707AA"/>
    <w:rsid w:val="00E723F5"/>
    <w:rsid w:val="00E7251D"/>
    <w:rsid w:val="00E73EF8"/>
    <w:rsid w:val="00E75EB6"/>
    <w:rsid w:val="00E80887"/>
    <w:rsid w:val="00E8118D"/>
    <w:rsid w:val="00E81223"/>
    <w:rsid w:val="00E82834"/>
    <w:rsid w:val="00E82AB1"/>
    <w:rsid w:val="00E82C60"/>
    <w:rsid w:val="00E832B7"/>
    <w:rsid w:val="00E83A26"/>
    <w:rsid w:val="00E83ED7"/>
    <w:rsid w:val="00E83F21"/>
    <w:rsid w:val="00E83F4C"/>
    <w:rsid w:val="00E84280"/>
    <w:rsid w:val="00E86049"/>
    <w:rsid w:val="00E866DB"/>
    <w:rsid w:val="00E86B83"/>
    <w:rsid w:val="00E86BC3"/>
    <w:rsid w:val="00E8716A"/>
    <w:rsid w:val="00E9066A"/>
    <w:rsid w:val="00E906A9"/>
    <w:rsid w:val="00E90A8B"/>
    <w:rsid w:val="00E92EB7"/>
    <w:rsid w:val="00E964D4"/>
    <w:rsid w:val="00EA077E"/>
    <w:rsid w:val="00EA08D3"/>
    <w:rsid w:val="00EA12CF"/>
    <w:rsid w:val="00EA21A9"/>
    <w:rsid w:val="00EA322D"/>
    <w:rsid w:val="00EA3523"/>
    <w:rsid w:val="00EA5FD9"/>
    <w:rsid w:val="00EA72A4"/>
    <w:rsid w:val="00EA786F"/>
    <w:rsid w:val="00EA7C92"/>
    <w:rsid w:val="00EB1938"/>
    <w:rsid w:val="00EB2B64"/>
    <w:rsid w:val="00EB36A7"/>
    <w:rsid w:val="00EB3EC2"/>
    <w:rsid w:val="00EB53F8"/>
    <w:rsid w:val="00EB557B"/>
    <w:rsid w:val="00EB5CC1"/>
    <w:rsid w:val="00EB6322"/>
    <w:rsid w:val="00EB781A"/>
    <w:rsid w:val="00EB7ACF"/>
    <w:rsid w:val="00EC0BDB"/>
    <w:rsid w:val="00EC3B58"/>
    <w:rsid w:val="00EC4239"/>
    <w:rsid w:val="00EC4B31"/>
    <w:rsid w:val="00EC6009"/>
    <w:rsid w:val="00EC6B9A"/>
    <w:rsid w:val="00ED1B63"/>
    <w:rsid w:val="00ED2398"/>
    <w:rsid w:val="00ED2DBB"/>
    <w:rsid w:val="00ED37CF"/>
    <w:rsid w:val="00ED3B4B"/>
    <w:rsid w:val="00ED3CBF"/>
    <w:rsid w:val="00ED4AF4"/>
    <w:rsid w:val="00ED4FCB"/>
    <w:rsid w:val="00ED5C03"/>
    <w:rsid w:val="00ED5DD2"/>
    <w:rsid w:val="00ED6CAB"/>
    <w:rsid w:val="00ED6E9E"/>
    <w:rsid w:val="00ED777D"/>
    <w:rsid w:val="00EE001E"/>
    <w:rsid w:val="00EE1BE2"/>
    <w:rsid w:val="00EE223B"/>
    <w:rsid w:val="00EE3BAD"/>
    <w:rsid w:val="00EE3DF8"/>
    <w:rsid w:val="00EE4A5A"/>
    <w:rsid w:val="00EE50B5"/>
    <w:rsid w:val="00EE57A2"/>
    <w:rsid w:val="00EE582D"/>
    <w:rsid w:val="00EE6DD2"/>
    <w:rsid w:val="00EF2110"/>
    <w:rsid w:val="00EF2F11"/>
    <w:rsid w:val="00EF466D"/>
    <w:rsid w:val="00EF4707"/>
    <w:rsid w:val="00EF4F36"/>
    <w:rsid w:val="00EF6B0D"/>
    <w:rsid w:val="00F00216"/>
    <w:rsid w:val="00F0091A"/>
    <w:rsid w:val="00F013BE"/>
    <w:rsid w:val="00F0178A"/>
    <w:rsid w:val="00F01B86"/>
    <w:rsid w:val="00F02A5A"/>
    <w:rsid w:val="00F035F2"/>
    <w:rsid w:val="00F05CE9"/>
    <w:rsid w:val="00F06E2F"/>
    <w:rsid w:val="00F073C7"/>
    <w:rsid w:val="00F07A5F"/>
    <w:rsid w:val="00F10615"/>
    <w:rsid w:val="00F10882"/>
    <w:rsid w:val="00F12432"/>
    <w:rsid w:val="00F1397D"/>
    <w:rsid w:val="00F13B83"/>
    <w:rsid w:val="00F14483"/>
    <w:rsid w:val="00F1472D"/>
    <w:rsid w:val="00F176AC"/>
    <w:rsid w:val="00F213D0"/>
    <w:rsid w:val="00F247C5"/>
    <w:rsid w:val="00F251FF"/>
    <w:rsid w:val="00F27DE9"/>
    <w:rsid w:val="00F30240"/>
    <w:rsid w:val="00F3198D"/>
    <w:rsid w:val="00F31A66"/>
    <w:rsid w:val="00F31AB6"/>
    <w:rsid w:val="00F31EC0"/>
    <w:rsid w:val="00F3231C"/>
    <w:rsid w:val="00F3474F"/>
    <w:rsid w:val="00F34DB8"/>
    <w:rsid w:val="00F35406"/>
    <w:rsid w:val="00F35C59"/>
    <w:rsid w:val="00F360D1"/>
    <w:rsid w:val="00F367FA"/>
    <w:rsid w:val="00F40CC7"/>
    <w:rsid w:val="00F46700"/>
    <w:rsid w:val="00F47D39"/>
    <w:rsid w:val="00F50F20"/>
    <w:rsid w:val="00F51B37"/>
    <w:rsid w:val="00F5380A"/>
    <w:rsid w:val="00F54689"/>
    <w:rsid w:val="00F572BA"/>
    <w:rsid w:val="00F60312"/>
    <w:rsid w:val="00F6087D"/>
    <w:rsid w:val="00F61C42"/>
    <w:rsid w:val="00F61DA0"/>
    <w:rsid w:val="00F6368B"/>
    <w:rsid w:val="00F63710"/>
    <w:rsid w:val="00F6379F"/>
    <w:rsid w:val="00F63FB1"/>
    <w:rsid w:val="00F64E76"/>
    <w:rsid w:val="00F64F67"/>
    <w:rsid w:val="00F66D5D"/>
    <w:rsid w:val="00F67365"/>
    <w:rsid w:val="00F70736"/>
    <w:rsid w:val="00F708C2"/>
    <w:rsid w:val="00F71EE8"/>
    <w:rsid w:val="00F72618"/>
    <w:rsid w:val="00F72AB2"/>
    <w:rsid w:val="00F72DE4"/>
    <w:rsid w:val="00F7305A"/>
    <w:rsid w:val="00F744C3"/>
    <w:rsid w:val="00F758B2"/>
    <w:rsid w:val="00F76CF7"/>
    <w:rsid w:val="00F77242"/>
    <w:rsid w:val="00F775C3"/>
    <w:rsid w:val="00F7784A"/>
    <w:rsid w:val="00F817B6"/>
    <w:rsid w:val="00F82B83"/>
    <w:rsid w:val="00F8301B"/>
    <w:rsid w:val="00F83A05"/>
    <w:rsid w:val="00F85FA7"/>
    <w:rsid w:val="00F86045"/>
    <w:rsid w:val="00F86A28"/>
    <w:rsid w:val="00F90A62"/>
    <w:rsid w:val="00F9139E"/>
    <w:rsid w:val="00F92485"/>
    <w:rsid w:val="00F92A5C"/>
    <w:rsid w:val="00F93456"/>
    <w:rsid w:val="00F94231"/>
    <w:rsid w:val="00F947A2"/>
    <w:rsid w:val="00F94C17"/>
    <w:rsid w:val="00F976B8"/>
    <w:rsid w:val="00F97971"/>
    <w:rsid w:val="00FA0F58"/>
    <w:rsid w:val="00FA3358"/>
    <w:rsid w:val="00FA3883"/>
    <w:rsid w:val="00FA4FB4"/>
    <w:rsid w:val="00FA6385"/>
    <w:rsid w:val="00FA6967"/>
    <w:rsid w:val="00FA69C6"/>
    <w:rsid w:val="00FB0574"/>
    <w:rsid w:val="00FB10E8"/>
    <w:rsid w:val="00FB1605"/>
    <w:rsid w:val="00FB1D03"/>
    <w:rsid w:val="00FB266F"/>
    <w:rsid w:val="00FB3795"/>
    <w:rsid w:val="00FB4245"/>
    <w:rsid w:val="00FB4443"/>
    <w:rsid w:val="00FB44F5"/>
    <w:rsid w:val="00FB588C"/>
    <w:rsid w:val="00FB5F61"/>
    <w:rsid w:val="00FB669A"/>
    <w:rsid w:val="00FB69A8"/>
    <w:rsid w:val="00FB6C79"/>
    <w:rsid w:val="00FC0082"/>
    <w:rsid w:val="00FC047B"/>
    <w:rsid w:val="00FC1022"/>
    <w:rsid w:val="00FC1836"/>
    <w:rsid w:val="00FC3828"/>
    <w:rsid w:val="00FC58BC"/>
    <w:rsid w:val="00FC7B3D"/>
    <w:rsid w:val="00FD02E9"/>
    <w:rsid w:val="00FD138A"/>
    <w:rsid w:val="00FD16F0"/>
    <w:rsid w:val="00FD2134"/>
    <w:rsid w:val="00FD266F"/>
    <w:rsid w:val="00FD2B87"/>
    <w:rsid w:val="00FD30FA"/>
    <w:rsid w:val="00FD42AC"/>
    <w:rsid w:val="00FD4410"/>
    <w:rsid w:val="00FD4699"/>
    <w:rsid w:val="00FD4DF2"/>
    <w:rsid w:val="00FD755B"/>
    <w:rsid w:val="00FE16B5"/>
    <w:rsid w:val="00FE279A"/>
    <w:rsid w:val="00FE284D"/>
    <w:rsid w:val="00FE3205"/>
    <w:rsid w:val="00FE38EF"/>
    <w:rsid w:val="00FE3E82"/>
    <w:rsid w:val="00FE3EF8"/>
    <w:rsid w:val="00FE4954"/>
    <w:rsid w:val="00FE4CC0"/>
    <w:rsid w:val="00FE66FB"/>
    <w:rsid w:val="00FE6F1B"/>
    <w:rsid w:val="00FF0A8F"/>
    <w:rsid w:val="00FF10ED"/>
    <w:rsid w:val="00FF1A4D"/>
    <w:rsid w:val="00FF2D04"/>
    <w:rsid w:val="00FF39F4"/>
    <w:rsid w:val="00FF4513"/>
    <w:rsid w:val="00FF4AB1"/>
    <w:rsid w:val="00FF4C06"/>
    <w:rsid w:val="00FF77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33DBC6C"/>
  <w15:chartTrackingRefBased/>
  <w15:docId w15:val="{D4AC332F-52EB-4E42-BEA6-784CCD34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iPriority="39" w:unhideWhenUsed="1"/>
    <w:lsdException w:name="toc 6" w:semiHidden="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3A2D"/>
    <w:rPr>
      <w:sz w:val="24"/>
      <w:szCs w:val="24"/>
    </w:rPr>
  </w:style>
  <w:style w:type="paragraph" w:styleId="Titolo1">
    <w:name w:val="heading 1"/>
    <w:aliases w:val="Titolo capitolo"/>
    <w:basedOn w:val="Normale"/>
    <w:next w:val="Normale"/>
    <w:link w:val="Titolo1Carattere"/>
    <w:qFormat/>
    <w:pPr>
      <w:keepNext/>
      <w:jc w:val="center"/>
      <w:outlineLvl w:val="0"/>
    </w:pPr>
    <w:rPr>
      <w:b/>
      <w:lang w:val="x-none" w:eastAsia="x-none"/>
    </w:rPr>
  </w:style>
  <w:style w:type="paragraph" w:styleId="Titolo2">
    <w:name w:val="heading 2"/>
    <w:basedOn w:val="Normale"/>
    <w:next w:val="Normale"/>
    <w:link w:val="Titolo2Carattere"/>
    <w:qFormat/>
    <w:pPr>
      <w:keepNext/>
      <w:outlineLvl w:val="1"/>
    </w:pPr>
    <w:rPr>
      <w:b/>
      <w:lang w:val="x-none" w:eastAsia="x-none"/>
    </w:rPr>
  </w:style>
  <w:style w:type="paragraph" w:styleId="Titolo3">
    <w:name w:val="heading 3"/>
    <w:basedOn w:val="Normale"/>
    <w:next w:val="Normale"/>
    <w:link w:val="Titolo3Carattere"/>
    <w:qFormat/>
    <w:pPr>
      <w:keepNext/>
      <w:outlineLvl w:val="2"/>
    </w:pPr>
    <w:rPr>
      <w:b/>
      <w:sz w:val="22"/>
      <w:lang w:val="x-none" w:eastAsia="x-none"/>
    </w:rPr>
  </w:style>
  <w:style w:type="paragraph" w:styleId="Titolo4">
    <w:name w:val="heading 4"/>
    <w:basedOn w:val="Normale"/>
    <w:next w:val="Normale"/>
    <w:link w:val="Titolo4Carattere"/>
    <w:qFormat/>
    <w:pPr>
      <w:keepNext/>
      <w:outlineLvl w:val="3"/>
    </w:pPr>
    <w:rPr>
      <w:rFonts w:ascii="Verdana" w:hAnsi="Verdana"/>
      <w:b/>
      <w:sz w:val="20"/>
      <w:lang w:val="x-none" w:eastAsia="x-none"/>
    </w:rPr>
  </w:style>
  <w:style w:type="paragraph" w:styleId="Titolo5">
    <w:name w:val="heading 5"/>
    <w:basedOn w:val="Normale"/>
    <w:next w:val="Normale"/>
    <w:link w:val="Titolo5Carattere"/>
    <w:qFormat/>
    <w:pPr>
      <w:keepNext/>
      <w:jc w:val="center"/>
      <w:outlineLvl w:val="4"/>
    </w:pPr>
    <w:rPr>
      <w:sz w:val="28"/>
      <w:lang w:val="x-none" w:eastAsia="x-none"/>
    </w:rPr>
  </w:style>
  <w:style w:type="paragraph" w:styleId="Titolo6">
    <w:name w:val="heading 6"/>
    <w:basedOn w:val="Normale"/>
    <w:next w:val="Normale"/>
    <w:link w:val="Titolo6Carattere"/>
    <w:qFormat/>
    <w:pPr>
      <w:keepNext/>
      <w:outlineLvl w:val="5"/>
    </w:pPr>
    <w:rPr>
      <w:rFonts w:ascii="Arial" w:hAnsi="Arial"/>
      <w:b/>
      <w:snapToGrid w:val="0"/>
      <w:color w:val="000000"/>
      <w:sz w:val="18"/>
      <w:lang w:val="x-none" w:eastAsia="x-none"/>
    </w:rPr>
  </w:style>
  <w:style w:type="paragraph" w:styleId="Titolo7">
    <w:name w:val="heading 7"/>
    <w:basedOn w:val="Normale"/>
    <w:next w:val="Normale"/>
    <w:link w:val="Titolo7Carattere"/>
    <w:uiPriority w:val="99"/>
    <w:qFormat/>
    <w:pPr>
      <w:keepNext/>
      <w:outlineLvl w:val="6"/>
    </w:pPr>
    <w:rPr>
      <w:rFonts w:ascii="Arial" w:hAnsi="Arial"/>
      <w:b/>
      <w:sz w:val="18"/>
      <w:lang w:val="x-none" w:eastAsia="x-none"/>
    </w:rPr>
  </w:style>
  <w:style w:type="paragraph" w:styleId="Titolo8">
    <w:name w:val="heading 8"/>
    <w:basedOn w:val="Normale"/>
    <w:next w:val="Normale"/>
    <w:link w:val="Titolo8Carattere"/>
    <w:uiPriority w:val="99"/>
    <w:qFormat/>
    <w:pPr>
      <w:keepNext/>
      <w:ind w:right="-1"/>
      <w:jc w:val="center"/>
      <w:outlineLvl w:val="7"/>
    </w:pPr>
    <w:rPr>
      <w:rFonts w:ascii="MyriadPro-It" w:hAnsi="MyriadPro-It"/>
      <w:snapToGrid w:val="0"/>
      <w:sz w:val="36"/>
      <w:lang w:val="x-none" w:eastAsia="x-none"/>
    </w:rPr>
  </w:style>
  <w:style w:type="paragraph" w:styleId="Titolo9">
    <w:name w:val="heading 9"/>
    <w:basedOn w:val="Normale"/>
    <w:next w:val="Normale"/>
    <w:link w:val="Titolo9Carattere"/>
    <w:uiPriority w:val="99"/>
    <w:qFormat/>
    <w:pPr>
      <w:keepNext/>
      <w:ind w:right="-1"/>
      <w:jc w:val="center"/>
      <w:outlineLvl w:val="8"/>
    </w:pPr>
    <w:rPr>
      <w:rFonts w:ascii="Arial" w:hAnsi="Arial"/>
      <w:b/>
      <w:snapToGrid w:val="0"/>
      <w:sz w:val="3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semiHidden/>
    <w:qFormat/>
    <w:rPr>
      <w:sz w:val="28"/>
      <w:lang w:val="x-none" w:eastAsia="x-none"/>
    </w:rPr>
  </w:style>
  <w:style w:type="paragraph" w:styleId="Corpodeltesto2">
    <w:name w:val="Body Text 2"/>
    <w:basedOn w:val="Normale"/>
    <w:link w:val="Corpodeltesto2Carattere"/>
    <w:uiPriority w:val="99"/>
    <w:semiHidden/>
    <w:qFormat/>
    <w:rPr>
      <w:sz w:val="26"/>
      <w:lang w:val="x-none" w:eastAsia="x-none"/>
    </w:rPr>
  </w:style>
  <w:style w:type="paragraph" w:styleId="Titolo">
    <w:name w:val="Title"/>
    <w:basedOn w:val="Normale"/>
    <w:link w:val="TitoloCarattere"/>
    <w:uiPriority w:val="99"/>
    <w:qFormat/>
    <w:pPr>
      <w:jc w:val="center"/>
    </w:pPr>
    <w:rPr>
      <w:i/>
      <w:sz w:val="26"/>
      <w:lang w:val="x-none" w:eastAsia="x-none"/>
    </w:rPr>
  </w:style>
  <w:style w:type="paragraph" w:styleId="Sottotitolo">
    <w:name w:val="Subtitle"/>
    <w:basedOn w:val="Normale"/>
    <w:link w:val="SottotitoloCarattere"/>
    <w:uiPriority w:val="99"/>
    <w:qFormat/>
    <w:pPr>
      <w:jc w:val="center"/>
    </w:pPr>
    <w:rPr>
      <w:b/>
      <w:sz w:val="32"/>
      <w:lang w:val="x-none" w:eastAsia="x-none"/>
    </w:rPr>
  </w:style>
  <w:style w:type="character" w:styleId="Collegamentoipertestuale">
    <w:name w:val="Hyperlink"/>
    <w:uiPriority w:val="99"/>
    <w:rPr>
      <w:color w:val="0000FF"/>
      <w:u w:val="single"/>
    </w:rPr>
  </w:style>
  <w:style w:type="paragraph" w:styleId="Mappadocumento">
    <w:name w:val="Document Map"/>
    <w:basedOn w:val="Normale"/>
    <w:link w:val="MappadocumentoCarattere"/>
    <w:uiPriority w:val="99"/>
    <w:semiHidden/>
    <w:qFormat/>
    <w:pPr>
      <w:shd w:val="clear" w:color="auto" w:fill="000080"/>
    </w:pPr>
    <w:rPr>
      <w:rFonts w:ascii="Tahoma" w:hAnsi="Tahoma"/>
      <w:lang w:val="x-none" w:eastAsia="x-none"/>
    </w:rPr>
  </w:style>
  <w:style w:type="paragraph" w:styleId="Intestazione">
    <w:name w:val="header"/>
    <w:basedOn w:val="Normale"/>
    <w:link w:val="IntestazioneCarattere"/>
    <w:uiPriority w:val="99"/>
    <w:qFormat/>
    <w:pPr>
      <w:tabs>
        <w:tab w:val="center" w:pos="4819"/>
        <w:tab w:val="right" w:pos="9638"/>
      </w:tabs>
    </w:pPr>
    <w:rPr>
      <w:lang w:val="x-none" w:eastAsia="x-none"/>
    </w:rPr>
  </w:style>
  <w:style w:type="paragraph" w:styleId="Pidipagina">
    <w:name w:val="footer"/>
    <w:basedOn w:val="Normale"/>
    <w:link w:val="PidipaginaCarattere"/>
    <w:uiPriority w:val="99"/>
    <w:qFormat/>
    <w:pPr>
      <w:tabs>
        <w:tab w:val="center" w:pos="4819"/>
        <w:tab w:val="right" w:pos="9638"/>
      </w:tabs>
    </w:pPr>
    <w:rPr>
      <w:lang w:val="x-none" w:eastAsia="x-none"/>
    </w:rPr>
  </w:style>
  <w:style w:type="paragraph" w:styleId="Corpodeltesto3">
    <w:name w:val="Body Text 3"/>
    <w:basedOn w:val="Normale"/>
    <w:link w:val="Corpodeltesto3Carattere"/>
    <w:uiPriority w:val="99"/>
    <w:qFormat/>
    <w:rPr>
      <w:i/>
      <w:lang w:val="x-none" w:eastAsia="x-none"/>
    </w:rPr>
  </w:style>
  <w:style w:type="paragraph" w:customStyle="1" w:styleId="S2">
    <w:name w:val="S2"/>
    <w:basedOn w:val="Normale"/>
    <w:autoRedefine/>
    <w:uiPriority w:val="99"/>
    <w:qFormat/>
    <w:pPr>
      <w:numPr>
        <w:ilvl w:val="1"/>
        <w:numId w:val="1"/>
      </w:numPr>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qFormat/>
    <w:rPr>
      <w:sz w:val="20"/>
    </w:rPr>
  </w:style>
  <w:style w:type="character" w:styleId="Rimandonotaapidipagina">
    <w:name w:val="footnote reference"/>
    <w:uiPriority w:val="99"/>
    <w:semiHidden/>
    <w:rPr>
      <w:vertAlign w:val="superscript"/>
    </w:rPr>
  </w:style>
  <w:style w:type="paragraph" w:styleId="Testodelblocco">
    <w:name w:val="Block Text"/>
    <w:basedOn w:val="Normale"/>
    <w:uiPriority w:val="99"/>
    <w:semiHidden/>
    <w:qFormat/>
    <w:pPr>
      <w:ind w:left="-284" w:right="-285"/>
      <w:jc w:val="center"/>
    </w:pPr>
    <w:rPr>
      <w:rFonts w:ascii="Verdana" w:hAnsi="Verdana"/>
      <w:b/>
      <w:sz w:val="32"/>
    </w:rPr>
  </w:style>
  <w:style w:type="paragraph" w:customStyle="1" w:styleId="Tabella">
    <w:name w:val="Tabella"/>
    <w:basedOn w:val="Titolo2"/>
    <w:uiPriority w:val="99"/>
    <w:qFormat/>
    <w:pPr>
      <w:spacing w:before="120" w:after="60"/>
    </w:pPr>
    <w:rPr>
      <w:b w:val="0"/>
      <w:i/>
    </w:rPr>
  </w:style>
  <w:style w:type="paragraph" w:customStyle="1" w:styleId="xl41">
    <w:name w:val="xl41"/>
    <w:basedOn w:val="Normale"/>
    <w:uiPriority w:val="99"/>
    <w:qFormat/>
    <w:pPr>
      <w:spacing w:before="100" w:after="100"/>
    </w:pPr>
    <w:rPr>
      <w:rFonts w:eastAsia="Arial Unicode MS"/>
    </w:rPr>
  </w:style>
  <w:style w:type="paragraph" w:styleId="Didascalia">
    <w:name w:val="caption"/>
    <w:basedOn w:val="Normale"/>
    <w:next w:val="Normale"/>
    <w:uiPriority w:val="99"/>
    <w:qFormat/>
    <w:pPr>
      <w:spacing w:after="240"/>
    </w:pPr>
    <w:rPr>
      <w:i/>
      <w:sz w:val="20"/>
    </w:rPr>
  </w:style>
  <w:style w:type="paragraph" w:customStyle="1" w:styleId="Fonte">
    <w:name w:val="Fonte"/>
    <w:basedOn w:val="Didascalia"/>
    <w:uiPriority w:val="99"/>
    <w:qFormat/>
    <w:pPr>
      <w:spacing w:after="0"/>
    </w:pPr>
    <w:rPr>
      <w:i w:val="0"/>
      <w:sz w:val="18"/>
    </w:rPr>
  </w:style>
  <w:style w:type="paragraph" w:customStyle="1" w:styleId="Stile1">
    <w:name w:val="Stile1"/>
    <w:basedOn w:val="Normale"/>
    <w:uiPriority w:val="99"/>
    <w:qFormat/>
    <w:pPr>
      <w:spacing w:after="240"/>
    </w:pPr>
    <w:rPr>
      <w:rFonts w:ascii="Courier New" w:hAnsi="Courier New"/>
      <w:sz w:val="20"/>
    </w:rPr>
  </w:style>
  <w:style w:type="paragraph" w:styleId="Sommario4">
    <w:name w:val="toc 4"/>
    <w:basedOn w:val="Normale"/>
    <w:next w:val="Normale"/>
    <w:autoRedefine/>
    <w:uiPriority w:val="99"/>
    <w:semiHidden/>
    <w:qFormat/>
    <w:pPr>
      <w:spacing w:after="240"/>
      <w:ind w:left="720"/>
    </w:pPr>
  </w:style>
  <w:style w:type="paragraph" w:styleId="Sommario6">
    <w:name w:val="toc 6"/>
    <w:basedOn w:val="Normale"/>
    <w:next w:val="Normale"/>
    <w:autoRedefine/>
    <w:uiPriority w:val="99"/>
    <w:semiHidden/>
    <w:qFormat/>
    <w:pPr>
      <w:spacing w:after="240"/>
      <w:ind w:left="1200"/>
    </w:pPr>
  </w:style>
  <w:style w:type="paragraph" w:styleId="Sommario3">
    <w:name w:val="toc 3"/>
    <w:basedOn w:val="Normale"/>
    <w:next w:val="Normale"/>
    <w:autoRedefine/>
    <w:uiPriority w:val="99"/>
    <w:semiHidden/>
    <w:qFormat/>
    <w:pPr>
      <w:spacing w:after="240"/>
      <w:ind w:left="480"/>
    </w:pPr>
  </w:style>
  <w:style w:type="paragraph" w:customStyle="1" w:styleId="StileStileStileTitolo114pt12pt">
    <w:name w:val="Stile Stile Stile Titolo 1 + + 14 pt + 12 pt"/>
    <w:basedOn w:val="Normale"/>
    <w:autoRedefine/>
    <w:uiPriority w:val="99"/>
    <w:qFormat/>
    <w:rsid w:val="00B844F4"/>
    <w:pPr>
      <w:keepNext/>
      <w:spacing w:line="360" w:lineRule="auto"/>
      <w:ind w:firstLine="708"/>
      <w:outlineLvl w:val="0"/>
    </w:pPr>
    <w:rPr>
      <w:rFonts w:ascii="Tahoma" w:hAnsi="Tahoma"/>
      <w:sz w:val="28"/>
    </w:rPr>
  </w:style>
  <w:style w:type="character" w:customStyle="1" w:styleId="RientrocorpodeltestoCarattere">
    <w:name w:val="Rientro corpo del testo Carattere"/>
    <w:link w:val="Rientrocorpodeltesto"/>
    <w:uiPriority w:val="99"/>
    <w:semiHidden/>
    <w:rsid w:val="00B844F4"/>
    <w:rPr>
      <w:sz w:val="24"/>
      <w:szCs w:val="24"/>
    </w:rPr>
  </w:style>
  <w:style w:type="paragraph" w:styleId="Rientrocorpodeltesto">
    <w:name w:val="Body Text Indent"/>
    <w:basedOn w:val="Normale"/>
    <w:link w:val="RientrocorpodeltestoCarattere"/>
    <w:uiPriority w:val="99"/>
    <w:semiHidden/>
    <w:qFormat/>
    <w:rsid w:val="00B844F4"/>
    <w:pPr>
      <w:ind w:left="708"/>
    </w:pPr>
    <w:rPr>
      <w:lang w:val="x-none" w:eastAsia="x-none"/>
    </w:rPr>
  </w:style>
  <w:style w:type="character" w:customStyle="1" w:styleId="Rientrocorpodeltesto2Carattere">
    <w:name w:val="Rientro corpo del testo 2 Carattere"/>
    <w:link w:val="Rientrocorpodeltesto2"/>
    <w:uiPriority w:val="99"/>
    <w:semiHidden/>
    <w:rsid w:val="00B844F4"/>
    <w:rPr>
      <w:rFonts w:ascii="Tahoma" w:hAnsi="Tahoma"/>
      <w:b/>
      <w:sz w:val="32"/>
      <w:szCs w:val="24"/>
    </w:rPr>
  </w:style>
  <w:style w:type="paragraph" w:styleId="Rientrocorpodeltesto2">
    <w:name w:val="Body Text Indent 2"/>
    <w:basedOn w:val="Normale"/>
    <w:link w:val="Rientrocorpodeltesto2Carattere"/>
    <w:uiPriority w:val="99"/>
    <w:semiHidden/>
    <w:qFormat/>
    <w:rsid w:val="00B844F4"/>
    <w:pPr>
      <w:widowControl w:val="0"/>
      <w:spacing w:line="360" w:lineRule="auto"/>
      <w:ind w:left="-840"/>
    </w:pPr>
    <w:rPr>
      <w:rFonts w:ascii="Tahoma" w:hAnsi="Tahoma"/>
      <w:b/>
      <w:sz w:val="32"/>
      <w:lang w:val="x-none" w:eastAsia="x-none"/>
    </w:rPr>
  </w:style>
  <w:style w:type="character" w:customStyle="1" w:styleId="Rientrocorpodeltesto3Carattere">
    <w:name w:val="Rientro corpo del testo 3 Carattere"/>
    <w:link w:val="Rientrocorpodeltesto3"/>
    <w:uiPriority w:val="99"/>
    <w:semiHidden/>
    <w:rsid w:val="00B844F4"/>
    <w:rPr>
      <w:rFonts w:ascii="Tahoma" w:hAnsi="Tahoma"/>
      <w:sz w:val="28"/>
      <w:szCs w:val="24"/>
    </w:rPr>
  </w:style>
  <w:style w:type="paragraph" w:styleId="Rientrocorpodeltesto3">
    <w:name w:val="Body Text Indent 3"/>
    <w:basedOn w:val="Normale"/>
    <w:link w:val="Rientrocorpodeltesto3Carattere"/>
    <w:uiPriority w:val="99"/>
    <w:semiHidden/>
    <w:qFormat/>
    <w:rsid w:val="00B844F4"/>
    <w:pPr>
      <w:ind w:left="708"/>
    </w:pPr>
    <w:rPr>
      <w:rFonts w:ascii="Tahoma" w:hAnsi="Tahoma"/>
      <w:sz w:val="28"/>
      <w:lang w:val="x-none" w:eastAsia="x-none"/>
    </w:rPr>
  </w:style>
  <w:style w:type="paragraph" w:customStyle="1" w:styleId="Rientrolettere">
    <w:name w:val="Rientro lettere"/>
    <w:basedOn w:val="Normale"/>
    <w:uiPriority w:val="99"/>
    <w:qFormat/>
    <w:rsid w:val="00B844F4"/>
    <w:pPr>
      <w:numPr>
        <w:numId w:val="2"/>
      </w:numPr>
    </w:pPr>
    <w:rPr>
      <w:sz w:val="20"/>
    </w:rPr>
  </w:style>
  <w:style w:type="paragraph" w:customStyle="1" w:styleId="Grigliachiara-Colore32">
    <w:name w:val="Griglia chiara - Colore 32"/>
    <w:basedOn w:val="Normale"/>
    <w:qFormat/>
    <w:rsid w:val="00B844F4"/>
    <w:pPr>
      <w:spacing w:after="200" w:line="276" w:lineRule="auto"/>
      <w:ind w:left="720"/>
    </w:pPr>
    <w:rPr>
      <w:rFonts w:ascii="Calibri" w:eastAsia="Calibri" w:hAnsi="Calibri"/>
      <w:sz w:val="22"/>
    </w:rPr>
  </w:style>
  <w:style w:type="character" w:customStyle="1" w:styleId="TestofumettoCarattere">
    <w:name w:val="Testo fumetto Carattere"/>
    <w:link w:val="Testofumetto"/>
    <w:uiPriority w:val="99"/>
    <w:semiHidden/>
    <w:rsid w:val="00B844F4"/>
    <w:rPr>
      <w:rFonts w:ascii="Tahoma" w:hAnsi="Tahoma"/>
      <w:sz w:val="16"/>
      <w:szCs w:val="16"/>
      <w:lang w:val="x-none" w:eastAsia="x-none"/>
    </w:rPr>
  </w:style>
  <w:style w:type="paragraph" w:styleId="Testofumetto">
    <w:name w:val="Balloon Text"/>
    <w:basedOn w:val="Normale"/>
    <w:link w:val="TestofumettoCarattere"/>
    <w:uiPriority w:val="99"/>
    <w:semiHidden/>
    <w:unhideWhenUsed/>
    <w:qFormat/>
    <w:rsid w:val="00B844F4"/>
    <w:rPr>
      <w:rFonts w:ascii="Tahoma" w:hAnsi="Tahoma"/>
      <w:sz w:val="16"/>
      <w:szCs w:val="16"/>
      <w:lang w:val="x-none" w:eastAsia="x-none"/>
    </w:rPr>
  </w:style>
  <w:style w:type="character" w:customStyle="1" w:styleId="style132">
    <w:name w:val="style132"/>
    <w:rsid w:val="00B844F4"/>
  </w:style>
  <w:style w:type="paragraph" w:styleId="NormaleWeb">
    <w:name w:val="Normal (Web)"/>
    <w:basedOn w:val="Normale"/>
    <w:uiPriority w:val="99"/>
    <w:unhideWhenUsed/>
    <w:qFormat/>
    <w:rsid w:val="00B844F4"/>
    <w:pPr>
      <w:spacing w:before="100" w:beforeAutospacing="1" w:after="100" w:afterAutospacing="1"/>
    </w:p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uiPriority w:val="99"/>
    <w:qFormat/>
    <w:rsid w:val="00991118"/>
    <w:pPr>
      <w:spacing w:before="60" w:after="60"/>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Rimandocommento">
    <w:name w:val="annotation reference"/>
    <w:uiPriority w:val="99"/>
    <w:semiHidden/>
    <w:unhideWhenUsed/>
    <w:rsid w:val="00AC06BE"/>
    <w:rPr>
      <w:sz w:val="16"/>
      <w:szCs w:val="16"/>
    </w:rPr>
  </w:style>
  <w:style w:type="paragraph" w:styleId="Testocommento">
    <w:name w:val="annotation text"/>
    <w:basedOn w:val="Normale"/>
    <w:link w:val="TestocommentoCarattere"/>
    <w:uiPriority w:val="99"/>
    <w:semiHidden/>
    <w:unhideWhenUsed/>
    <w:qFormat/>
    <w:rsid w:val="00AC06BE"/>
    <w:rPr>
      <w:sz w:val="20"/>
    </w:rPr>
  </w:style>
  <w:style w:type="character" w:customStyle="1" w:styleId="TestocommentoCarattere">
    <w:name w:val="Testo commento Carattere"/>
    <w:basedOn w:val="Carpredefinitoparagrafo"/>
    <w:link w:val="Testocommento"/>
    <w:uiPriority w:val="99"/>
    <w:semiHidden/>
    <w:rsid w:val="00AC06BE"/>
  </w:style>
  <w:style w:type="paragraph" w:styleId="Soggettocommento">
    <w:name w:val="annotation subject"/>
    <w:basedOn w:val="Testocommento"/>
    <w:next w:val="Testocommento"/>
    <w:link w:val="SoggettocommentoCarattere"/>
    <w:uiPriority w:val="99"/>
    <w:semiHidden/>
    <w:unhideWhenUsed/>
    <w:qFormat/>
    <w:rsid w:val="00AC06BE"/>
    <w:rPr>
      <w:b/>
      <w:bCs/>
      <w:lang w:val="x-none" w:eastAsia="x-none"/>
    </w:rPr>
  </w:style>
  <w:style w:type="character" w:customStyle="1" w:styleId="SoggettocommentoCarattere">
    <w:name w:val="Soggetto commento Carattere"/>
    <w:link w:val="Soggettocommento"/>
    <w:uiPriority w:val="99"/>
    <w:semiHidden/>
    <w:rsid w:val="00AC06BE"/>
    <w:rPr>
      <w:b/>
      <w:bCs/>
    </w:rPr>
  </w:style>
  <w:style w:type="paragraph" w:customStyle="1" w:styleId="Default">
    <w:name w:val="Default"/>
    <w:uiPriority w:val="99"/>
    <w:qFormat/>
    <w:rsid w:val="004332DC"/>
    <w:pPr>
      <w:autoSpaceDE w:val="0"/>
      <w:autoSpaceDN w:val="0"/>
      <w:adjustRightInd w:val="0"/>
    </w:pPr>
    <w:rPr>
      <w:rFonts w:ascii="Calibri" w:hAnsi="Calibri" w:cs="Calibri"/>
      <w:color w:val="000000"/>
      <w:sz w:val="24"/>
      <w:szCs w:val="24"/>
    </w:rPr>
  </w:style>
  <w:style w:type="paragraph" w:customStyle="1" w:styleId="Sfondoacolori-Colore12">
    <w:name w:val="Sfondo a colori - Colore 12"/>
    <w:hidden/>
    <w:uiPriority w:val="99"/>
    <w:semiHidden/>
    <w:rsid w:val="00982F76"/>
    <w:rPr>
      <w:sz w:val="24"/>
    </w:rPr>
  </w:style>
  <w:style w:type="numbering" w:customStyle="1" w:styleId="Nessunelenco1">
    <w:name w:val="Nessun elenco1"/>
    <w:next w:val="Nessunelenco"/>
    <w:semiHidden/>
    <w:rsid w:val="005B0632"/>
  </w:style>
  <w:style w:type="character" w:customStyle="1" w:styleId="TestonotaapidipaginaCarattere1">
    <w:name w:val="Testo nota a piè di pagina Carattere1"/>
    <w:aliases w:val="Footnote Carattere1,Footnote1 Carattere1,Footnote2 Carattere1,Footnote3 Carattere1,Footnote4 Carattere1,Footnote5 Carattere1,Footnote6 Carattere1,Footnote7 Carattere1,Footnote8 Carattere1,Footnote9 Carattere1"/>
    <w:uiPriority w:val="99"/>
    <w:rsid w:val="005B0632"/>
    <w:rPr>
      <w:lang w:val="it-IT" w:eastAsia="it-IT" w:bidi="ar-SA"/>
    </w:rPr>
  </w:style>
  <w:style w:type="character" w:customStyle="1" w:styleId="Titolo2Carattere">
    <w:name w:val="Titolo 2 Carattere"/>
    <w:link w:val="Titolo2"/>
    <w:rsid w:val="005B0632"/>
    <w:rPr>
      <w:b/>
      <w:sz w:val="24"/>
    </w:rPr>
  </w:style>
  <w:style w:type="paragraph" w:styleId="Nessunaspaziatura">
    <w:name w:val="No Spacing"/>
    <w:uiPriority w:val="1"/>
    <w:qFormat/>
    <w:rsid w:val="005B0632"/>
    <w:rPr>
      <w:sz w:val="24"/>
      <w:szCs w:val="24"/>
    </w:rPr>
  </w:style>
  <w:style w:type="character" w:customStyle="1" w:styleId="xtd-normal">
    <w:name w:val="xtd-normal"/>
    <w:basedOn w:val="Carpredefinitoparagrafo"/>
    <w:rsid w:val="005B0632"/>
  </w:style>
  <w:style w:type="character" w:customStyle="1" w:styleId="testoapp">
    <w:name w:val="testo_app"/>
    <w:basedOn w:val="Carpredefinitoparagrafo"/>
    <w:rsid w:val="005B0632"/>
  </w:style>
  <w:style w:type="character" w:customStyle="1" w:styleId="Titolo1Carattere">
    <w:name w:val="Titolo 1 Carattere"/>
    <w:aliases w:val="Titolo capitolo Carattere"/>
    <w:link w:val="Titolo1"/>
    <w:rsid w:val="005765D3"/>
    <w:rPr>
      <w:b/>
      <w:sz w:val="24"/>
    </w:rPr>
  </w:style>
  <w:style w:type="character" w:customStyle="1" w:styleId="Titolo3Carattere">
    <w:name w:val="Titolo 3 Carattere"/>
    <w:link w:val="Titolo3"/>
    <w:rsid w:val="005765D3"/>
    <w:rPr>
      <w:b/>
      <w:sz w:val="22"/>
    </w:rPr>
  </w:style>
  <w:style w:type="character" w:customStyle="1" w:styleId="Titolo7Carattere">
    <w:name w:val="Titolo 7 Carattere"/>
    <w:link w:val="Titolo7"/>
    <w:uiPriority w:val="99"/>
    <w:rsid w:val="005765D3"/>
    <w:rPr>
      <w:rFonts w:ascii="Arial" w:hAnsi="Arial"/>
      <w:b/>
      <w:sz w:val="18"/>
    </w:rPr>
  </w:style>
  <w:style w:type="character" w:customStyle="1" w:styleId="Titolo8Carattere">
    <w:name w:val="Titolo 8 Carattere"/>
    <w:link w:val="Titolo8"/>
    <w:uiPriority w:val="99"/>
    <w:rsid w:val="005765D3"/>
    <w:rPr>
      <w:rFonts w:ascii="MyriadPro-It" w:hAnsi="MyriadPro-It"/>
      <w:snapToGrid w:val="0"/>
      <w:sz w:val="36"/>
    </w:rPr>
  </w:style>
  <w:style w:type="character" w:customStyle="1" w:styleId="Titolo9Carattere">
    <w:name w:val="Titolo 9 Carattere"/>
    <w:link w:val="Titolo9"/>
    <w:uiPriority w:val="99"/>
    <w:rsid w:val="005765D3"/>
    <w:rPr>
      <w:rFonts w:ascii="Arial" w:hAnsi="Arial"/>
      <w:b/>
      <w:snapToGrid w:val="0"/>
      <w:sz w:val="32"/>
    </w:rPr>
  </w:style>
  <w:style w:type="character" w:customStyle="1" w:styleId="CorpotestoCarattere">
    <w:name w:val="Corpo testo Carattere"/>
    <w:aliases w:val="Text Carattere1,bt Carattere1,BODY TEXT Carattere1,body text Carattere1,t Carattere1,Block text Carattere1,heading_txt Carattere1,bodytxy2 Carattere1,Para Carattere1,EHPT Carattere1,Body Text2 Carattere1,bt1 Carattere1,BT Carattere"/>
    <w:link w:val="Corpotesto"/>
    <w:semiHidden/>
    <w:rsid w:val="005765D3"/>
    <w:rPr>
      <w:sz w:val="28"/>
    </w:rPr>
  </w:style>
  <w:style w:type="character" w:customStyle="1" w:styleId="Corpodeltesto2Carattere">
    <w:name w:val="Corpo del testo 2 Carattere"/>
    <w:link w:val="Corpodeltesto2"/>
    <w:uiPriority w:val="99"/>
    <w:semiHidden/>
    <w:rsid w:val="005765D3"/>
    <w:rPr>
      <w:sz w:val="26"/>
    </w:rPr>
  </w:style>
  <w:style w:type="character" w:customStyle="1" w:styleId="TitoloCarattere">
    <w:name w:val="Titolo Carattere"/>
    <w:link w:val="Titolo"/>
    <w:uiPriority w:val="99"/>
    <w:rsid w:val="005765D3"/>
    <w:rPr>
      <w:i/>
      <w:sz w:val="26"/>
    </w:rPr>
  </w:style>
  <w:style w:type="character" w:customStyle="1" w:styleId="SottotitoloCarattere">
    <w:name w:val="Sottotitolo Carattere"/>
    <w:link w:val="Sottotitolo"/>
    <w:uiPriority w:val="99"/>
    <w:rsid w:val="005765D3"/>
    <w:rPr>
      <w:b/>
      <w:sz w:val="32"/>
    </w:rPr>
  </w:style>
  <w:style w:type="character" w:customStyle="1" w:styleId="MappadocumentoCarattere">
    <w:name w:val="Mappa documento Carattere"/>
    <w:link w:val="Mappadocumento"/>
    <w:uiPriority w:val="99"/>
    <w:semiHidden/>
    <w:rsid w:val="005765D3"/>
    <w:rPr>
      <w:rFonts w:ascii="Tahoma" w:hAnsi="Tahoma"/>
      <w:sz w:val="24"/>
      <w:shd w:val="clear" w:color="auto" w:fill="000080"/>
    </w:rPr>
  </w:style>
  <w:style w:type="character" w:customStyle="1" w:styleId="Corpodeltesto3Carattere">
    <w:name w:val="Corpo del testo 3 Carattere"/>
    <w:link w:val="Corpodeltesto3"/>
    <w:uiPriority w:val="99"/>
    <w:rsid w:val="005765D3"/>
    <w:rPr>
      <w:i/>
      <w:sz w:val="24"/>
    </w:rPr>
  </w:style>
  <w:style w:type="character" w:customStyle="1" w:styleId="RientrocorpodeltestoCarattere1">
    <w:name w:val="Rientro corpo del testo Carattere1"/>
    <w:uiPriority w:val="99"/>
    <w:semiHidden/>
    <w:rsid w:val="005765D3"/>
    <w:rPr>
      <w:sz w:val="24"/>
    </w:rPr>
  </w:style>
  <w:style w:type="character" w:customStyle="1" w:styleId="Rientrocorpodeltesto2Carattere1">
    <w:name w:val="Rientro corpo del testo 2 Carattere1"/>
    <w:uiPriority w:val="99"/>
    <w:semiHidden/>
    <w:rsid w:val="005765D3"/>
    <w:rPr>
      <w:sz w:val="24"/>
    </w:rPr>
  </w:style>
  <w:style w:type="character" w:customStyle="1" w:styleId="Rientrocorpodeltesto3Carattere1">
    <w:name w:val="Rientro corpo del testo 3 Carattere1"/>
    <w:uiPriority w:val="99"/>
    <w:semiHidden/>
    <w:rsid w:val="005765D3"/>
    <w:rPr>
      <w:sz w:val="16"/>
      <w:szCs w:val="16"/>
    </w:rPr>
  </w:style>
  <w:style w:type="character" w:customStyle="1" w:styleId="TestofumettoCarattere1">
    <w:name w:val="Testo fumetto Carattere1"/>
    <w:uiPriority w:val="99"/>
    <w:semiHidden/>
    <w:rsid w:val="005765D3"/>
    <w:rPr>
      <w:rFonts w:ascii="Segoe UI" w:hAnsi="Segoe UI" w:cs="Segoe UI"/>
      <w:sz w:val="18"/>
      <w:szCs w:val="18"/>
    </w:rPr>
  </w:style>
  <w:style w:type="character" w:customStyle="1" w:styleId="apple-converted-space">
    <w:name w:val="apple-converted-space"/>
    <w:rsid w:val="005765D3"/>
  </w:style>
  <w:style w:type="paragraph" w:styleId="Revisione">
    <w:name w:val="Revision"/>
    <w:hidden/>
    <w:uiPriority w:val="99"/>
    <w:semiHidden/>
    <w:qFormat/>
    <w:rsid w:val="005765D3"/>
    <w:rPr>
      <w:sz w:val="24"/>
    </w:rPr>
  </w:style>
  <w:style w:type="character" w:styleId="Collegamentovisitato">
    <w:name w:val="FollowedHyperlink"/>
    <w:uiPriority w:val="99"/>
    <w:semiHidden/>
    <w:unhideWhenUsed/>
    <w:rsid w:val="008358D9"/>
    <w:rPr>
      <w:color w:val="954F72"/>
      <w:u w:val="single"/>
    </w:rPr>
  </w:style>
  <w:style w:type="paragraph" w:customStyle="1" w:styleId="Grigliachiara-Colore31">
    <w:name w:val="Griglia chiara - Colore 31"/>
    <w:basedOn w:val="Normale"/>
    <w:uiPriority w:val="99"/>
    <w:qFormat/>
    <w:rsid w:val="00D97E0B"/>
    <w:pPr>
      <w:spacing w:after="200" w:line="276" w:lineRule="auto"/>
      <w:ind w:left="720"/>
    </w:pPr>
    <w:rPr>
      <w:rFonts w:ascii="Calibri" w:eastAsia="Calibri" w:hAnsi="Calibri"/>
      <w:sz w:val="22"/>
    </w:rPr>
  </w:style>
  <w:style w:type="paragraph" w:customStyle="1" w:styleId="Sfondoacolori-Colore11">
    <w:name w:val="Sfondo a colori - Colore 11"/>
    <w:hidden/>
    <w:uiPriority w:val="99"/>
    <w:semiHidden/>
    <w:qFormat/>
    <w:rsid w:val="00D97E0B"/>
    <w:rPr>
      <w:sz w:val="24"/>
    </w:rPr>
  </w:style>
  <w:style w:type="character" w:styleId="Menzionenonrisolta">
    <w:name w:val="Unresolved Mention"/>
    <w:uiPriority w:val="99"/>
    <w:semiHidden/>
    <w:unhideWhenUsed/>
    <w:rsid w:val="00D97E0B"/>
    <w:rPr>
      <w:color w:val="605E5C"/>
      <w:shd w:val="clear" w:color="auto" w:fill="E1DFDD"/>
    </w:rPr>
  </w:style>
  <w:style w:type="paragraph" w:customStyle="1" w:styleId="1">
    <w:name w:val="1"/>
    <w:basedOn w:val="Normale"/>
    <w:next w:val="Corpotesto"/>
    <w:link w:val="CorpodeltestoCarattere"/>
    <w:rsid w:val="000C3EE4"/>
    <w:rPr>
      <w:sz w:val="28"/>
    </w:rPr>
  </w:style>
  <w:style w:type="character" w:customStyle="1" w:styleId="CorpodeltestoCarattere">
    <w:name w:val="Corpo del testo Carattere"/>
    <w:aliases w:val="Text Carattere,bt Carattere,BODY TEXT Carattere,body text Carattere,t Carattere,Block text Carattere,heading_txt Carattere,bodytxy2 Carattere,Para Carattere,EHPT Carattere,Body Text2 Carattere,bt1 Carattere,bodytext Carattere"/>
    <w:link w:val="1"/>
    <w:rsid w:val="000C3EE4"/>
    <w:rPr>
      <w:sz w:val="28"/>
    </w:rPr>
  </w:style>
  <w:style w:type="character" w:customStyle="1" w:styleId="Menzionenonrisolta1">
    <w:name w:val="Menzione non risolta1"/>
    <w:uiPriority w:val="99"/>
    <w:semiHidden/>
    <w:unhideWhenUsed/>
    <w:rsid w:val="000C3EE4"/>
    <w:rPr>
      <w:color w:val="605E5C"/>
      <w:shd w:val="clear" w:color="auto" w:fill="E1DFDD"/>
    </w:rPr>
  </w:style>
  <w:style w:type="character" w:customStyle="1" w:styleId="Titolo1Carattere1">
    <w:name w:val="Titolo 1 Carattere1"/>
    <w:aliases w:val="Titolo capitolo Carattere1"/>
    <w:rsid w:val="00DF30BC"/>
    <w:rPr>
      <w:rFonts w:ascii="Calibri Light" w:eastAsia="Times New Roman" w:hAnsi="Calibri Light" w:cs="Times New Roman"/>
      <w:color w:val="2F5496"/>
      <w:sz w:val="32"/>
      <w:szCs w:val="32"/>
    </w:rPr>
  </w:style>
  <w:style w:type="paragraph" w:customStyle="1" w:styleId="msonormal0">
    <w:name w:val="msonormal"/>
    <w:basedOn w:val="Normale"/>
    <w:uiPriority w:val="99"/>
    <w:semiHidden/>
    <w:qFormat/>
    <w:rsid w:val="00DF30BC"/>
    <w:pPr>
      <w:spacing w:before="100" w:beforeAutospacing="1" w:after="100" w:afterAutospacing="1"/>
    </w:pPr>
  </w:style>
  <w:style w:type="paragraph" w:customStyle="1" w:styleId="Stile7">
    <w:name w:val="Stile7"/>
    <w:basedOn w:val="Didascalia"/>
    <w:next w:val="Normale"/>
    <w:uiPriority w:val="99"/>
    <w:semiHidden/>
    <w:qFormat/>
    <w:rsid w:val="00DF30BC"/>
    <w:pPr>
      <w:spacing w:after="0"/>
    </w:pPr>
    <w:rPr>
      <w:b/>
      <w:bCs/>
      <w:i w:val="0"/>
    </w:rPr>
  </w:style>
  <w:style w:type="paragraph" w:customStyle="1" w:styleId="Testo">
    <w:name w:val="Testo"/>
    <w:basedOn w:val="Corpotesto"/>
    <w:uiPriority w:val="99"/>
    <w:semiHidden/>
    <w:qFormat/>
    <w:rsid w:val="00DF30BC"/>
    <w:pPr>
      <w:spacing w:line="360" w:lineRule="auto"/>
      <w:jc w:val="both"/>
    </w:pPr>
    <w:rPr>
      <w:rFonts w:ascii="Trebuchet MS" w:hAnsi="Trebuchet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61173299">
      <w:bodyDiv w:val="1"/>
      <w:marLeft w:val="0"/>
      <w:marRight w:val="0"/>
      <w:marTop w:val="0"/>
      <w:marBottom w:val="0"/>
      <w:divBdr>
        <w:top w:val="none" w:sz="0" w:space="0" w:color="auto"/>
        <w:left w:val="none" w:sz="0" w:space="0" w:color="auto"/>
        <w:bottom w:val="none" w:sz="0" w:space="0" w:color="auto"/>
        <w:right w:val="none" w:sz="0" w:space="0" w:color="auto"/>
      </w:divBdr>
    </w:div>
    <w:div w:id="68431857">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148718274">
      <w:bodyDiv w:val="1"/>
      <w:marLeft w:val="0"/>
      <w:marRight w:val="0"/>
      <w:marTop w:val="0"/>
      <w:marBottom w:val="0"/>
      <w:divBdr>
        <w:top w:val="none" w:sz="0" w:space="0" w:color="auto"/>
        <w:left w:val="none" w:sz="0" w:space="0" w:color="auto"/>
        <w:bottom w:val="none" w:sz="0" w:space="0" w:color="auto"/>
        <w:right w:val="none" w:sz="0" w:space="0" w:color="auto"/>
      </w:divBdr>
    </w:div>
    <w:div w:id="151676983">
      <w:bodyDiv w:val="1"/>
      <w:marLeft w:val="0"/>
      <w:marRight w:val="0"/>
      <w:marTop w:val="0"/>
      <w:marBottom w:val="0"/>
      <w:divBdr>
        <w:top w:val="none" w:sz="0" w:space="0" w:color="auto"/>
        <w:left w:val="none" w:sz="0" w:space="0" w:color="auto"/>
        <w:bottom w:val="none" w:sz="0" w:space="0" w:color="auto"/>
        <w:right w:val="none" w:sz="0" w:space="0" w:color="auto"/>
      </w:divBdr>
    </w:div>
    <w:div w:id="163669108">
      <w:bodyDiv w:val="1"/>
      <w:marLeft w:val="0"/>
      <w:marRight w:val="0"/>
      <w:marTop w:val="0"/>
      <w:marBottom w:val="0"/>
      <w:divBdr>
        <w:top w:val="none" w:sz="0" w:space="0" w:color="auto"/>
        <w:left w:val="none" w:sz="0" w:space="0" w:color="auto"/>
        <w:bottom w:val="none" w:sz="0" w:space="0" w:color="auto"/>
        <w:right w:val="none" w:sz="0" w:space="0" w:color="auto"/>
      </w:divBdr>
    </w:div>
    <w:div w:id="183177086">
      <w:bodyDiv w:val="1"/>
      <w:marLeft w:val="0"/>
      <w:marRight w:val="0"/>
      <w:marTop w:val="0"/>
      <w:marBottom w:val="0"/>
      <w:divBdr>
        <w:top w:val="none" w:sz="0" w:space="0" w:color="auto"/>
        <w:left w:val="none" w:sz="0" w:space="0" w:color="auto"/>
        <w:bottom w:val="none" w:sz="0" w:space="0" w:color="auto"/>
        <w:right w:val="none" w:sz="0" w:space="0" w:color="auto"/>
      </w:divBdr>
    </w:div>
    <w:div w:id="255528665">
      <w:bodyDiv w:val="1"/>
      <w:marLeft w:val="0"/>
      <w:marRight w:val="0"/>
      <w:marTop w:val="0"/>
      <w:marBottom w:val="0"/>
      <w:divBdr>
        <w:top w:val="none" w:sz="0" w:space="0" w:color="auto"/>
        <w:left w:val="none" w:sz="0" w:space="0" w:color="auto"/>
        <w:bottom w:val="none" w:sz="0" w:space="0" w:color="auto"/>
        <w:right w:val="none" w:sz="0" w:space="0" w:color="auto"/>
      </w:divBdr>
    </w:div>
    <w:div w:id="278033627">
      <w:bodyDiv w:val="1"/>
      <w:marLeft w:val="0"/>
      <w:marRight w:val="0"/>
      <w:marTop w:val="0"/>
      <w:marBottom w:val="0"/>
      <w:divBdr>
        <w:top w:val="none" w:sz="0" w:space="0" w:color="auto"/>
        <w:left w:val="none" w:sz="0" w:space="0" w:color="auto"/>
        <w:bottom w:val="none" w:sz="0" w:space="0" w:color="auto"/>
        <w:right w:val="none" w:sz="0" w:space="0" w:color="auto"/>
      </w:divBdr>
    </w:div>
    <w:div w:id="286550066">
      <w:bodyDiv w:val="1"/>
      <w:marLeft w:val="0"/>
      <w:marRight w:val="0"/>
      <w:marTop w:val="0"/>
      <w:marBottom w:val="0"/>
      <w:divBdr>
        <w:top w:val="none" w:sz="0" w:space="0" w:color="auto"/>
        <w:left w:val="none" w:sz="0" w:space="0" w:color="auto"/>
        <w:bottom w:val="none" w:sz="0" w:space="0" w:color="auto"/>
        <w:right w:val="none" w:sz="0" w:space="0" w:color="auto"/>
      </w:divBdr>
    </w:div>
    <w:div w:id="320430318">
      <w:bodyDiv w:val="1"/>
      <w:marLeft w:val="0"/>
      <w:marRight w:val="0"/>
      <w:marTop w:val="0"/>
      <w:marBottom w:val="0"/>
      <w:divBdr>
        <w:top w:val="none" w:sz="0" w:space="0" w:color="auto"/>
        <w:left w:val="none" w:sz="0" w:space="0" w:color="auto"/>
        <w:bottom w:val="none" w:sz="0" w:space="0" w:color="auto"/>
        <w:right w:val="none" w:sz="0" w:space="0" w:color="auto"/>
      </w:divBdr>
    </w:div>
    <w:div w:id="329675830">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338779882">
      <w:bodyDiv w:val="1"/>
      <w:marLeft w:val="0"/>
      <w:marRight w:val="0"/>
      <w:marTop w:val="0"/>
      <w:marBottom w:val="0"/>
      <w:divBdr>
        <w:top w:val="none" w:sz="0" w:space="0" w:color="auto"/>
        <w:left w:val="none" w:sz="0" w:space="0" w:color="auto"/>
        <w:bottom w:val="none" w:sz="0" w:space="0" w:color="auto"/>
        <w:right w:val="none" w:sz="0" w:space="0" w:color="auto"/>
      </w:divBdr>
    </w:div>
    <w:div w:id="414590775">
      <w:bodyDiv w:val="1"/>
      <w:marLeft w:val="0"/>
      <w:marRight w:val="0"/>
      <w:marTop w:val="0"/>
      <w:marBottom w:val="0"/>
      <w:divBdr>
        <w:top w:val="none" w:sz="0" w:space="0" w:color="auto"/>
        <w:left w:val="none" w:sz="0" w:space="0" w:color="auto"/>
        <w:bottom w:val="none" w:sz="0" w:space="0" w:color="auto"/>
        <w:right w:val="none" w:sz="0" w:space="0" w:color="auto"/>
      </w:divBdr>
    </w:div>
    <w:div w:id="431898905">
      <w:bodyDiv w:val="1"/>
      <w:marLeft w:val="0"/>
      <w:marRight w:val="0"/>
      <w:marTop w:val="0"/>
      <w:marBottom w:val="0"/>
      <w:divBdr>
        <w:top w:val="none" w:sz="0" w:space="0" w:color="auto"/>
        <w:left w:val="none" w:sz="0" w:space="0" w:color="auto"/>
        <w:bottom w:val="none" w:sz="0" w:space="0" w:color="auto"/>
        <w:right w:val="none" w:sz="0" w:space="0" w:color="auto"/>
      </w:divBdr>
    </w:div>
    <w:div w:id="433987625">
      <w:bodyDiv w:val="1"/>
      <w:marLeft w:val="0"/>
      <w:marRight w:val="0"/>
      <w:marTop w:val="0"/>
      <w:marBottom w:val="0"/>
      <w:divBdr>
        <w:top w:val="none" w:sz="0" w:space="0" w:color="auto"/>
        <w:left w:val="none" w:sz="0" w:space="0" w:color="auto"/>
        <w:bottom w:val="none" w:sz="0" w:space="0" w:color="auto"/>
        <w:right w:val="none" w:sz="0" w:space="0" w:color="auto"/>
      </w:divBdr>
    </w:div>
    <w:div w:id="509879046">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9930">
      <w:bodyDiv w:val="1"/>
      <w:marLeft w:val="0"/>
      <w:marRight w:val="0"/>
      <w:marTop w:val="0"/>
      <w:marBottom w:val="0"/>
      <w:divBdr>
        <w:top w:val="none" w:sz="0" w:space="0" w:color="auto"/>
        <w:left w:val="none" w:sz="0" w:space="0" w:color="auto"/>
        <w:bottom w:val="none" w:sz="0" w:space="0" w:color="auto"/>
        <w:right w:val="none" w:sz="0" w:space="0" w:color="auto"/>
      </w:divBdr>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578907334">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33605235">
      <w:bodyDiv w:val="1"/>
      <w:marLeft w:val="0"/>
      <w:marRight w:val="0"/>
      <w:marTop w:val="0"/>
      <w:marBottom w:val="0"/>
      <w:divBdr>
        <w:top w:val="none" w:sz="0" w:space="0" w:color="auto"/>
        <w:left w:val="none" w:sz="0" w:space="0" w:color="auto"/>
        <w:bottom w:val="none" w:sz="0" w:space="0" w:color="auto"/>
        <w:right w:val="none" w:sz="0" w:space="0" w:color="auto"/>
      </w:divBdr>
    </w:div>
    <w:div w:id="641421065">
      <w:bodyDiv w:val="1"/>
      <w:marLeft w:val="0"/>
      <w:marRight w:val="0"/>
      <w:marTop w:val="0"/>
      <w:marBottom w:val="0"/>
      <w:divBdr>
        <w:top w:val="none" w:sz="0" w:space="0" w:color="auto"/>
        <w:left w:val="none" w:sz="0" w:space="0" w:color="auto"/>
        <w:bottom w:val="none" w:sz="0" w:space="0" w:color="auto"/>
        <w:right w:val="none" w:sz="0" w:space="0" w:color="auto"/>
      </w:divBdr>
    </w:div>
    <w:div w:id="675422685">
      <w:bodyDiv w:val="1"/>
      <w:marLeft w:val="0"/>
      <w:marRight w:val="0"/>
      <w:marTop w:val="0"/>
      <w:marBottom w:val="0"/>
      <w:divBdr>
        <w:top w:val="none" w:sz="0" w:space="0" w:color="auto"/>
        <w:left w:val="none" w:sz="0" w:space="0" w:color="auto"/>
        <w:bottom w:val="none" w:sz="0" w:space="0" w:color="auto"/>
        <w:right w:val="none" w:sz="0" w:space="0" w:color="auto"/>
      </w:divBdr>
    </w:div>
    <w:div w:id="701394161">
      <w:bodyDiv w:val="1"/>
      <w:marLeft w:val="0"/>
      <w:marRight w:val="0"/>
      <w:marTop w:val="0"/>
      <w:marBottom w:val="0"/>
      <w:divBdr>
        <w:top w:val="none" w:sz="0" w:space="0" w:color="auto"/>
        <w:left w:val="none" w:sz="0" w:space="0" w:color="auto"/>
        <w:bottom w:val="none" w:sz="0" w:space="0" w:color="auto"/>
        <w:right w:val="none" w:sz="0" w:space="0" w:color="auto"/>
      </w:divBdr>
    </w:div>
    <w:div w:id="711265555">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844251842">
      <w:bodyDiv w:val="1"/>
      <w:marLeft w:val="0"/>
      <w:marRight w:val="0"/>
      <w:marTop w:val="0"/>
      <w:marBottom w:val="0"/>
      <w:divBdr>
        <w:top w:val="none" w:sz="0" w:space="0" w:color="auto"/>
        <w:left w:val="none" w:sz="0" w:space="0" w:color="auto"/>
        <w:bottom w:val="none" w:sz="0" w:space="0" w:color="auto"/>
        <w:right w:val="none" w:sz="0" w:space="0" w:color="auto"/>
      </w:divBdr>
    </w:div>
    <w:div w:id="857234145">
      <w:bodyDiv w:val="1"/>
      <w:marLeft w:val="0"/>
      <w:marRight w:val="0"/>
      <w:marTop w:val="0"/>
      <w:marBottom w:val="0"/>
      <w:divBdr>
        <w:top w:val="none" w:sz="0" w:space="0" w:color="auto"/>
        <w:left w:val="none" w:sz="0" w:space="0" w:color="auto"/>
        <w:bottom w:val="none" w:sz="0" w:space="0" w:color="auto"/>
        <w:right w:val="none" w:sz="0" w:space="0" w:color="auto"/>
      </w:divBdr>
    </w:div>
    <w:div w:id="857277043">
      <w:bodyDiv w:val="1"/>
      <w:marLeft w:val="0"/>
      <w:marRight w:val="0"/>
      <w:marTop w:val="0"/>
      <w:marBottom w:val="0"/>
      <w:divBdr>
        <w:top w:val="none" w:sz="0" w:space="0" w:color="auto"/>
        <w:left w:val="none" w:sz="0" w:space="0" w:color="auto"/>
        <w:bottom w:val="none" w:sz="0" w:space="0" w:color="auto"/>
        <w:right w:val="none" w:sz="0" w:space="0" w:color="auto"/>
      </w:divBdr>
    </w:div>
    <w:div w:id="878275323">
      <w:bodyDiv w:val="1"/>
      <w:marLeft w:val="0"/>
      <w:marRight w:val="0"/>
      <w:marTop w:val="0"/>
      <w:marBottom w:val="0"/>
      <w:divBdr>
        <w:top w:val="none" w:sz="0" w:space="0" w:color="auto"/>
        <w:left w:val="none" w:sz="0" w:space="0" w:color="auto"/>
        <w:bottom w:val="none" w:sz="0" w:space="0" w:color="auto"/>
        <w:right w:val="none" w:sz="0" w:space="0" w:color="auto"/>
      </w:divBdr>
    </w:div>
    <w:div w:id="880094180">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915556763">
      <w:bodyDiv w:val="1"/>
      <w:marLeft w:val="0"/>
      <w:marRight w:val="0"/>
      <w:marTop w:val="0"/>
      <w:marBottom w:val="0"/>
      <w:divBdr>
        <w:top w:val="none" w:sz="0" w:space="0" w:color="auto"/>
        <w:left w:val="none" w:sz="0" w:space="0" w:color="auto"/>
        <w:bottom w:val="none" w:sz="0" w:space="0" w:color="auto"/>
        <w:right w:val="none" w:sz="0" w:space="0" w:color="auto"/>
      </w:divBdr>
    </w:div>
    <w:div w:id="991517530">
      <w:bodyDiv w:val="1"/>
      <w:marLeft w:val="0"/>
      <w:marRight w:val="0"/>
      <w:marTop w:val="0"/>
      <w:marBottom w:val="0"/>
      <w:divBdr>
        <w:top w:val="none" w:sz="0" w:space="0" w:color="auto"/>
        <w:left w:val="none" w:sz="0" w:space="0" w:color="auto"/>
        <w:bottom w:val="none" w:sz="0" w:space="0" w:color="auto"/>
        <w:right w:val="none" w:sz="0" w:space="0" w:color="auto"/>
      </w:divBdr>
    </w:div>
    <w:div w:id="999889395">
      <w:bodyDiv w:val="1"/>
      <w:marLeft w:val="0"/>
      <w:marRight w:val="0"/>
      <w:marTop w:val="0"/>
      <w:marBottom w:val="0"/>
      <w:divBdr>
        <w:top w:val="none" w:sz="0" w:space="0" w:color="auto"/>
        <w:left w:val="none" w:sz="0" w:space="0" w:color="auto"/>
        <w:bottom w:val="none" w:sz="0" w:space="0" w:color="auto"/>
        <w:right w:val="none" w:sz="0" w:space="0" w:color="auto"/>
      </w:divBdr>
    </w:div>
    <w:div w:id="1026491287">
      <w:bodyDiv w:val="1"/>
      <w:marLeft w:val="0"/>
      <w:marRight w:val="0"/>
      <w:marTop w:val="0"/>
      <w:marBottom w:val="0"/>
      <w:divBdr>
        <w:top w:val="none" w:sz="0" w:space="0" w:color="auto"/>
        <w:left w:val="none" w:sz="0" w:space="0" w:color="auto"/>
        <w:bottom w:val="none" w:sz="0" w:space="0" w:color="auto"/>
        <w:right w:val="none" w:sz="0" w:space="0" w:color="auto"/>
      </w:divBdr>
    </w:div>
    <w:div w:id="1026828853">
      <w:bodyDiv w:val="1"/>
      <w:marLeft w:val="0"/>
      <w:marRight w:val="0"/>
      <w:marTop w:val="0"/>
      <w:marBottom w:val="0"/>
      <w:divBdr>
        <w:top w:val="none" w:sz="0" w:space="0" w:color="auto"/>
        <w:left w:val="none" w:sz="0" w:space="0" w:color="auto"/>
        <w:bottom w:val="none" w:sz="0" w:space="0" w:color="auto"/>
        <w:right w:val="none" w:sz="0" w:space="0" w:color="auto"/>
      </w:divBdr>
    </w:div>
    <w:div w:id="1049570866">
      <w:bodyDiv w:val="1"/>
      <w:marLeft w:val="0"/>
      <w:marRight w:val="0"/>
      <w:marTop w:val="0"/>
      <w:marBottom w:val="0"/>
      <w:divBdr>
        <w:top w:val="none" w:sz="0" w:space="0" w:color="auto"/>
        <w:left w:val="none" w:sz="0" w:space="0" w:color="auto"/>
        <w:bottom w:val="none" w:sz="0" w:space="0" w:color="auto"/>
        <w:right w:val="none" w:sz="0" w:space="0" w:color="auto"/>
      </w:divBdr>
    </w:div>
    <w:div w:id="1101685201">
      <w:bodyDiv w:val="1"/>
      <w:marLeft w:val="0"/>
      <w:marRight w:val="0"/>
      <w:marTop w:val="0"/>
      <w:marBottom w:val="0"/>
      <w:divBdr>
        <w:top w:val="none" w:sz="0" w:space="0" w:color="auto"/>
        <w:left w:val="none" w:sz="0" w:space="0" w:color="auto"/>
        <w:bottom w:val="none" w:sz="0" w:space="0" w:color="auto"/>
        <w:right w:val="none" w:sz="0" w:space="0" w:color="auto"/>
      </w:divBdr>
    </w:div>
    <w:div w:id="1136753718">
      <w:bodyDiv w:val="1"/>
      <w:marLeft w:val="0"/>
      <w:marRight w:val="0"/>
      <w:marTop w:val="0"/>
      <w:marBottom w:val="0"/>
      <w:divBdr>
        <w:top w:val="none" w:sz="0" w:space="0" w:color="auto"/>
        <w:left w:val="none" w:sz="0" w:space="0" w:color="auto"/>
        <w:bottom w:val="none" w:sz="0" w:space="0" w:color="auto"/>
        <w:right w:val="none" w:sz="0" w:space="0" w:color="auto"/>
      </w:divBdr>
    </w:div>
    <w:div w:id="1183859649">
      <w:bodyDiv w:val="1"/>
      <w:marLeft w:val="0"/>
      <w:marRight w:val="0"/>
      <w:marTop w:val="0"/>
      <w:marBottom w:val="0"/>
      <w:divBdr>
        <w:top w:val="none" w:sz="0" w:space="0" w:color="auto"/>
        <w:left w:val="none" w:sz="0" w:space="0" w:color="auto"/>
        <w:bottom w:val="none" w:sz="0" w:space="0" w:color="auto"/>
        <w:right w:val="none" w:sz="0" w:space="0" w:color="auto"/>
      </w:divBdr>
    </w:div>
    <w:div w:id="1184980765">
      <w:bodyDiv w:val="1"/>
      <w:marLeft w:val="0"/>
      <w:marRight w:val="0"/>
      <w:marTop w:val="0"/>
      <w:marBottom w:val="0"/>
      <w:divBdr>
        <w:top w:val="none" w:sz="0" w:space="0" w:color="auto"/>
        <w:left w:val="none" w:sz="0" w:space="0" w:color="auto"/>
        <w:bottom w:val="none" w:sz="0" w:space="0" w:color="auto"/>
        <w:right w:val="none" w:sz="0" w:space="0" w:color="auto"/>
      </w:divBdr>
    </w:div>
    <w:div w:id="1194921894">
      <w:bodyDiv w:val="1"/>
      <w:marLeft w:val="0"/>
      <w:marRight w:val="0"/>
      <w:marTop w:val="0"/>
      <w:marBottom w:val="0"/>
      <w:divBdr>
        <w:top w:val="none" w:sz="0" w:space="0" w:color="auto"/>
        <w:left w:val="none" w:sz="0" w:space="0" w:color="auto"/>
        <w:bottom w:val="none" w:sz="0" w:space="0" w:color="auto"/>
        <w:right w:val="none" w:sz="0" w:space="0" w:color="auto"/>
      </w:divBdr>
    </w:div>
    <w:div w:id="1201093559">
      <w:bodyDiv w:val="1"/>
      <w:marLeft w:val="0"/>
      <w:marRight w:val="0"/>
      <w:marTop w:val="0"/>
      <w:marBottom w:val="0"/>
      <w:divBdr>
        <w:top w:val="none" w:sz="0" w:space="0" w:color="auto"/>
        <w:left w:val="none" w:sz="0" w:space="0" w:color="auto"/>
        <w:bottom w:val="none" w:sz="0" w:space="0" w:color="auto"/>
        <w:right w:val="none" w:sz="0" w:space="0" w:color="auto"/>
      </w:divBdr>
    </w:div>
    <w:div w:id="1248999859">
      <w:bodyDiv w:val="1"/>
      <w:marLeft w:val="0"/>
      <w:marRight w:val="0"/>
      <w:marTop w:val="0"/>
      <w:marBottom w:val="0"/>
      <w:divBdr>
        <w:top w:val="none" w:sz="0" w:space="0" w:color="auto"/>
        <w:left w:val="none" w:sz="0" w:space="0" w:color="auto"/>
        <w:bottom w:val="none" w:sz="0" w:space="0" w:color="auto"/>
        <w:right w:val="none" w:sz="0" w:space="0" w:color="auto"/>
      </w:divBdr>
    </w:div>
    <w:div w:id="1262690614">
      <w:bodyDiv w:val="1"/>
      <w:marLeft w:val="0"/>
      <w:marRight w:val="0"/>
      <w:marTop w:val="0"/>
      <w:marBottom w:val="0"/>
      <w:divBdr>
        <w:top w:val="none" w:sz="0" w:space="0" w:color="auto"/>
        <w:left w:val="none" w:sz="0" w:space="0" w:color="auto"/>
        <w:bottom w:val="none" w:sz="0" w:space="0" w:color="auto"/>
        <w:right w:val="none" w:sz="0" w:space="0" w:color="auto"/>
      </w:divBdr>
    </w:div>
    <w:div w:id="1330794063">
      <w:bodyDiv w:val="1"/>
      <w:marLeft w:val="0"/>
      <w:marRight w:val="0"/>
      <w:marTop w:val="0"/>
      <w:marBottom w:val="0"/>
      <w:divBdr>
        <w:top w:val="none" w:sz="0" w:space="0" w:color="auto"/>
        <w:left w:val="none" w:sz="0" w:space="0" w:color="auto"/>
        <w:bottom w:val="none" w:sz="0" w:space="0" w:color="auto"/>
        <w:right w:val="none" w:sz="0" w:space="0" w:color="auto"/>
      </w:divBdr>
    </w:div>
    <w:div w:id="1360275966">
      <w:bodyDiv w:val="1"/>
      <w:marLeft w:val="0"/>
      <w:marRight w:val="0"/>
      <w:marTop w:val="0"/>
      <w:marBottom w:val="0"/>
      <w:divBdr>
        <w:top w:val="none" w:sz="0" w:space="0" w:color="auto"/>
        <w:left w:val="none" w:sz="0" w:space="0" w:color="auto"/>
        <w:bottom w:val="none" w:sz="0" w:space="0" w:color="auto"/>
        <w:right w:val="none" w:sz="0" w:space="0" w:color="auto"/>
      </w:divBdr>
    </w:div>
    <w:div w:id="1369722168">
      <w:bodyDiv w:val="1"/>
      <w:marLeft w:val="0"/>
      <w:marRight w:val="0"/>
      <w:marTop w:val="0"/>
      <w:marBottom w:val="0"/>
      <w:divBdr>
        <w:top w:val="none" w:sz="0" w:space="0" w:color="auto"/>
        <w:left w:val="none" w:sz="0" w:space="0" w:color="auto"/>
        <w:bottom w:val="none" w:sz="0" w:space="0" w:color="auto"/>
        <w:right w:val="none" w:sz="0" w:space="0" w:color="auto"/>
      </w:divBdr>
    </w:div>
    <w:div w:id="1371295183">
      <w:bodyDiv w:val="1"/>
      <w:marLeft w:val="0"/>
      <w:marRight w:val="0"/>
      <w:marTop w:val="0"/>
      <w:marBottom w:val="0"/>
      <w:divBdr>
        <w:top w:val="none" w:sz="0" w:space="0" w:color="auto"/>
        <w:left w:val="none" w:sz="0" w:space="0" w:color="auto"/>
        <w:bottom w:val="none" w:sz="0" w:space="0" w:color="auto"/>
        <w:right w:val="none" w:sz="0" w:space="0" w:color="auto"/>
      </w:divBdr>
    </w:div>
    <w:div w:id="1377777012">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396777349">
      <w:bodyDiv w:val="1"/>
      <w:marLeft w:val="0"/>
      <w:marRight w:val="0"/>
      <w:marTop w:val="0"/>
      <w:marBottom w:val="0"/>
      <w:divBdr>
        <w:top w:val="none" w:sz="0" w:space="0" w:color="auto"/>
        <w:left w:val="none" w:sz="0" w:space="0" w:color="auto"/>
        <w:bottom w:val="none" w:sz="0" w:space="0" w:color="auto"/>
        <w:right w:val="none" w:sz="0" w:space="0" w:color="auto"/>
      </w:divBdr>
    </w:div>
    <w:div w:id="1415586128">
      <w:bodyDiv w:val="1"/>
      <w:marLeft w:val="0"/>
      <w:marRight w:val="0"/>
      <w:marTop w:val="0"/>
      <w:marBottom w:val="0"/>
      <w:divBdr>
        <w:top w:val="none" w:sz="0" w:space="0" w:color="auto"/>
        <w:left w:val="none" w:sz="0" w:space="0" w:color="auto"/>
        <w:bottom w:val="none" w:sz="0" w:space="0" w:color="auto"/>
        <w:right w:val="none" w:sz="0" w:space="0" w:color="auto"/>
      </w:divBdr>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440759397">
      <w:bodyDiv w:val="1"/>
      <w:marLeft w:val="0"/>
      <w:marRight w:val="0"/>
      <w:marTop w:val="0"/>
      <w:marBottom w:val="0"/>
      <w:divBdr>
        <w:top w:val="none" w:sz="0" w:space="0" w:color="auto"/>
        <w:left w:val="none" w:sz="0" w:space="0" w:color="auto"/>
        <w:bottom w:val="none" w:sz="0" w:space="0" w:color="auto"/>
        <w:right w:val="none" w:sz="0" w:space="0" w:color="auto"/>
      </w:divBdr>
    </w:div>
    <w:div w:id="1494645615">
      <w:bodyDiv w:val="1"/>
      <w:marLeft w:val="0"/>
      <w:marRight w:val="0"/>
      <w:marTop w:val="0"/>
      <w:marBottom w:val="0"/>
      <w:divBdr>
        <w:top w:val="none" w:sz="0" w:space="0" w:color="auto"/>
        <w:left w:val="none" w:sz="0" w:space="0" w:color="auto"/>
        <w:bottom w:val="none" w:sz="0" w:space="0" w:color="auto"/>
        <w:right w:val="none" w:sz="0" w:space="0" w:color="auto"/>
      </w:divBdr>
    </w:div>
    <w:div w:id="1520387513">
      <w:bodyDiv w:val="1"/>
      <w:marLeft w:val="0"/>
      <w:marRight w:val="0"/>
      <w:marTop w:val="0"/>
      <w:marBottom w:val="0"/>
      <w:divBdr>
        <w:top w:val="none" w:sz="0" w:space="0" w:color="auto"/>
        <w:left w:val="none" w:sz="0" w:space="0" w:color="auto"/>
        <w:bottom w:val="none" w:sz="0" w:space="0" w:color="auto"/>
        <w:right w:val="none" w:sz="0" w:space="0" w:color="auto"/>
      </w:divBdr>
    </w:div>
    <w:div w:id="1539201102">
      <w:bodyDiv w:val="1"/>
      <w:marLeft w:val="0"/>
      <w:marRight w:val="0"/>
      <w:marTop w:val="0"/>
      <w:marBottom w:val="0"/>
      <w:divBdr>
        <w:top w:val="none" w:sz="0" w:space="0" w:color="auto"/>
        <w:left w:val="none" w:sz="0" w:space="0" w:color="auto"/>
        <w:bottom w:val="none" w:sz="0" w:space="0" w:color="auto"/>
        <w:right w:val="none" w:sz="0" w:space="0" w:color="auto"/>
      </w:divBdr>
    </w:div>
    <w:div w:id="1563057057">
      <w:bodyDiv w:val="1"/>
      <w:marLeft w:val="0"/>
      <w:marRight w:val="0"/>
      <w:marTop w:val="0"/>
      <w:marBottom w:val="0"/>
      <w:divBdr>
        <w:top w:val="none" w:sz="0" w:space="0" w:color="auto"/>
        <w:left w:val="none" w:sz="0" w:space="0" w:color="auto"/>
        <w:bottom w:val="none" w:sz="0" w:space="0" w:color="auto"/>
        <w:right w:val="none" w:sz="0" w:space="0" w:color="auto"/>
      </w:divBdr>
    </w:div>
    <w:div w:id="1604725948">
      <w:bodyDiv w:val="1"/>
      <w:marLeft w:val="0"/>
      <w:marRight w:val="0"/>
      <w:marTop w:val="0"/>
      <w:marBottom w:val="0"/>
      <w:divBdr>
        <w:top w:val="none" w:sz="0" w:space="0" w:color="auto"/>
        <w:left w:val="none" w:sz="0" w:space="0" w:color="auto"/>
        <w:bottom w:val="none" w:sz="0" w:space="0" w:color="auto"/>
        <w:right w:val="none" w:sz="0" w:space="0" w:color="auto"/>
      </w:divBdr>
    </w:div>
    <w:div w:id="1634600095">
      <w:bodyDiv w:val="1"/>
      <w:marLeft w:val="0"/>
      <w:marRight w:val="0"/>
      <w:marTop w:val="0"/>
      <w:marBottom w:val="0"/>
      <w:divBdr>
        <w:top w:val="none" w:sz="0" w:space="0" w:color="auto"/>
        <w:left w:val="none" w:sz="0" w:space="0" w:color="auto"/>
        <w:bottom w:val="none" w:sz="0" w:space="0" w:color="auto"/>
        <w:right w:val="none" w:sz="0" w:space="0" w:color="auto"/>
      </w:divBdr>
    </w:div>
    <w:div w:id="1653871707">
      <w:bodyDiv w:val="1"/>
      <w:marLeft w:val="0"/>
      <w:marRight w:val="0"/>
      <w:marTop w:val="0"/>
      <w:marBottom w:val="0"/>
      <w:divBdr>
        <w:top w:val="none" w:sz="0" w:space="0" w:color="auto"/>
        <w:left w:val="none" w:sz="0" w:space="0" w:color="auto"/>
        <w:bottom w:val="none" w:sz="0" w:space="0" w:color="auto"/>
        <w:right w:val="none" w:sz="0" w:space="0" w:color="auto"/>
      </w:divBdr>
    </w:div>
    <w:div w:id="1705325890">
      <w:bodyDiv w:val="1"/>
      <w:marLeft w:val="0"/>
      <w:marRight w:val="0"/>
      <w:marTop w:val="0"/>
      <w:marBottom w:val="0"/>
      <w:divBdr>
        <w:top w:val="none" w:sz="0" w:space="0" w:color="auto"/>
        <w:left w:val="none" w:sz="0" w:space="0" w:color="auto"/>
        <w:bottom w:val="none" w:sz="0" w:space="0" w:color="auto"/>
        <w:right w:val="none" w:sz="0" w:space="0" w:color="auto"/>
      </w:divBdr>
    </w:div>
    <w:div w:id="1779716776">
      <w:bodyDiv w:val="1"/>
      <w:marLeft w:val="0"/>
      <w:marRight w:val="0"/>
      <w:marTop w:val="0"/>
      <w:marBottom w:val="0"/>
      <w:divBdr>
        <w:top w:val="none" w:sz="0" w:space="0" w:color="auto"/>
        <w:left w:val="none" w:sz="0" w:space="0" w:color="auto"/>
        <w:bottom w:val="none" w:sz="0" w:space="0" w:color="auto"/>
        <w:right w:val="none" w:sz="0" w:space="0" w:color="auto"/>
      </w:divBdr>
    </w:div>
    <w:div w:id="1850637744">
      <w:bodyDiv w:val="1"/>
      <w:marLeft w:val="0"/>
      <w:marRight w:val="0"/>
      <w:marTop w:val="0"/>
      <w:marBottom w:val="0"/>
      <w:divBdr>
        <w:top w:val="none" w:sz="0" w:space="0" w:color="auto"/>
        <w:left w:val="none" w:sz="0" w:space="0" w:color="auto"/>
        <w:bottom w:val="none" w:sz="0" w:space="0" w:color="auto"/>
        <w:right w:val="none" w:sz="0" w:space="0" w:color="auto"/>
      </w:divBdr>
    </w:div>
    <w:div w:id="1863394759">
      <w:bodyDiv w:val="1"/>
      <w:marLeft w:val="0"/>
      <w:marRight w:val="0"/>
      <w:marTop w:val="0"/>
      <w:marBottom w:val="0"/>
      <w:divBdr>
        <w:top w:val="none" w:sz="0" w:space="0" w:color="auto"/>
        <w:left w:val="none" w:sz="0" w:space="0" w:color="auto"/>
        <w:bottom w:val="none" w:sz="0" w:space="0" w:color="auto"/>
        <w:right w:val="none" w:sz="0" w:space="0" w:color="auto"/>
      </w:divBdr>
    </w:div>
    <w:div w:id="1875575195">
      <w:bodyDiv w:val="1"/>
      <w:marLeft w:val="0"/>
      <w:marRight w:val="0"/>
      <w:marTop w:val="0"/>
      <w:marBottom w:val="0"/>
      <w:divBdr>
        <w:top w:val="none" w:sz="0" w:space="0" w:color="auto"/>
        <w:left w:val="none" w:sz="0" w:space="0" w:color="auto"/>
        <w:bottom w:val="none" w:sz="0" w:space="0" w:color="auto"/>
        <w:right w:val="none" w:sz="0" w:space="0" w:color="auto"/>
      </w:divBdr>
    </w:div>
    <w:div w:id="1930264563">
      <w:bodyDiv w:val="1"/>
      <w:marLeft w:val="0"/>
      <w:marRight w:val="0"/>
      <w:marTop w:val="0"/>
      <w:marBottom w:val="0"/>
      <w:divBdr>
        <w:top w:val="none" w:sz="0" w:space="0" w:color="auto"/>
        <w:left w:val="none" w:sz="0" w:space="0" w:color="auto"/>
        <w:bottom w:val="none" w:sz="0" w:space="0" w:color="auto"/>
        <w:right w:val="none" w:sz="0" w:space="0" w:color="auto"/>
      </w:divBdr>
    </w:div>
    <w:div w:id="1949196170">
      <w:bodyDiv w:val="1"/>
      <w:marLeft w:val="0"/>
      <w:marRight w:val="0"/>
      <w:marTop w:val="0"/>
      <w:marBottom w:val="0"/>
      <w:divBdr>
        <w:top w:val="none" w:sz="0" w:space="0" w:color="auto"/>
        <w:left w:val="none" w:sz="0" w:space="0" w:color="auto"/>
        <w:bottom w:val="none" w:sz="0" w:space="0" w:color="auto"/>
        <w:right w:val="none" w:sz="0" w:space="0" w:color="auto"/>
      </w:divBdr>
    </w:div>
    <w:div w:id="1955093128">
      <w:bodyDiv w:val="1"/>
      <w:marLeft w:val="0"/>
      <w:marRight w:val="0"/>
      <w:marTop w:val="0"/>
      <w:marBottom w:val="0"/>
      <w:divBdr>
        <w:top w:val="none" w:sz="0" w:space="0" w:color="auto"/>
        <w:left w:val="none" w:sz="0" w:space="0" w:color="auto"/>
        <w:bottom w:val="none" w:sz="0" w:space="0" w:color="auto"/>
        <w:right w:val="none" w:sz="0" w:space="0" w:color="auto"/>
      </w:divBdr>
    </w:div>
    <w:div w:id="1958095568">
      <w:bodyDiv w:val="1"/>
      <w:marLeft w:val="0"/>
      <w:marRight w:val="0"/>
      <w:marTop w:val="0"/>
      <w:marBottom w:val="0"/>
      <w:divBdr>
        <w:top w:val="none" w:sz="0" w:space="0" w:color="auto"/>
        <w:left w:val="none" w:sz="0" w:space="0" w:color="auto"/>
        <w:bottom w:val="none" w:sz="0" w:space="0" w:color="auto"/>
        <w:right w:val="none" w:sz="0" w:space="0" w:color="auto"/>
      </w:divBdr>
    </w:div>
    <w:div w:id="1970748043">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2045980595">
      <w:bodyDiv w:val="1"/>
      <w:marLeft w:val="0"/>
      <w:marRight w:val="0"/>
      <w:marTop w:val="0"/>
      <w:marBottom w:val="0"/>
      <w:divBdr>
        <w:top w:val="none" w:sz="0" w:space="0" w:color="auto"/>
        <w:left w:val="none" w:sz="0" w:space="0" w:color="auto"/>
        <w:bottom w:val="none" w:sz="0" w:space="0" w:color="auto"/>
        <w:right w:val="none" w:sz="0" w:space="0" w:color="auto"/>
      </w:divBdr>
    </w:div>
    <w:div w:id="2051686403">
      <w:bodyDiv w:val="1"/>
      <w:marLeft w:val="0"/>
      <w:marRight w:val="0"/>
      <w:marTop w:val="0"/>
      <w:marBottom w:val="0"/>
      <w:divBdr>
        <w:top w:val="none" w:sz="0" w:space="0" w:color="auto"/>
        <w:left w:val="none" w:sz="0" w:space="0" w:color="auto"/>
        <w:bottom w:val="none" w:sz="0" w:space="0" w:color="auto"/>
        <w:right w:val="none" w:sz="0" w:space="0" w:color="auto"/>
      </w:divBdr>
    </w:div>
    <w:div w:id="2094813313">
      <w:bodyDiv w:val="1"/>
      <w:marLeft w:val="0"/>
      <w:marRight w:val="0"/>
      <w:marTop w:val="0"/>
      <w:marBottom w:val="0"/>
      <w:divBdr>
        <w:top w:val="none" w:sz="0" w:space="0" w:color="auto"/>
        <w:left w:val="none" w:sz="0" w:space="0" w:color="auto"/>
        <w:bottom w:val="none" w:sz="0" w:space="0" w:color="auto"/>
        <w:right w:val="none" w:sz="0" w:space="0" w:color="auto"/>
      </w:divBdr>
    </w:div>
    <w:div w:id="2107841622">
      <w:bodyDiv w:val="1"/>
      <w:marLeft w:val="0"/>
      <w:marRight w:val="0"/>
      <w:marTop w:val="0"/>
      <w:marBottom w:val="0"/>
      <w:divBdr>
        <w:top w:val="none" w:sz="0" w:space="0" w:color="auto"/>
        <w:left w:val="none" w:sz="0" w:space="0" w:color="auto"/>
        <w:bottom w:val="none" w:sz="0" w:space="0" w:color="auto"/>
        <w:right w:val="none" w:sz="0" w:space="0" w:color="auto"/>
      </w:divBdr>
    </w:div>
    <w:div w:id="2124182985">
      <w:bodyDiv w:val="1"/>
      <w:marLeft w:val="0"/>
      <w:marRight w:val="0"/>
      <w:marTop w:val="0"/>
      <w:marBottom w:val="0"/>
      <w:divBdr>
        <w:top w:val="none" w:sz="0" w:space="0" w:color="auto"/>
        <w:left w:val="none" w:sz="0" w:space="0" w:color="auto"/>
        <w:bottom w:val="none" w:sz="0" w:space="0" w:color="auto"/>
        <w:right w:val="none" w:sz="0" w:space="0" w:color="auto"/>
      </w:divBdr>
    </w:div>
    <w:div w:id="214230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r-ms.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udi@tno.camcom.it"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EC155-A0CE-407D-8EBE-7344A6B1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6758</Words>
  <Characters>38525</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45193</CharactersWithSpaces>
  <SharedDoc>false</SharedDoc>
  <HLinks>
    <vt:vector size="12" baseType="variant">
      <vt:variant>
        <vt:i4>2293868</vt:i4>
      </vt:variant>
      <vt:variant>
        <vt:i4>3</vt:i4>
      </vt:variant>
      <vt:variant>
        <vt:i4>0</vt:i4>
      </vt:variant>
      <vt:variant>
        <vt:i4>5</vt:i4>
      </vt:variant>
      <vt:variant>
        <vt:lpwstr>https://www.isr-ms.it/</vt:lpwstr>
      </vt:variant>
      <vt:variant>
        <vt:lpwstr/>
      </vt:variant>
      <vt:variant>
        <vt:i4>2949212</vt:i4>
      </vt:variant>
      <vt:variant>
        <vt:i4>0</vt:i4>
      </vt:variant>
      <vt:variant>
        <vt:i4>0</vt:i4>
      </vt:variant>
      <vt:variant>
        <vt:i4>5</vt:i4>
      </vt:variant>
      <vt:variant>
        <vt:lpwstr>mailto:studi@tno.camcom.it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Ufficio Stampa</dc:creator>
  <cp:keywords/>
  <cp:lastModifiedBy>Sargenti Francesca</cp:lastModifiedBy>
  <cp:revision>13</cp:revision>
  <cp:lastPrinted>2024-07-18T10:43:00Z</cp:lastPrinted>
  <dcterms:created xsi:type="dcterms:W3CDTF">2025-09-22T10:35:00Z</dcterms:created>
  <dcterms:modified xsi:type="dcterms:W3CDTF">2025-09-23T07:15:00Z</dcterms:modified>
</cp:coreProperties>
</file>