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99E3E4" w14:textId="1CED29E2" w:rsidR="005B2537" w:rsidRPr="005B2537" w:rsidRDefault="00E05575" w:rsidP="00535EEC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E05575">
        <w:rPr>
          <w:rFonts w:ascii="Calibri" w:hAnsi="Calibri" w:cs="Calibri"/>
          <w:b/>
          <w:spacing w:val="-2"/>
          <w:sz w:val="32"/>
          <w:szCs w:val="32"/>
        </w:rPr>
        <w:t>Roadshow delle CER fa tappa a Carrara: focus sullo stato dell’arte e le prospettive di sviluppo</w:t>
      </w:r>
    </w:p>
    <w:p w14:paraId="566F9470" w14:textId="1867C93C" w:rsidR="004C6522" w:rsidRDefault="00E05575">
      <w:r>
        <w:rPr>
          <w:rFonts w:ascii="Calibri" w:hAnsi="Calibri" w:cs="Calibri"/>
          <w:bCs/>
          <w:i/>
          <w:iCs/>
          <w:spacing w:val="-2"/>
          <w:szCs w:val="24"/>
        </w:rPr>
        <w:t>Giovedì 3 aprile alle ore 10:00 se ne parla presso la sede della</w:t>
      </w:r>
      <w:r w:rsidRPr="00E05575">
        <w:t xml:space="preserve"> </w:t>
      </w:r>
      <w:r w:rsidRPr="00E05575">
        <w:rPr>
          <w:rFonts w:ascii="Calibri" w:hAnsi="Calibri" w:cs="Calibri"/>
          <w:bCs/>
          <w:i/>
          <w:iCs/>
          <w:spacing w:val="-2"/>
          <w:szCs w:val="24"/>
        </w:rPr>
        <w:t>Camera di Commercio</w:t>
      </w:r>
      <w:r>
        <w:rPr>
          <w:rFonts w:ascii="Calibri" w:hAnsi="Calibri" w:cs="Calibri"/>
          <w:bCs/>
          <w:i/>
          <w:iCs/>
          <w:spacing w:val="-2"/>
          <w:szCs w:val="24"/>
        </w:rPr>
        <w:t xml:space="preserve"> della Toscana Nord-Ovest, </w:t>
      </w:r>
      <w:r w:rsidRPr="00E05575">
        <w:rPr>
          <w:rFonts w:ascii="Calibri" w:hAnsi="Calibri" w:cs="Calibri"/>
          <w:bCs/>
          <w:i/>
          <w:iCs/>
          <w:spacing w:val="-2"/>
          <w:szCs w:val="24"/>
        </w:rPr>
        <w:t>in Piazza 2 Giugno, 16</w:t>
      </w:r>
      <w:r>
        <w:rPr>
          <w:rFonts w:ascii="Calibri" w:hAnsi="Calibri" w:cs="Calibri"/>
          <w:bCs/>
          <w:i/>
          <w:iCs/>
          <w:spacing w:val="-2"/>
          <w:szCs w:val="24"/>
        </w:rPr>
        <w:t xml:space="preserve"> a Carrara</w:t>
      </w:r>
      <w:r w:rsidR="00535EEC">
        <w:rPr>
          <w:rFonts w:ascii="Calibri" w:hAnsi="Calibri" w:cs="Calibri"/>
          <w:bCs/>
          <w:i/>
          <w:iCs/>
          <w:spacing w:val="-2"/>
          <w:szCs w:val="24"/>
        </w:rPr>
        <w:t>.</w:t>
      </w:r>
    </w:p>
    <w:p w14:paraId="0292978B" w14:textId="0C68435A" w:rsidR="00E05575" w:rsidRDefault="004D1AE8" w:rsidP="00E05575">
      <w:pPr>
        <w:spacing w:before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Carrara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b/>
          <w:i/>
          <w:sz w:val="22"/>
          <w:szCs w:val="22"/>
        </w:rPr>
        <w:t>1 aprile</w:t>
      </w:r>
      <w:proofErr w:type="gramEnd"/>
      <w:r w:rsidR="004C6522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5B2537">
        <w:rPr>
          <w:rFonts w:ascii="Calibri" w:hAnsi="Calibri" w:cs="Calibri"/>
          <w:b/>
          <w:i/>
          <w:sz w:val="22"/>
          <w:szCs w:val="22"/>
        </w:rPr>
        <w:t>5</w:t>
      </w:r>
      <w:r w:rsidR="004C6522">
        <w:rPr>
          <w:rFonts w:ascii="Calibri" w:hAnsi="Calibri" w:cs="Calibri"/>
          <w:sz w:val="22"/>
          <w:szCs w:val="22"/>
        </w:rPr>
        <w:t xml:space="preserve"> – </w:t>
      </w:r>
      <w:r w:rsidR="00E05575" w:rsidRPr="00E05575">
        <w:rPr>
          <w:rFonts w:ascii="Calibri" w:hAnsi="Calibri" w:cs="Calibri"/>
          <w:sz w:val="22"/>
          <w:szCs w:val="22"/>
        </w:rPr>
        <w:t xml:space="preserve">Il Roadshow delle CER - Lo Stato dell’Arte e le Prospettive di Sviluppo delle Comunità Energetiche della Toscana arriva a Carrara. L’evento, organizzato dalla Camera di Commercio Toscana Nord-Ovest in collaborazione con Unioncamere Toscana e Fondazione ISI, si terrà </w:t>
      </w:r>
      <w:r w:rsidR="00E05575" w:rsidRPr="00E05575">
        <w:rPr>
          <w:rFonts w:ascii="Calibri" w:hAnsi="Calibri" w:cs="Calibri"/>
          <w:b/>
          <w:bCs/>
          <w:sz w:val="22"/>
          <w:szCs w:val="22"/>
        </w:rPr>
        <w:t>giovedì 3 aprile alle ore 10:00</w:t>
      </w:r>
      <w:r w:rsidR="00E05575" w:rsidRPr="00E05575">
        <w:rPr>
          <w:rFonts w:ascii="Calibri" w:hAnsi="Calibri" w:cs="Calibri"/>
          <w:sz w:val="22"/>
          <w:szCs w:val="22"/>
        </w:rPr>
        <w:t xml:space="preserve"> presso la sede di Carrara della Camera di Commercio della Toscana Nord-Ovest, in Piazza 2 Giugno, 16.</w:t>
      </w:r>
    </w:p>
    <w:p w14:paraId="207B0BC9" w14:textId="05D61FE7" w:rsidR="00E05575" w:rsidRPr="00E05575" w:rsidRDefault="00E05575" w:rsidP="00E05575">
      <w:p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sz w:val="22"/>
          <w:szCs w:val="22"/>
        </w:rPr>
        <w:t xml:space="preserve">L’iniziativa si inserisce nel Progetto Transizione Energetica 2025 e rappresenta un’importante occasione per fare il punto sullo </w:t>
      </w:r>
      <w:r w:rsidRPr="00E05575">
        <w:rPr>
          <w:rFonts w:ascii="Calibri" w:hAnsi="Calibri" w:cs="Calibri"/>
          <w:b/>
          <w:bCs/>
          <w:sz w:val="22"/>
          <w:szCs w:val="22"/>
        </w:rPr>
        <w:t>stato attuale delle Comunità Energetiche Rinnovabili (CER)</w:t>
      </w:r>
      <w:r w:rsidRPr="00E05575">
        <w:rPr>
          <w:rFonts w:ascii="Calibri" w:hAnsi="Calibri" w:cs="Calibri"/>
          <w:sz w:val="22"/>
          <w:szCs w:val="22"/>
        </w:rPr>
        <w:t xml:space="preserve"> in Toscana e per approfondire le prospettive di sviluppo futuro.</w:t>
      </w:r>
    </w:p>
    <w:p w14:paraId="643E0828" w14:textId="77777777" w:rsidR="00E05575" w:rsidRPr="00E05575" w:rsidRDefault="00E05575" w:rsidP="00E05575">
      <w:p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sz w:val="22"/>
          <w:szCs w:val="22"/>
        </w:rPr>
        <w:t xml:space="preserve">La mattinata sarà caratterizzata da un </w:t>
      </w:r>
      <w:r w:rsidRPr="00E05575">
        <w:rPr>
          <w:rFonts w:ascii="Calibri" w:hAnsi="Calibri" w:cs="Calibri"/>
          <w:b/>
          <w:bCs/>
          <w:sz w:val="22"/>
          <w:szCs w:val="22"/>
        </w:rPr>
        <w:t>tavolo di confronto</w:t>
      </w:r>
      <w:r w:rsidRPr="00E05575">
        <w:rPr>
          <w:rFonts w:ascii="Calibri" w:hAnsi="Calibri" w:cs="Calibri"/>
          <w:sz w:val="22"/>
          <w:szCs w:val="22"/>
        </w:rPr>
        <w:t xml:space="preserve"> tra le CER già attive nei territori di Pisa, Lucca e Massa-Carrara, con l’obiettivo di favorire lo </w:t>
      </w:r>
      <w:r w:rsidRPr="00E05575">
        <w:rPr>
          <w:rFonts w:ascii="Calibri" w:hAnsi="Calibri" w:cs="Calibri"/>
          <w:b/>
          <w:bCs/>
          <w:sz w:val="22"/>
          <w:szCs w:val="22"/>
        </w:rPr>
        <w:t>scambio di esperienze e buone pratiche</w:t>
      </w:r>
      <w:r w:rsidRPr="00E05575">
        <w:rPr>
          <w:rFonts w:ascii="Calibri" w:hAnsi="Calibri" w:cs="Calibri"/>
          <w:sz w:val="22"/>
          <w:szCs w:val="22"/>
        </w:rPr>
        <w:t xml:space="preserve">. Un momento chiave sarà la presentazione da parte della Regione Toscana del </w:t>
      </w:r>
      <w:r w:rsidRPr="00E05575">
        <w:rPr>
          <w:rFonts w:ascii="Calibri" w:hAnsi="Calibri" w:cs="Calibri"/>
          <w:b/>
          <w:bCs/>
          <w:sz w:val="22"/>
          <w:szCs w:val="22"/>
        </w:rPr>
        <w:t>bando dedicato</w:t>
      </w:r>
      <w:r w:rsidRPr="00E05575">
        <w:rPr>
          <w:rFonts w:ascii="Calibri" w:hAnsi="Calibri" w:cs="Calibri"/>
          <w:sz w:val="22"/>
          <w:szCs w:val="22"/>
        </w:rPr>
        <w:t xml:space="preserve"> alle Comunità Energetiche toscane, la cui apertura è prevista ad aprile, con uno stanziamento complessivo di </w:t>
      </w:r>
      <w:r w:rsidRPr="00E05575">
        <w:rPr>
          <w:rFonts w:ascii="Calibri" w:hAnsi="Calibri" w:cs="Calibri"/>
          <w:b/>
          <w:bCs/>
          <w:sz w:val="22"/>
          <w:szCs w:val="22"/>
        </w:rPr>
        <w:t>20 milioni di euro</w:t>
      </w:r>
      <w:r w:rsidRPr="00E05575">
        <w:rPr>
          <w:rFonts w:ascii="Calibri" w:hAnsi="Calibri" w:cs="Calibri"/>
          <w:sz w:val="22"/>
          <w:szCs w:val="22"/>
        </w:rPr>
        <w:t>.</w:t>
      </w:r>
    </w:p>
    <w:p w14:paraId="0B3FD2D6" w14:textId="113FC453" w:rsidR="00E05575" w:rsidRPr="00E05575" w:rsidRDefault="00E05575" w:rsidP="00E05575">
      <w:p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sz w:val="22"/>
          <w:szCs w:val="22"/>
        </w:rPr>
        <w:t>Durante l’evento, la Camera di Commercio Toscana Nord-Ovest illustrerà le opportunità gratuite a disposizione delle CER costituite:</w:t>
      </w:r>
    </w:p>
    <w:p w14:paraId="2A881C68" w14:textId="77777777" w:rsidR="00E05575" w:rsidRPr="00E05575" w:rsidRDefault="00E05575" w:rsidP="00E05575">
      <w:pPr>
        <w:pStyle w:val="Paragrafoelenco"/>
        <w:numPr>
          <w:ilvl w:val="0"/>
          <w:numId w:val="11"/>
        </w:num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b/>
          <w:bCs/>
          <w:sz w:val="22"/>
          <w:szCs w:val="22"/>
        </w:rPr>
        <w:t>CER Masterclass</w:t>
      </w:r>
      <w:r w:rsidRPr="00E05575">
        <w:rPr>
          <w:rFonts w:ascii="Calibri" w:hAnsi="Calibri" w:cs="Calibri"/>
          <w:sz w:val="22"/>
          <w:szCs w:val="22"/>
        </w:rPr>
        <w:t>: un percorso di formazione avanzata in otto moduli per rafforzare le competenze gestionali delle CER in ambito energetico, sociale, giuridico, economico e legale.</w:t>
      </w:r>
    </w:p>
    <w:p w14:paraId="42B69241" w14:textId="31F26EE1" w:rsidR="00E05575" w:rsidRPr="00E05575" w:rsidRDefault="00E05575" w:rsidP="00E05575">
      <w:pPr>
        <w:pStyle w:val="Paragrafoelenco"/>
        <w:numPr>
          <w:ilvl w:val="0"/>
          <w:numId w:val="11"/>
        </w:num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b/>
          <w:bCs/>
          <w:sz w:val="22"/>
          <w:szCs w:val="22"/>
        </w:rPr>
        <w:t>CER Academy</w:t>
      </w:r>
      <w:r w:rsidRPr="00E05575">
        <w:rPr>
          <w:rFonts w:ascii="Calibri" w:hAnsi="Calibri" w:cs="Calibri"/>
          <w:sz w:val="22"/>
          <w:szCs w:val="22"/>
        </w:rPr>
        <w:t xml:space="preserve">: un servizio di assistenza tecnica personalizzata </w:t>
      </w:r>
      <w:r w:rsidRPr="00E8515E">
        <w:rPr>
          <w:rFonts w:asciiTheme="minorHAnsi" w:hAnsiTheme="minorHAnsi" w:cstheme="minorHAnsi"/>
          <w:i/>
          <w:iCs/>
          <w:sz w:val="22"/>
          <w:szCs w:val="22"/>
        </w:rPr>
        <w:t>one-to-one</w:t>
      </w:r>
      <w:r w:rsidRPr="00E8515E">
        <w:rPr>
          <w:rFonts w:asciiTheme="minorHAnsi" w:hAnsiTheme="minorHAnsi" w:cstheme="minorHAnsi"/>
          <w:sz w:val="22"/>
          <w:szCs w:val="22"/>
        </w:rPr>
        <w:t xml:space="preserve"> </w:t>
      </w:r>
      <w:r w:rsidRPr="00E05575">
        <w:rPr>
          <w:rFonts w:ascii="Calibri" w:hAnsi="Calibri" w:cs="Calibri"/>
          <w:sz w:val="22"/>
          <w:szCs w:val="22"/>
        </w:rPr>
        <w:t>per supportare lo sviluppo delle Comunità Energetiche.</w:t>
      </w:r>
    </w:p>
    <w:p w14:paraId="7115A499" w14:textId="77777777" w:rsidR="00E05575" w:rsidRPr="00E05575" w:rsidRDefault="00E05575" w:rsidP="00E05575">
      <w:p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sz w:val="22"/>
          <w:szCs w:val="22"/>
        </w:rPr>
        <w:t xml:space="preserve">Per le Comunità ancora in fase di costituzione, la Camera di Commercio offrirà la competenza dell’Università di Pisa, che fornirà supporto nella realizzazione di </w:t>
      </w:r>
      <w:r w:rsidRPr="00E05575">
        <w:rPr>
          <w:rFonts w:ascii="Calibri" w:hAnsi="Calibri" w:cs="Calibri"/>
          <w:b/>
          <w:bCs/>
          <w:sz w:val="22"/>
          <w:szCs w:val="22"/>
        </w:rPr>
        <w:t>studi di fattibilità</w:t>
      </w:r>
      <w:r w:rsidRPr="00E05575">
        <w:rPr>
          <w:rFonts w:ascii="Calibri" w:hAnsi="Calibri" w:cs="Calibri"/>
          <w:sz w:val="22"/>
          <w:szCs w:val="22"/>
        </w:rPr>
        <w:t xml:space="preserve"> per valutare la sostenibilità tecnica ed economica delle CER nei territori di Pisa, Lucca e Massa-Carrara.</w:t>
      </w:r>
    </w:p>
    <w:p w14:paraId="39B7182D" w14:textId="77777777" w:rsidR="00E05575" w:rsidRDefault="00E05575" w:rsidP="00E05575">
      <w:pPr>
        <w:spacing w:before="240"/>
        <w:rPr>
          <w:rFonts w:ascii="Calibri" w:hAnsi="Calibri" w:cs="Calibri"/>
          <w:sz w:val="22"/>
          <w:szCs w:val="22"/>
        </w:rPr>
      </w:pPr>
      <w:r w:rsidRPr="00E05575">
        <w:rPr>
          <w:rFonts w:ascii="Calibri" w:hAnsi="Calibri" w:cs="Calibri"/>
          <w:sz w:val="22"/>
          <w:szCs w:val="22"/>
        </w:rPr>
        <w:t>Il Roadshow delle CER è realizzato da Unioncamere Toscana in collaborazione con Fondazione ISI e il sistema delle Camere di Commercio. L’iniziativa rientra nel Progetto Transizione Energetica 2025, che mira ad accrescere la consapevolezza di imprese e stakeholder sui temi della transizione ecologica, dell'efficientamento energetico e dello sviluppo delle Comunità Energetiche Rinnovabili.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8"/>
      <w:footerReference w:type="default" r:id="rId9"/>
      <w:headerReference w:type="first" r:id="rId10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681E" w14:textId="77777777" w:rsidR="00BF63C1" w:rsidRDefault="00BF63C1">
      <w:r>
        <w:separator/>
      </w:r>
    </w:p>
  </w:endnote>
  <w:endnote w:type="continuationSeparator" w:id="0">
    <w:p w14:paraId="6E4BF5FE" w14:textId="77777777" w:rsidR="00BF63C1" w:rsidRDefault="00B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4BE2" w14:textId="77777777" w:rsidR="00BF63C1" w:rsidRDefault="00BF63C1">
      <w:r>
        <w:separator/>
      </w:r>
    </w:p>
  </w:footnote>
  <w:footnote w:type="continuationSeparator" w:id="0">
    <w:p w14:paraId="6BC4BF24" w14:textId="77777777" w:rsidR="00BF63C1" w:rsidRDefault="00BF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D248E9"/>
    <w:multiLevelType w:val="hybridMultilevel"/>
    <w:tmpl w:val="CF407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8"/>
  </w:num>
  <w:num w:numId="9" w16cid:durableId="1747070180">
    <w:abstractNumId w:val="10"/>
  </w:num>
  <w:num w:numId="10" w16cid:durableId="1535539560">
    <w:abstractNumId w:val="9"/>
  </w:num>
  <w:num w:numId="11" w16cid:durableId="13522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66546"/>
    <w:rsid w:val="00076629"/>
    <w:rsid w:val="000831EC"/>
    <w:rsid w:val="00086688"/>
    <w:rsid w:val="000A1ADB"/>
    <w:rsid w:val="0014432D"/>
    <w:rsid w:val="001761CC"/>
    <w:rsid w:val="001D66BD"/>
    <w:rsid w:val="001E34E5"/>
    <w:rsid w:val="001E465E"/>
    <w:rsid w:val="002079BB"/>
    <w:rsid w:val="00212744"/>
    <w:rsid w:val="00317EF9"/>
    <w:rsid w:val="00360C71"/>
    <w:rsid w:val="00366BCF"/>
    <w:rsid w:val="003D2C53"/>
    <w:rsid w:val="00424B69"/>
    <w:rsid w:val="004C6522"/>
    <w:rsid w:val="004D1AE8"/>
    <w:rsid w:val="004E5CE4"/>
    <w:rsid w:val="00520A72"/>
    <w:rsid w:val="005233A5"/>
    <w:rsid w:val="00532311"/>
    <w:rsid w:val="00535EEC"/>
    <w:rsid w:val="00546068"/>
    <w:rsid w:val="005B2537"/>
    <w:rsid w:val="006152F6"/>
    <w:rsid w:val="00631DCC"/>
    <w:rsid w:val="00634813"/>
    <w:rsid w:val="006E74BA"/>
    <w:rsid w:val="008547B1"/>
    <w:rsid w:val="00896092"/>
    <w:rsid w:val="00B0330B"/>
    <w:rsid w:val="00B550A3"/>
    <w:rsid w:val="00BB3A8D"/>
    <w:rsid w:val="00BF63C1"/>
    <w:rsid w:val="00C832F1"/>
    <w:rsid w:val="00CD3664"/>
    <w:rsid w:val="00DA4A14"/>
    <w:rsid w:val="00E05575"/>
    <w:rsid w:val="00E24A75"/>
    <w:rsid w:val="00E8515E"/>
    <w:rsid w:val="00EB0EFC"/>
    <w:rsid w:val="00F3588E"/>
    <w:rsid w:val="00F7486A"/>
    <w:rsid w:val="00F802C9"/>
    <w:rsid w:val="00F852D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2606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8</cp:revision>
  <cp:lastPrinted>2024-03-04T15:10:00Z</cp:lastPrinted>
  <dcterms:created xsi:type="dcterms:W3CDTF">2025-03-31T08:52:00Z</dcterms:created>
  <dcterms:modified xsi:type="dcterms:W3CDTF">2025-04-01T12:47:00Z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